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1DDD5FF2">
      <w:pPr>
        <w:pStyle w:val="92"/>
        <w:jc w:val="center"/>
        <w:rPr>
          <w:rFonts w:hint="default" w:ascii="Times New Roman" w:hAnsi="Times New Roman" w:cs="Times New Roman" w:eastAsiaTheme="minorEastAsia"/>
          <w:b w:val="0"/>
          <w:color w:val="FF0000"/>
          <w:sz w:val="40"/>
          <w:highlight w:val="none"/>
        </w:rPr>
      </w:pPr>
    </w:p>
    <w:p w14:paraId="5A64FE8E">
      <w:pPr>
        <w:pStyle w:val="92"/>
        <w:jc w:val="center"/>
        <w:outlineLvl w:val="9"/>
        <w:rPr>
          <w:rFonts w:hint="default" w:ascii="Times New Roman" w:hAnsi="Times New Roman" w:cs="Times New Roman" w:eastAsiaTheme="minorEastAsia"/>
          <w:b w:val="0"/>
          <w:color w:val="FF0000"/>
          <w:sz w:val="40"/>
          <w:highlight w:val="none"/>
        </w:rPr>
      </w:pPr>
    </w:p>
    <w:p w14:paraId="52FF062B">
      <w:pPr>
        <w:pStyle w:val="8"/>
        <w:ind w:left="0" w:leftChars="0" w:firstLine="0" w:firstLineChars="0"/>
        <w:outlineLvl w:val="9"/>
        <w:rPr>
          <w:rFonts w:hint="default" w:ascii="Times New Roman" w:hAnsi="Times New Roman" w:cs="Times New Roman" w:eastAsiaTheme="minorEastAsia"/>
          <w:color w:val="FF0000"/>
          <w:highlight w:val="none"/>
          <w:lang w:eastAsia="zh-CN"/>
        </w:rPr>
      </w:pPr>
      <w:bookmarkStart w:id="0" w:name="_Toc311226498"/>
      <w:bookmarkStart w:id="1" w:name="_Toc373950327"/>
      <w:bookmarkStart w:id="2" w:name="_Toc312834436"/>
      <w:bookmarkStart w:id="3" w:name="_Toc313005834"/>
      <w:bookmarkStart w:id="4" w:name="_Toc340428408"/>
      <w:bookmarkStart w:id="5" w:name="_Toc328314456"/>
      <w:bookmarkStart w:id="6" w:name="_Toc340737452"/>
      <w:bookmarkStart w:id="7" w:name="_Toc328386325"/>
      <w:bookmarkStart w:id="8" w:name="_Toc328049556"/>
      <w:bookmarkStart w:id="9" w:name="_Toc311065591"/>
      <w:bookmarkStart w:id="10" w:name="_Toc327881330"/>
      <w:bookmarkStart w:id="11" w:name="_Toc387085270"/>
      <w:bookmarkStart w:id="12" w:name="_Toc304743078"/>
      <w:bookmarkStart w:id="13" w:name="_Toc332895225"/>
      <w:bookmarkStart w:id="14" w:name="_Toc375698815"/>
      <w:bookmarkStart w:id="15" w:name="_Toc327868548"/>
      <w:bookmarkStart w:id="16" w:name="_Toc311200762"/>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14:paraId="65B92FA0">
      <w:pPr>
        <w:keepNext w:val="0"/>
        <w:keepLines w:val="0"/>
        <w:pageBreakBefore w:val="0"/>
        <w:widowControl w:val="0"/>
        <w:kinsoku/>
        <w:wordWrap/>
        <w:overflowPunct/>
        <w:topLinePunct w:val="0"/>
        <w:autoSpaceDE/>
        <w:autoSpaceDN/>
        <w:bidi w:val="0"/>
        <w:adjustRightInd/>
        <w:snapToGrid/>
        <w:spacing w:after="240" w:afterLines="100" w:line="288" w:lineRule="auto"/>
        <w:ind w:left="0" w:leftChars="0" w:firstLine="0" w:firstLineChars="0"/>
        <w:jc w:val="both"/>
        <w:textAlignment w:val="auto"/>
        <w:outlineLvl w:val="0"/>
        <w:rPr>
          <w:rFonts w:hint="default" w:ascii="Times New Roman" w:hAnsi="Times New Roman" w:cs="Times New Roman" w:eastAsiaTheme="minorEastAsia"/>
          <w:b/>
          <w:color w:val="FF0000"/>
          <w:kern w:val="2"/>
          <w:sz w:val="52"/>
          <w:szCs w:val="52"/>
          <w:highlight w:val="none"/>
          <w:u w:val="none"/>
          <w:lang w:val="en-US" w:eastAsia="zh-CN" w:bidi="ar-SA"/>
        </w:rPr>
      </w:pPr>
      <w:bookmarkStart w:id="17" w:name="_Toc22208"/>
      <w:bookmarkStart w:id="18" w:name="_Toc255"/>
      <w:bookmarkStart w:id="19" w:name="_Toc15270"/>
      <w:bookmarkStart w:id="20" w:name="_Toc14460"/>
    </w:p>
    <w:p w14:paraId="2BB94263">
      <w:pPr>
        <w:spacing w:line="360" w:lineRule="auto"/>
        <w:jc w:val="center"/>
        <w:outlineLvl w:val="9"/>
        <w:rPr>
          <w:rFonts w:hint="default" w:ascii="Times New Roman" w:hAnsi="Times New Roman" w:cs="Times New Roman" w:eastAsiaTheme="minorEastAsia"/>
          <w:b/>
          <w:color w:val="000000" w:themeColor="text1"/>
          <w:kern w:val="2"/>
          <w:sz w:val="52"/>
          <w:szCs w:val="52"/>
          <w:highlight w:val="none"/>
          <w:u w:val="double"/>
          <w:lang w:val="en-US" w:eastAsia="zh-CN" w:bidi="ar-SA"/>
          <w14:textFill>
            <w14:solidFill>
              <w14:schemeClr w14:val="tx1"/>
            </w14:solidFill>
          </w14:textFill>
        </w:rPr>
      </w:pPr>
      <w:bookmarkStart w:id="21" w:name="_Toc7656"/>
      <w:r>
        <w:rPr>
          <w:rFonts w:hint="default" w:ascii="Times New Roman" w:hAnsi="Times New Roman" w:cs="Times New Roman" w:eastAsiaTheme="minorEastAsia"/>
          <w:b/>
          <w:color w:val="000000" w:themeColor="text1"/>
          <w:kern w:val="2"/>
          <w:sz w:val="52"/>
          <w:szCs w:val="52"/>
          <w:highlight w:val="none"/>
          <w:u w:val="double"/>
          <w:lang w:val="en-US" w:eastAsia="zh-CN" w:bidi="ar-SA"/>
          <w14:textFill>
            <w14:solidFill>
              <w14:schemeClr w14:val="tx1"/>
            </w14:solidFill>
          </w14:textFill>
        </w:rPr>
        <w:t>电投融和沙依巴克区15万千瓦</w:t>
      </w:r>
    </w:p>
    <w:p w14:paraId="55F1770B">
      <w:pPr>
        <w:spacing w:line="360" w:lineRule="auto"/>
        <w:jc w:val="center"/>
        <w:outlineLvl w:val="9"/>
        <w:rPr>
          <w:rFonts w:hint="default" w:ascii="Times New Roman" w:hAnsi="Times New Roman" w:cs="Times New Roman" w:eastAsiaTheme="minorEastAsia"/>
          <w:b/>
          <w:color w:val="000000" w:themeColor="text1"/>
          <w:spacing w:val="79"/>
          <w:kern w:val="2"/>
          <w:sz w:val="52"/>
          <w:szCs w:val="52"/>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52"/>
          <w:szCs w:val="52"/>
          <w:highlight w:val="none"/>
          <w:u w:val="double"/>
          <w:lang w:val="en-US" w:eastAsia="zh-CN" w:bidi="ar-SA"/>
          <w14:textFill>
            <w14:solidFill>
              <w14:schemeClr w14:val="tx1"/>
            </w14:solidFill>
          </w14:textFill>
        </w:rPr>
        <w:t>风电项目</w:t>
      </w:r>
      <w:bookmarkEnd w:id="17"/>
      <w:bookmarkEnd w:id="18"/>
      <w:bookmarkEnd w:id="19"/>
      <w:bookmarkEnd w:id="21"/>
      <w:bookmarkStart w:id="22" w:name="_Toc25894"/>
      <w:bookmarkStart w:id="23" w:name="_Toc10479"/>
      <w:r>
        <w:rPr>
          <w:rFonts w:hint="default" w:ascii="Times New Roman" w:hAnsi="Times New Roman" w:cs="Times New Roman" w:eastAsiaTheme="minorEastAsia"/>
          <w:b/>
          <w:color w:val="000000" w:themeColor="text1"/>
          <w:kern w:val="2"/>
          <w:sz w:val="52"/>
          <w:szCs w:val="52"/>
          <w:highlight w:val="none"/>
          <w:u w:val="double"/>
          <w:lang w:val="en-US" w:eastAsia="zh-CN" w:bidi="ar-SA"/>
          <w14:textFill>
            <w14:solidFill>
              <w14:schemeClr w14:val="tx1"/>
            </w14:solidFill>
          </w14:textFill>
        </w:rPr>
        <w:t>环境影响报告书</w:t>
      </w:r>
      <w:bookmarkEnd w:id="22"/>
      <w:bookmarkEnd w:id="23"/>
    </w:p>
    <w:p w14:paraId="02B163BC">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outlineLvl w:val="9"/>
        <w:rPr>
          <w:rFonts w:hint="default" w:ascii="Times New Roman" w:hAnsi="Times New Roman" w:cs="Times New Roman" w:eastAsiaTheme="minorEastAsia"/>
          <w:b/>
          <w:color w:val="000000" w:themeColor="text1"/>
          <w:kern w:val="2"/>
          <w:sz w:val="52"/>
          <w:szCs w:val="52"/>
          <w:highlight w:val="none"/>
          <w:u w:val="none"/>
          <w:lang w:val="en-US" w:eastAsia="zh-CN" w:bidi="ar-SA"/>
          <w14:textFill>
            <w14:solidFill>
              <w14:schemeClr w14:val="tx1"/>
            </w14:solidFill>
          </w14:textFill>
        </w:rPr>
      </w:pPr>
    </w:p>
    <w:bookmarkEnd w:id="20"/>
    <w:p w14:paraId="23D22B58">
      <w:pPr>
        <w:spacing w:line="240" w:lineRule="auto"/>
        <w:jc w:val="center"/>
        <w:outlineLvl w:val="9"/>
        <w:rPr>
          <w:rFonts w:hint="eastAsia" w:ascii="宋体" w:hAnsi="宋体" w:eastAsia="宋体" w:cs="宋体"/>
          <w:b/>
          <w:color w:val="000000" w:themeColor="text1"/>
          <w:kern w:val="2"/>
          <w:sz w:val="36"/>
          <w:szCs w:val="36"/>
          <w:highlight w:val="none"/>
          <w:lang w:val="en-US" w:bidi="ar-SA"/>
          <w14:textFill>
            <w14:solidFill>
              <w14:schemeClr w14:val="tx1"/>
            </w14:solidFill>
          </w14:textFill>
        </w:rPr>
      </w:pPr>
      <w:r>
        <w:rPr>
          <w:rFonts w:hint="eastAsia" w:ascii="宋体" w:hAnsi="宋体" w:eastAsia="宋体" w:cs="宋体"/>
          <w:b/>
          <w:color w:val="000000" w:themeColor="text1"/>
          <w:kern w:val="2"/>
          <w:sz w:val="36"/>
          <w:szCs w:val="36"/>
          <w:highlight w:val="none"/>
          <w:lang w:val="en-US" w:eastAsia="zh-CN" w:bidi="ar-SA"/>
          <w14:textFill>
            <w14:solidFill>
              <w14:schemeClr w14:val="tx1"/>
            </w14:solidFill>
          </w14:textFill>
        </w:rPr>
        <w:t>(征求意见稿)</w:t>
      </w:r>
    </w:p>
    <w:p w14:paraId="5B32C025">
      <w:pPr>
        <w:keepNext w:val="0"/>
        <w:keepLines w:val="0"/>
        <w:pageBreakBefore w:val="0"/>
        <w:widowControl w:val="0"/>
        <w:kinsoku/>
        <w:wordWrap/>
        <w:overflowPunct/>
        <w:topLinePunct w:val="0"/>
        <w:autoSpaceDE/>
        <w:autoSpaceDN/>
        <w:bidi w:val="0"/>
        <w:adjustRightInd/>
        <w:snapToGrid/>
        <w:ind w:left="0" w:leftChars="0"/>
        <w:jc w:val="center"/>
        <w:textAlignment w:val="auto"/>
        <w:outlineLvl w:val="9"/>
        <w:rPr>
          <w:rFonts w:hint="default" w:ascii="Times New Roman" w:hAnsi="Times New Roman" w:cs="Times New Roman" w:eastAsiaTheme="minorEastAsia"/>
          <w:color w:val="000000" w:themeColor="text1"/>
          <w:highlight w:val="none"/>
          <w14:textFill>
            <w14:solidFill>
              <w14:schemeClr w14:val="tx1"/>
            </w14:solidFill>
          </w14:textFill>
        </w:rPr>
      </w:pPr>
    </w:p>
    <w:p w14:paraId="706FB88B">
      <w:pPr>
        <w:keepNext w:val="0"/>
        <w:keepLines w:val="0"/>
        <w:pageBreakBefore w:val="0"/>
        <w:widowControl w:val="0"/>
        <w:kinsoku/>
        <w:wordWrap/>
        <w:overflowPunct/>
        <w:topLinePunct w:val="0"/>
        <w:autoSpaceDE/>
        <w:autoSpaceDN/>
        <w:bidi w:val="0"/>
        <w:adjustRightInd/>
        <w:snapToGrid/>
        <w:ind w:left="0" w:leftChars="0"/>
        <w:jc w:val="center"/>
        <w:textAlignment w:val="auto"/>
        <w:outlineLvl w:val="9"/>
        <w:rPr>
          <w:rFonts w:hint="default" w:ascii="Times New Roman" w:hAnsi="Times New Roman" w:cs="Times New Roman" w:eastAsiaTheme="minorEastAsia"/>
          <w:color w:val="FF0000"/>
          <w:highlight w:val="none"/>
        </w:rPr>
      </w:pPr>
    </w:p>
    <w:p w14:paraId="2280D200">
      <w:pPr>
        <w:keepNext w:val="0"/>
        <w:keepLines w:val="0"/>
        <w:pageBreakBefore w:val="0"/>
        <w:widowControl w:val="0"/>
        <w:kinsoku/>
        <w:wordWrap/>
        <w:overflowPunct/>
        <w:topLinePunct w:val="0"/>
        <w:autoSpaceDE/>
        <w:autoSpaceDN/>
        <w:bidi w:val="0"/>
        <w:adjustRightInd/>
        <w:snapToGrid/>
        <w:ind w:left="0" w:leftChars="0"/>
        <w:jc w:val="center"/>
        <w:textAlignment w:val="auto"/>
        <w:outlineLvl w:val="9"/>
        <w:rPr>
          <w:rFonts w:hint="default" w:ascii="Times New Roman" w:hAnsi="Times New Roman" w:cs="Times New Roman" w:eastAsiaTheme="minorEastAsia"/>
          <w:color w:val="FF0000"/>
          <w:highlight w:val="none"/>
        </w:rPr>
      </w:pPr>
    </w:p>
    <w:p w14:paraId="423273C1">
      <w:pPr>
        <w:keepNext w:val="0"/>
        <w:keepLines w:val="0"/>
        <w:pageBreakBefore w:val="0"/>
        <w:widowControl w:val="0"/>
        <w:kinsoku/>
        <w:wordWrap/>
        <w:overflowPunct/>
        <w:topLinePunct w:val="0"/>
        <w:autoSpaceDE/>
        <w:autoSpaceDN/>
        <w:bidi w:val="0"/>
        <w:adjustRightInd/>
        <w:snapToGrid/>
        <w:ind w:left="0" w:leftChars="0"/>
        <w:jc w:val="center"/>
        <w:textAlignment w:val="auto"/>
        <w:outlineLvl w:val="9"/>
        <w:rPr>
          <w:rFonts w:hint="default" w:ascii="Times New Roman" w:hAnsi="Times New Roman" w:cs="Times New Roman" w:eastAsiaTheme="minorEastAsia"/>
          <w:color w:val="FF0000"/>
          <w:highlight w:val="none"/>
        </w:rPr>
      </w:pPr>
    </w:p>
    <w:p w14:paraId="6A9C8048">
      <w:pPr>
        <w:keepNext w:val="0"/>
        <w:keepLines w:val="0"/>
        <w:pageBreakBefore w:val="0"/>
        <w:widowControl w:val="0"/>
        <w:kinsoku/>
        <w:wordWrap/>
        <w:overflowPunct/>
        <w:topLinePunct w:val="0"/>
        <w:autoSpaceDE/>
        <w:autoSpaceDN/>
        <w:bidi w:val="0"/>
        <w:adjustRightInd/>
        <w:snapToGrid/>
        <w:ind w:left="0" w:leftChars="0"/>
        <w:jc w:val="center"/>
        <w:textAlignment w:val="auto"/>
        <w:outlineLvl w:val="9"/>
        <w:rPr>
          <w:rFonts w:hint="default" w:ascii="Times New Roman" w:hAnsi="Times New Roman" w:cs="Times New Roman" w:eastAsiaTheme="minorEastAsia"/>
          <w:color w:val="FF0000"/>
          <w:highlight w:val="none"/>
        </w:rPr>
      </w:pPr>
    </w:p>
    <w:p w14:paraId="3F5B7CF9">
      <w:pPr>
        <w:keepNext w:val="0"/>
        <w:keepLines w:val="0"/>
        <w:pageBreakBefore w:val="0"/>
        <w:widowControl w:val="0"/>
        <w:kinsoku/>
        <w:wordWrap/>
        <w:overflowPunct/>
        <w:topLinePunct w:val="0"/>
        <w:autoSpaceDE/>
        <w:autoSpaceDN/>
        <w:bidi w:val="0"/>
        <w:adjustRightInd/>
        <w:snapToGrid/>
        <w:ind w:left="0" w:leftChars="0"/>
        <w:jc w:val="center"/>
        <w:textAlignment w:val="auto"/>
        <w:outlineLvl w:val="9"/>
        <w:rPr>
          <w:rFonts w:hint="default" w:ascii="Times New Roman" w:hAnsi="Times New Roman" w:cs="Times New Roman" w:eastAsiaTheme="minorEastAsia"/>
          <w:color w:val="FF0000"/>
          <w:highlight w:val="none"/>
        </w:rPr>
      </w:pPr>
    </w:p>
    <w:p w14:paraId="29B3F79B">
      <w:pPr>
        <w:pStyle w:val="8"/>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cs="Times New Roman" w:eastAsiaTheme="minorEastAsia"/>
          <w:color w:val="FF0000"/>
          <w:highlight w:val="none"/>
        </w:rPr>
      </w:pPr>
    </w:p>
    <w:p w14:paraId="10AD5053">
      <w:pPr>
        <w:keepNext w:val="0"/>
        <w:keepLines w:val="0"/>
        <w:pageBreakBefore w:val="0"/>
        <w:widowControl w:val="0"/>
        <w:kinsoku/>
        <w:wordWrap/>
        <w:overflowPunct/>
        <w:topLinePunct w:val="0"/>
        <w:autoSpaceDE/>
        <w:autoSpaceDN/>
        <w:bidi w:val="0"/>
        <w:adjustRightInd/>
        <w:snapToGrid/>
        <w:ind w:left="0" w:leftChars="0"/>
        <w:jc w:val="center"/>
        <w:textAlignment w:val="auto"/>
        <w:outlineLvl w:val="9"/>
        <w:rPr>
          <w:rFonts w:hint="default" w:ascii="Times New Roman" w:hAnsi="Times New Roman" w:cs="Times New Roman" w:eastAsiaTheme="minorEastAsia"/>
          <w:color w:val="FF0000"/>
          <w:highlight w:val="none"/>
        </w:rPr>
      </w:pPr>
    </w:p>
    <w:p w14:paraId="5828BB85">
      <w:pPr>
        <w:pStyle w:val="8"/>
        <w:keepNext w:val="0"/>
        <w:keepLines w:val="0"/>
        <w:pageBreakBefore w:val="0"/>
        <w:widowControl w:val="0"/>
        <w:kinsoku/>
        <w:wordWrap/>
        <w:overflowPunct/>
        <w:topLinePunct w:val="0"/>
        <w:autoSpaceDE/>
        <w:autoSpaceDN/>
        <w:bidi w:val="0"/>
        <w:adjustRightInd/>
        <w:snapToGrid/>
        <w:ind w:left="0" w:leftChars="0"/>
        <w:jc w:val="center"/>
        <w:textAlignment w:val="auto"/>
        <w:outlineLvl w:val="9"/>
        <w:rPr>
          <w:rFonts w:hint="default" w:ascii="Times New Roman" w:hAnsi="Times New Roman" w:cs="Times New Roman" w:eastAsiaTheme="minorEastAsia"/>
          <w:color w:val="FF0000"/>
          <w:highlight w:val="none"/>
        </w:rPr>
      </w:pPr>
    </w:p>
    <w:p w14:paraId="36707868">
      <w:pPr>
        <w:keepNext w:val="0"/>
        <w:keepLines w:val="0"/>
        <w:pageBreakBefore w:val="0"/>
        <w:widowControl w:val="0"/>
        <w:kinsoku/>
        <w:wordWrap/>
        <w:overflowPunct/>
        <w:topLinePunct w:val="0"/>
        <w:autoSpaceDE/>
        <w:autoSpaceDN/>
        <w:bidi w:val="0"/>
        <w:adjustRightInd/>
        <w:snapToGrid/>
        <w:ind w:left="0" w:leftChars="0"/>
        <w:jc w:val="center"/>
        <w:textAlignment w:val="auto"/>
        <w:outlineLvl w:val="9"/>
        <w:rPr>
          <w:rFonts w:hint="default" w:ascii="Times New Roman" w:hAnsi="Times New Roman" w:cs="Times New Roman" w:eastAsiaTheme="minorEastAsia"/>
          <w:color w:val="000000" w:themeColor="text1"/>
          <w:highlight w:val="none"/>
          <w14:textFill>
            <w14:solidFill>
              <w14:schemeClr w14:val="tx1"/>
            </w14:solidFill>
          </w14:textFill>
        </w:rPr>
      </w:pPr>
    </w:p>
    <w:p w14:paraId="388D9CCB">
      <w:pPr>
        <w:keepNext w:val="0"/>
        <w:keepLines w:val="0"/>
        <w:pageBreakBefore w:val="0"/>
        <w:widowControl w:val="0"/>
        <w:kinsoku/>
        <w:wordWrap/>
        <w:overflowPunct/>
        <w:topLinePunct w:val="0"/>
        <w:autoSpaceDE/>
        <w:autoSpaceDN/>
        <w:bidi w:val="0"/>
        <w:adjustRightInd/>
        <w:snapToGrid/>
        <w:ind w:left="0" w:leftChars="0"/>
        <w:jc w:val="center"/>
        <w:textAlignment w:val="auto"/>
        <w:outlineLvl w:val="9"/>
        <w:rPr>
          <w:rFonts w:hint="default" w:ascii="Times New Roman" w:hAnsi="Times New Roman" w:cs="Times New Roman" w:eastAsiaTheme="minorEastAsia"/>
          <w:color w:val="000000" w:themeColor="text1"/>
          <w:highlight w:val="none"/>
          <w14:textFill>
            <w14:solidFill>
              <w14:schemeClr w14:val="tx1"/>
            </w14:solidFill>
          </w14:textFill>
        </w:rPr>
      </w:pPr>
    </w:p>
    <w:p w14:paraId="4D98BC0A">
      <w:pPr>
        <w:adjustRightInd w:val="0"/>
        <w:snapToGrid w:val="0"/>
        <w:spacing w:line="500" w:lineRule="exact"/>
        <w:outlineLvl w:val="9"/>
        <w:rPr>
          <w:rFonts w:hint="default" w:ascii="Times New Roman" w:hAnsi="Times New Roman" w:cs="Times New Roman" w:eastAsiaTheme="minorEastAsia"/>
          <w:b/>
          <w:bCs/>
          <w:color w:val="000000" w:themeColor="text1"/>
          <w:kern w:val="2"/>
          <w:sz w:val="32"/>
          <w:szCs w:val="32"/>
          <w:highlight w:val="none"/>
          <w:lang w:val="en-US" w:eastAsia="zh-CN" w:bidi="ar-SA"/>
          <w14:textFill>
            <w14:solidFill>
              <w14:schemeClr w14:val="tx1"/>
            </w14:solidFill>
          </w14:textFill>
        </w:rPr>
      </w:pPr>
      <w:bookmarkStart w:id="24" w:name="_Toc14079"/>
      <w:bookmarkStart w:id="25" w:name="_Toc599"/>
      <w:r>
        <w:rPr>
          <w:rFonts w:hint="default" w:ascii="Times New Roman" w:hAnsi="Times New Roman" w:cs="Times New Roman" w:eastAsiaTheme="minorEastAsia"/>
          <w:b/>
          <w:bCs/>
          <w:color w:val="000000" w:themeColor="text1"/>
          <w:kern w:val="2"/>
          <w:sz w:val="32"/>
          <w:szCs w:val="32"/>
          <w:highlight w:val="none"/>
          <w:lang w:bidi="ar-SA"/>
          <w14:textFill>
            <w14:solidFill>
              <w14:schemeClr w14:val="tx1"/>
            </w14:solidFill>
          </w14:textFill>
        </w:rPr>
        <w:t>建设单位：</w:t>
      </w:r>
      <w:bookmarkEnd w:id="24"/>
      <w:r>
        <w:rPr>
          <w:rFonts w:hint="eastAsia" w:ascii="Times New Roman" w:hAnsi="Times New Roman" w:cs="Times New Roman" w:eastAsiaTheme="minorEastAsia"/>
          <w:b/>
          <w:bCs/>
          <w:color w:val="000000" w:themeColor="text1"/>
          <w:kern w:val="2"/>
          <w:sz w:val="32"/>
          <w:szCs w:val="32"/>
          <w:highlight w:val="none"/>
          <w:lang w:val="en-US" w:eastAsia="zh-CN" w:bidi="ar-SA"/>
          <w14:textFill>
            <w14:solidFill>
              <w14:schemeClr w14:val="tx1"/>
            </w14:solidFill>
          </w14:textFill>
        </w:rPr>
        <w:t>乌鲁木齐市沙依巴克区电投融和新</w:t>
      </w:r>
      <w:r>
        <w:rPr>
          <w:rFonts w:hint="default" w:ascii="Times New Roman" w:hAnsi="Times New Roman" w:cs="Times New Roman" w:eastAsiaTheme="minorEastAsia"/>
          <w:b/>
          <w:bCs/>
          <w:color w:val="000000" w:themeColor="text1"/>
          <w:kern w:val="2"/>
          <w:sz w:val="32"/>
          <w:szCs w:val="32"/>
          <w:highlight w:val="none"/>
          <w:lang w:eastAsia="zh-CN" w:bidi="ar-SA"/>
          <w14:textFill>
            <w14:solidFill>
              <w14:schemeClr w14:val="tx1"/>
            </w14:solidFill>
          </w14:textFill>
        </w:rPr>
        <w:t>能源</w:t>
      </w:r>
      <w:r>
        <w:rPr>
          <w:rFonts w:hint="eastAsia" w:ascii="Times New Roman" w:hAnsi="Times New Roman" w:cs="Times New Roman" w:eastAsiaTheme="minorEastAsia"/>
          <w:b/>
          <w:bCs/>
          <w:color w:val="000000" w:themeColor="text1"/>
          <w:kern w:val="2"/>
          <w:sz w:val="32"/>
          <w:szCs w:val="32"/>
          <w:highlight w:val="none"/>
          <w:lang w:val="en-US" w:eastAsia="zh-CN" w:bidi="ar-SA"/>
          <w14:textFill>
            <w14:solidFill>
              <w14:schemeClr w14:val="tx1"/>
            </w14:solidFill>
          </w14:textFill>
        </w:rPr>
        <w:t>有</w:t>
      </w:r>
      <w:r>
        <w:rPr>
          <w:rFonts w:hint="default" w:ascii="Times New Roman" w:hAnsi="Times New Roman" w:cs="Times New Roman" w:eastAsiaTheme="minorEastAsia"/>
          <w:b/>
          <w:bCs/>
          <w:color w:val="000000" w:themeColor="text1"/>
          <w:kern w:val="2"/>
          <w:sz w:val="32"/>
          <w:szCs w:val="32"/>
          <w:highlight w:val="none"/>
          <w:lang w:eastAsia="zh-CN" w:bidi="ar-SA"/>
          <w14:textFill>
            <w14:solidFill>
              <w14:schemeClr w14:val="tx1"/>
            </w14:solidFill>
          </w14:textFill>
        </w:rPr>
        <w:t>限公司</w:t>
      </w:r>
      <w:bookmarkEnd w:id="25"/>
    </w:p>
    <w:p w14:paraId="733DCC74">
      <w:pPr>
        <w:adjustRightInd w:val="0"/>
        <w:snapToGrid w:val="0"/>
        <w:spacing w:line="500" w:lineRule="exact"/>
        <w:ind w:left="0" w:leftChars="0" w:firstLine="1606" w:firstLineChars="500"/>
        <w:outlineLvl w:val="9"/>
        <w:rPr>
          <w:rFonts w:hint="default" w:ascii="Times New Roman" w:hAnsi="Times New Roman" w:cs="Times New Roman" w:eastAsiaTheme="minorEastAsia"/>
          <w:b/>
          <w:bCs/>
          <w:color w:val="000000" w:themeColor="text1"/>
          <w:kern w:val="2"/>
          <w:sz w:val="32"/>
          <w:szCs w:val="32"/>
          <w:highlight w:val="none"/>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kern w:val="2"/>
          <w:sz w:val="32"/>
          <w:szCs w:val="32"/>
          <w:highlight w:val="none"/>
          <w:lang w:bidi="ar-SA"/>
          <w14:textFill>
            <w14:solidFill>
              <w14:schemeClr w14:val="tx1"/>
            </w14:solidFill>
          </w14:textFill>
        </w:rPr>
        <w:t>编制单位：</w:t>
      </w:r>
      <w:r>
        <w:rPr>
          <w:rFonts w:hint="eastAsia" w:ascii="Times New Roman" w:hAnsi="Times New Roman" w:cs="Times New Roman" w:eastAsiaTheme="minorEastAsia"/>
          <w:b/>
          <w:bCs/>
          <w:color w:val="000000" w:themeColor="text1"/>
          <w:kern w:val="2"/>
          <w:sz w:val="32"/>
          <w:szCs w:val="32"/>
          <w:highlight w:val="none"/>
          <w:lang w:val="en-US" w:eastAsia="zh-CN" w:bidi="ar-SA"/>
          <w14:textFill>
            <w14:solidFill>
              <w14:schemeClr w14:val="tx1"/>
            </w14:solidFill>
          </w14:textFill>
        </w:rPr>
        <w:t>新疆众智安环工程咨询服务有限公司</w:t>
      </w:r>
    </w:p>
    <w:p w14:paraId="1E0C9C66">
      <w:pPr>
        <w:jc w:val="center"/>
        <w:outlineLvl w:val="9"/>
        <w:rPr>
          <w:rFonts w:hint="default" w:ascii="Times New Roman" w:hAnsi="Times New Roman" w:cs="Times New Roman" w:eastAsiaTheme="minorEastAsia"/>
          <w:color w:val="FF0000"/>
          <w:highlight w:val="none"/>
        </w:rPr>
      </w:pPr>
    </w:p>
    <w:p w14:paraId="40FBD54A">
      <w:pPr>
        <w:spacing w:line="500" w:lineRule="exact"/>
        <w:jc w:val="center"/>
        <w:outlineLvl w:val="9"/>
        <w:rPr>
          <w:rFonts w:hint="default" w:ascii="Times New Roman" w:hAnsi="Times New Roman" w:cs="Times New Roman" w:eastAsiaTheme="minorEastAsia"/>
          <w:b/>
          <w:bCs/>
          <w:color w:val="000000" w:themeColor="text1"/>
          <w:kern w:val="2"/>
          <w:sz w:val="30"/>
          <w:szCs w:val="30"/>
          <w:highlight w:val="none"/>
          <w:lang w:bidi="ar-SA"/>
          <w14:textFill>
            <w14:solidFill>
              <w14:schemeClr w14:val="tx1"/>
            </w14:solidFill>
          </w14:textFill>
        </w:rPr>
      </w:pPr>
      <w:bookmarkStart w:id="26" w:name="_Toc294859006"/>
      <w:bookmarkStart w:id="27" w:name="_Toc290643109"/>
      <w:bookmarkStart w:id="28" w:name="_Toc304743083"/>
      <w:r>
        <w:rPr>
          <w:rFonts w:hint="default" w:ascii="Times New Roman" w:hAnsi="Times New Roman" w:cs="Times New Roman" w:eastAsiaTheme="minorEastAsia"/>
          <w:b/>
          <w:bCs/>
          <w:color w:val="000000" w:themeColor="text1"/>
          <w:kern w:val="2"/>
          <w:sz w:val="30"/>
          <w:szCs w:val="30"/>
          <w:highlight w:val="none"/>
          <w:lang w:bidi="ar-SA"/>
          <w14:textFill>
            <w14:solidFill>
              <w14:schemeClr w14:val="tx1"/>
            </w14:solidFill>
          </w14:textFill>
        </w:rPr>
        <w:t>20</w:t>
      </w:r>
      <w:r>
        <w:rPr>
          <w:rFonts w:hint="default" w:ascii="Times New Roman" w:hAnsi="Times New Roman" w:cs="Times New Roman" w:eastAsiaTheme="minorEastAsia"/>
          <w:b/>
          <w:bCs/>
          <w:color w:val="000000" w:themeColor="text1"/>
          <w:kern w:val="2"/>
          <w:sz w:val="30"/>
          <w:szCs w:val="30"/>
          <w:highlight w:val="none"/>
          <w:lang w:val="en-US" w:eastAsia="zh-CN" w:bidi="ar-SA"/>
          <w14:textFill>
            <w14:solidFill>
              <w14:schemeClr w14:val="tx1"/>
            </w14:solidFill>
          </w14:textFill>
        </w:rPr>
        <w:t>2</w:t>
      </w:r>
      <w:r>
        <w:rPr>
          <w:rFonts w:hint="eastAsia" w:ascii="Times New Roman" w:hAnsi="Times New Roman" w:cs="Times New Roman" w:eastAsiaTheme="minorEastAsia"/>
          <w:b/>
          <w:bCs/>
          <w:color w:val="000000" w:themeColor="text1"/>
          <w:kern w:val="2"/>
          <w:sz w:val="30"/>
          <w:szCs w:val="30"/>
          <w:highlight w:val="none"/>
          <w:lang w:val="en-US" w:eastAsia="zh-CN" w:bidi="ar-SA"/>
          <w14:textFill>
            <w14:solidFill>
              <w14:schemeClr w14:val="tx1"/>
            </w14:solidFill>
          </w14:textFill>
        </w:rPr>
        <w:t>5</w:t>
      </w:r>
      <w:r>
        <w:rPr>
          <w:rFonts w:hint="default" w:ascii="Times New Roman" w:hAnsi="Times New Roman" w:cs="Times New Roman" w:eastAsiaTheme="minorEastAsia"/>
          <w:b/>
          <w:bCs/>
          <w:color w:val="000000" w:themeColor="text1"/>
          <w:kern w:val="2"/>
          <w:sz w:val="30"/>
          <w:szCs w:val="30"/>
          <w:highlight w:val="none"/>
          <w:lang w:bidi="ar-SA"/>
          <w14:textFill>
            <w14:solidFill>
              <w14:schemeClr w14:val="tx1"/>
            </w14:solidFill>
          </w14:textFill>
        </w:rPr>
        <w:t>年</w:t>
      </w:r>
      <w:r>
        <w:rPr>
          <w:rFonts w:hint="eastAsia" w:ascii="Times New Roman" w:hAnsi="Times New Roman" w:cs="Times New Roman" w:eastAsiaTheme="minorEastAsia"/>
          <w:b/>
          <w:bCs/>
          <w:color w:val="000000" w:themeColor="text1"/>
          <w:kern w:val="2"/>
          <w:sz w:val="30"/>
          <w:szCs w:val="30"/>
          <w:highlight w:val="none"/>
          <w:lang w:val="en-US" w:eastAsia="zh-CN" w:bidi="ar-SA"/>
          <w14:textFill>
            <w14:solidFill>
              <w14:schemeClr w14:val="tx1"/>
            </w14:solidFill>
          </w14:textFill>
        </w:rPr>
        <w:t>7</w:t>
      </w:r>
      <w:r>
        <w:rPr>
          <w:rFonts w:hint="default" w:ascii="Times New Roman" w:hAnsi="Times New Roman" w:cs="Times New Roman" w:eastAsiaTheme="minorEastAsia"/>
          <w:b/>
          <w:bCs/>
          <w:color w:val="000000" w:themeColor="text1"/>
          <w:kern w:val="2"/>
          <w:sz w:val="30"/>
          <w:szCs w:val="30"/>
          <w:highlight w:val="none"/>
          <w:lang w:bidi="ar-SA"/>
          <w14:textFill>
            <w14:solidFill>
              <w14:schemeClr w14:val="tx1"/>
            </w14:solidFill>
          </w14:textFill>
        </w:rPr>
        <w:t xml:space="preserve">月  </w:t>
      </w:r>
      <w:bookmarkEnd w:id="26"/>
      <w:bookmarkEnd w:id="27"/>
      <w:bookmarkEnd w:id="28"/>
      <w:r>
        <w:rPr>
          <w:rFonts w:hint="default" w:ascii="Times New Roman" w:hAnsi="Times New Roman" w:cs="Times New Roman" w:eastAsiaTheme="minorEastAsia"/>
          <w:b/>
          <w:bCs/>
          <w:color w:val="000000" w:themeColor="text1"/>
          <w:kern w:val="2"/>
          <w:sz w:val="30"/>
          <w:szCs w:val="30"/>
          <w:highlight w:val="none"/>
          <w:lang w:bidi="ar-SA"/>
          <w14:textFill>
            <w14:solidFill>
              <w14:schemeClr w14:val="tx1"/>
            </w14:solidFill>
          </w14:textFill>
        </w:rPr>
        <w:t>乌鲁木齐</w:t>
      </w:r>
    </w:p>
    <w:p w14:paraId="4C9C0A83">
      <w:pPr>
        <w:pStyle w:val="6"/>
        <w:ind w:left="0" w:leftChars="0" w:firstLine="0" w:firstLineChars="0"/>
        <w:rPr>
          <w:rFonts w:hint="default" w:ascii="Times New Roman" w:hAnsi="Times New Roman" w:cs="Times New Roman" w:eastAsiaTheme="minorEastAsia"/>
          <w:color w:val="FF0000"/>
          <w:lang w:eastAsia="zh-CN"/>
        </w:rPr>
        <w:sectPr>
          <w:headerReference r:id="rId5" w:type="default"/>
          <w:footerReference r:id="rId6" w:type="default"/>
          <w:pgSz w:w="11906" w:h="16838"/>
          <w:pgMar w:top="1417" w:right="1361" w:bottom="1417" w:left="1587" w:header="851" w:footer="992" w:gutter="0"/>
          <w:pgBorders>
            <w:top w:val="none" w:sz="0" w:space="0"/>
            <w:left w:val="none" w:sz="0" w:space="0"/>
            <w:bottom w:val="none" w:sz="0" w:space="0"/>
            <w:right w:val="none" w:sz="0" w:space="0"/>
          </w:pgBorders>
          <w:pgNumType w:fmt="decimal" w:start="1"/>
          <w:cols w:space="720" w:num="1"/>
          <w:titlePg/>
          <w:docGrid w:type="lines" w:linePitch="312" w:charSpace="0"/>
        </w:sectPr>
      </w:pPr>
    </w:p>
    <w:tbl>
      <w:tblPr>
        <w:tblStyle w:val="7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14:paraId="3C7604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4261" w:type="dxa"/>
            <w:noWrap w:val="0"/>
            <w:vAlign w:val="center"/>
          </w:tcPr>
          <w:p w14:paraId="11FB8676">
            <w:pPr>
              <w:pStyle w:val="58"/>
              <w:keepNext w:val="0"/>
              <w:keepLines w:val="0"/>
              <w:pageBreakBefore w:val="0"/>
              <w:widowControl w:val="0"/>
              <w:kinsoku/>
              <w:wordWrap/>
              <w:overflowPunct/>
              <w:topLinePunct w:val="0"/>
              <w:autoSpaceDE/>
              <w:autoSpaceDN/>
              <w:bidi w:val="0"/>
              <w:adjustRightInd w:val="0"/>
              <w:snapToGrid w:val="0"/>
              <w:spacing w:line="312" w:lineRule="auto"/>
              <w:ind w:left="0" w:leftChars="0" w:firstLine="0" w:firstLineChars="0"/>
              <w:jc w:val="center"/>
              <w:textAlignment w:val="baseline"/>
              <w:rPr>
                <w:rFonts w:hint="default" w:ascii="Times New Roman" w:hAnsi="Times New Roman" w:cs="Times New Roman" w:eastAsiaTheme="minorEastAsia"/>
                <w:b/>
                <w:bCs/>
                <w:color w:val="FF0000"/>
                <w:kern w:val="2"/>
                <w:sz w:val="24"/>
                <w:szCs w:val="24"/>
                <w:highlight w:val="none"/>
                <w:vertAlign w:val="baseline"/>
                <w:lang w:val="en-US" w:eastAsia="zh-CN" w:bidi="ar-SA"/>
              </w:rPr>
            </w:pPr>
            <w:bookmarkStart w:id="29" w:name="_Toc8907"/>
            <w:bookmarkStart w:id="30" w:name="_Toc32433"/>
            <w:bookmarkStart w:id="31" w:name="_Toc24777"/>
            <w:bookmarkStart w:id="32" w:name="_Toc27025"/>
            <w:bookmarkStart w:id="33" w:name="_Toc29806"/>
            <w:bookmarkStart w:id="34" w:name="_Toc14249"/>
            <w:bookmarkStart w:id="35" w:name="_Toc29019"/>
            <w:r>
              <w:drawing>
                <wp:inline distT="0" distB="0" distL="0" distR="0">
                  <wp:extent cx="2362200" cy="1771015"/>
                  <wp:effectExtent l="0" t="0" r="0" b="12065"/>
                  <wp:docPr id="272" name="图片 272" descr="D:\WeChat Files\wxid_j9do762oaqgw21\FileStorage\Temp\9d05b73c8874f8b19159346087c4a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272" descr="D:\WeChat Files\wxid_j9do762oaqgw21\FileStorage\Temp\9d05b73c8874f8b19159346087c4a4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369693" cy="1777269"/>
                          </a:xfrm>
                          <a:prstGeom prst="rect">
                            <a:avLst/>
                          </a:prstGeom>
                          <a:noFill/>
                          <a:ln>
                            <a:noFill/>
                          </a:ln>
                        </pic:spPr>
                      </pic:pic>
                    </a:graphicData>
                  </a:graphic>
                </wp:inline>
              </w:drawing>
            </w:r>
          </w:p>
        </w:tc>
        <w:tc>
          <w:tcPr>
            <w:tcW w:w="4261" w:type="dxa"/>
            <w:noWrap w:val="0"/>
            <w:vAlign w:val="center"/>
          </w:tcPr>
          <w:p w14:paraId="36BE9CE4">
            <w:pPr>
              <w:pStyle w:val="58"/>
              <w:keepNext w:val="0"/>
              <w:keepLines w:val="0"/>
              <w:pageBreakBefore w:val="0"/>
              <w:widowControl w:val="0"/>
              <w:kinsoku/>
              <w:wordWrap/>
              <w:overflowPunct/>
              <w:topLinePunct w:val="0"/>
              <w:autoSpaceDE/>
              <w:autoSpaceDN/>
              <w:bidi w:val="0"/>
              <w:adjustRightInd w:val="0"/>
              <w:snapToGrid w:val="0"/>
              <w:spacing w:line="312" w:lineRule="auto"/>
              <w:ind w:left="0" w:leftChars="0" w:firstLine="0" w:firstLineChars="0"/>
              <w:jc w:val="both"/>
              <w:textAlignment w:val="baseline"/>
              <w:rPr>
                <w:rFonts w:hint="default" w:ascii="Times New Roman" w:hAnsi="Times New Roman" w:cs="Times New Roman" w:eastAsiaTheme="minorEastAsia"/>
                <w:b/>
                <w:bCs/>
                <w:color w:val="FF0000"/>
                <w:kern w:val="2"/>
                <w:sz w:val="24"/>
                <w:szCs w:val="24"/>
                <w:highlight w:val="none"/>
                <w:vertAlign w:val="baseline"/>
                <w:lang w:val="en-US" w:eastAsia="zh-CN" w:bidi="ar-SA"/>
              </w:rPr>
            </w:pPr>
            <w:r>
              <w:drawing>
                <wp:inline distT="0" distB="0" distL="0" distR="0">
                  <wp:extent cx="2381250" cy="1785620"/>
                  <wp:effectExtent l="0" t="0" r="11430" b="12700"/>
                  <wp:docPr id="273" name="图片 273" descr="D:\WeChat Files\wxid_j9do762oaqgw21\FileStorage\Temp\1784a12c4d2a45f2843f07c9664d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273" descr="D:\WeChat Files\wxid_j9do762oaqgw21\FileStorage\Temp\1784a12c4d2a45f2843f07c9664d22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384363" cy="1788272"/>
                          </a:xfrm>
                          <a:prstGeom prst="rect">
                            <a:avLst/>
                          </a:prstGeom>
                          <a:noFill/>
                          <a:ln>
                            <a:noFill/>
                          </a:ln>
                        </pic:spPr>
                      </pic:pic>
                    </a:graphicData>
                  </a:graphic>
                </wp:inline>
              </w:drawing>
            </w:r>
          </w:p>
        </w:tc>
      </w:tr>
      <w:tr w14:paraId="7FCF50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4261" w:type="dxa"/>
            <w:noWrap w:val="0"/>
            <w:vAlign w:val="center"/>
          </w:tcPr>
          <w:p w14:paraId="28AD40FD">
            <w:pPr>
              <w:pStyle w:val="58"/>
              <w:keepNext w:val="0"/>
              <w:keepLines w:val="0"/>
              <w:pageBreakBefore w:val="0"/>
              <w:widowControl w:val="0"/>
              <w:kinsoku/>
              <w:wordWrap/>
              <w:overflowPunct/>
              <w:topLinePunct w:val="0"/>
              <w:autoSpaceDE/>
              <w:autoSpaceDN/>
              <w:bidi w:val="0"/>
              <w:adjustRightInd w:val="0"/>
              <w:snapToGrid w:val="0"/>
              <w:spacing w:line="312" w:lineRule="auto"/>
              <w:ind w:left="0" w:leftChars="0" w:firstLine="0" w:firstLineChars="0"/>
              <w:jc w:val="center"/>
              <w:textAlignment w:val="baseline"/>
              <w:rPr>
                <w:rFonts w:hint="default" w:ascii="Times New Roman" w:hAnsi="Times New Roman" w:eastAsia="宋体" w:cs="Times New Roman"/>
                <w:b/>
                <w:bCs/>
                <w:color w:val="FF0000"/>
                <w:kern w:val="2"/>
                <w:sz w:val="24"/>
                <w:szCs w:val="24"/>
                <w:highlight w:val="none"/>
                <w:vertAlign w:val="baseline"/>
                <w:lang w:val="en-US" w:eastAsia="zh-CN" w:bidi="ar-SA"/>
              </w:rPr>
            </w:pPr>
            <w:r>
              <w:rPr>
                <w:rFonts w:hint="eastAsia"/>
              </w:rPr>
              <w:t>拟选场</w:t>
            </w:r>
            <w:r>
              <w:t>址</w:t>
            </w:r>
            <w:r>
              <w:rPr>
                <w:rFonts w:hint="eastAsia"/>
                <w:lang w:val="en-US" w:eastAsia="zh-CN"/>
              </w:rPr>
              <w:t>实景1</w:t>
            </w:r>
          </w:p>
        </w:tc>
        <w:tc>
          <w:tcPr>
            <w:tcW w:w="4261" w:type="dxa"/>
            <w:noWrap w:val="0"/>
            <w:vAlign w:val="center"/>
          </w:tcPr>
          <w:p w14:paraId="77533AAC">
            <w:pPr>
              <w:pStyle w:val="58"/>
              <w:keepNext w:val="0"/>
              <w:keepLines w:val="0"/>
              <w:pageBreakBefore w:val="0"/>
              <w:widowControl w:val="0"/>
              <w:kinsoku/>
              <w:wordWrap/>
              <w:overflowPunct/>
              <w:topLinePunct w:val="0"/>
              <w:autoSpaceDE/>
              <w:autoSpaceDN/>
              <w:bidi w:val="0"/>
              <w:adjustRightInd w:val="0"/>
              <w:snapToGrid w:val="0"/>
              <w:spacing w:line="312" w:lineRule="auto"/>
              <w:ind w:left="0" w:leftChars="0" w:firstLine="0" w:firstLineChars="0"/>
              <w:jc w:val="center"/>
              <w:textAlignment w:val="baseline"/>
              <w:rPr>
                <w:rFonts w:hint="default" w:ascii="Times New Roman" w:hAnsi="Times New Roman" w:cs="Times New Roman" w:eastAsiaTheme="minorEastAsia"/>
                <w:b/>
                <w:bCs/>
                <w:color w:val="FF0000"/>
                <w:kern w:val="2"/>
                <w:sz w:val="24"/>
                <w:szCs w:val="24"/>
                <w:highlight w:val="none"/>
                <w:vertAlign w:val="baseline"/>
                <w:lang w:val="en-US" w:eastAsia="zh-CN" w:bidi="ar-SA"/>
              </w:rPr>
            </w:pPr>
            <w:r>
              <w:rPr>
                <w:rFonts w:hint="eastAsia"/>
              </w:rPr>
              <w:t>拟选场</w:t>
            </w:r>
            <w:r>
              <w:t>址</w:t>
            </w:r>
            <w:r>
              <w:rPr>
                <w:rFonts w:hint="eastAsia"/>
                <w:lang w:val="en-US" w:eastAsia="zh-CN"/>
              </w:rPr>
              <w:t>实景2</w:t>
            </w:r>
          </w:p>
        </w:tc>
      </w:tr>
      <w:tr w14:paraId="3EEB2D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4261" w:type="dxa"/>
            <w:noWrap w:val="0"/>
            <w:vAlign w:val="center"/>
          </w:tcPr>
          <w:p w14:paraId="202C718E">
            <w:pPr>
              <w:pStyle w:val="58"/>
              <w:keepNext w:val="0"/>
              <w:keepLines w:val="0"/>
              <w:pageBreakBefore w:val="0"/>
              <w:widowControl w:val="0"/>
              <w:kinsoku/>
              <w:wordWrap/>
              <w:overflowPunct/>
              <w:topLinePunct w:val="0"/>
              <w:autoSpaceDE/>
              <w:autoSpaceDN/>
              <w:bidi w:val="0"/>
              <w:adjustRightInd w:val="0"/>
              <w:snapToGrid w:val="0"/>
              <w:spacing w:line="312" w:lineRule="auto"/>
              <w:ind w:left="0" w:leftChars="0" w:firstLine="0" w:firstLineChars="0"/>
              <w:jc w:val="center"/>
              <w:textAlignment w:val="baseline"/>
              <w:rPr>
                <w:rFonts w:hint="default" w:ascii="Times New Roman" w:hAnsi="Times New Roman" w:cs="Times New Roman" w:eastAsiaTheme="minorEastAsia"/>
                <w:b/>
                <w:bCs/>
                <w:color w:val="FF0000"/>
                <w:kern w:val="2"/>
                <w:sz w:val="24"/>
                <w:szCs w:val="24"/>
                <w:highlight w:val="none"/>
                <w:vertAlign w:val="baseline"/>
                <w:lang w:val="en-US" w:eastAsia="zh-CN" w:bidi="ar-SA"/>
              </w:rPr>
            </w:pPr>
            <w:r>
              <w:drawing>
                <wp:inline distT="0" distB="0" distL="0" distR="0">
                  <wp:extent cx="2352675" cy="1764030"/>
                  <wp:effectExtent l="0" t="0" r="9525" b="3810"/>
                  <wp:docPr id="277" name="图片 277" descr="D:\WeChat Files\wxid_j9do762oaqgw21\FileStorage\Temp\bfe6aea2bb82c52d39f4931e228a8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277" descr="D:\WeChat Files\wxid_j9do762oaqgw21\FileStorage\Temp\bfe6aea2bb82c52d39f4931e228a82f.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357916" cy="1768438"/>
                          </a:xfrm>
                          <a:prstGeom prst="rect">
                            <a:avLst/>
                          </a:prstGeom>
                          <a:noFill/>
                          <a:ln>
                            <a:noFill/>
                          </a:ln>
                        </pic:spPr>
                      </pic:pic>
                    </a:graphicData>
                  </a:graphic>
                </wp:inline>
              </w:drawing>
            </w:r>
          </w:p>
        </w:tc>
        <w:tc>
          <w:tcPr>
            <w:tcW w:w="4261" w:type="dxa"/>
            <w:noWrap w:val="0"/>
            <w:vAlign w:val="center"/>
          </w:tcPr>
          <w:p w14:paraId="39D7076C">
            <w:pPr>
              <w:pStyle w:val="58"/>
              <w:keepNext w:val="0"/>
              <w:keepLines w:val="0"/>
              <w:pageBreakBefore w:val="0"/>
              <w:widowControl w:val="0"/>
              <w:kinsoku/>
              <w:wordWrap/>
              <w:overflowPunct/>
              <w:topLinePunct w:val="0"/>
              <w:autoSpaceDE/>
              <w:autoSpaceDN/>
              <w:bidi w:val="0"/>
              <w:adjustRightInd w:val="0"/>
              <w:snapToGrid w:val="0"/>
              <w:spacing w:line="312" w:lineRule="auto"/>
              <w:ind w:left="0" w:leftChars="0" w:firstLine="0" w:firstLineChars="0"/>
              <w:jc w:val="center"/>
              <w:textAlignment w:val="baseline"/>
              <w:rPr>
                <w:rFonts w:hint="default" w:ascii="Times New Roman" w:hAnsi="Times New Roman" w:cs="Times New Roman" w:eastAsiaTheme="minorEastAsia"/>
                <w:b/>
                <w:bCs/>
                <w:color w:val="FF0000"/>
                <w:kern w:val="2"/>
                <w:sz w:val="24"/>
                <w:szCs w:val="24"/>
                <w:highlight w:val="none"/>
                <w:vertAlign w:val="baseline"/>
                <w:lang w:val="en-US" w:eastAsia="zh-CN" w:bidi="ar-SA"/>
              </w:rPr>
            </w:pPr>
            <w:r>
              <w:drawing>
                <wp:inline distT="0" distB="0" distL="0" distR="0">
                  <wp:extent cx="2368550" cy="1776095"/>
                  <wp:effectExtent l="0" t="0" r="8890" b="6985"/>
                  <wp:docPr id="275" name="图片 275" descr="D:\WeChat Files\wxid_j9do762oaqgw21\FileStorage\Temp\eaea52fae4447652463c6ae1edc92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275" descr="D:\WeChat Files\wxid_j9do762oaqgw21\FileStorage\Temp\eaea52fae4447652463c6ae1edc928f.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370796" cy="1778097"/>
                          </a:xfrm>
                          <a:prstGeom prst="rect">
                            <a:avLst/>
                          </a:prstGeom>
                          <a:noFill/>
                          <a:ln>
                            <a:noFill/>
                          </a:ln>
                        </pic:spPr>
                      </pic:pic>
                    </a:graphicData>
                  </a:graphic>
                </wp:inline>
              </w:drawing>
            </w:r>
          </w:p>
        </w:tc>
      </w:tr>
      <w:tr w14:paraId="25AB37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4261" w:type="dxa"/>
            <w:noWrap w:val="0"/>
            <w:vAlign w:val="center"/>
          </w:tcPr>
          <w:p w14:paraId="00775191">
            <w:pPr>
              <w:pStyle w:val="58"/>
              <w:keepNext w:val="0"/>
              <w:keepLines w:val="0"/>
              <w:pageBreakBefore w:val="0"/>
              <w:widowControl w:val="0"/>
              <w:kinsoku/>
              <w:wordWrap/>
              <w:overflowPunct/>
              <w:topLinePunct w:val="0"/>
              <w:autoSpaceDE/>
              <w:autoSpaceDN/>
              <w:bidi w:val="0"/>
              <w:adjustRightInd w:val="0"/>
              <w:snapToGrid w:val="0"/>
              <w:spacing w:line="312" w:lineRule="auto"/>
              <w:ind w:left="0" w:leftChars="0" w:firstLine="0" w:firstLineChars="0"/>
              <w:jc w:val="center"/>
              <w:textAlignment w:val="baseline"/>
              <w:rPr>
                <w:rFonts w:hint="default" w:ascii="Times New Roman" w:hAnsi="Times New Roman" w:cs="Times New Roman" w:eastAsiaTheme="minorEastAsia"/>
                <w:b/>
                <w:bCs/>
                <w:color w:val="FF0000"/>
                <w:kern w:val="2"/>
                <w:sz w:val="24"/>
                <w:szCs w:val="24"/>
                <w:highlight w:val="none"/>
                <w:vertAlign w:val="baseline"/>
                <w:lang w:val="en-US" w:eastAsia="zh-CN" w:bidi="ar-SA"/>
              </w:rPr>
            </w:pPr>
            <w:r>
              <w:rPr>
                <w:rFonts w:hint="eastAsia"/>
              </w:rPr>
              <w:t>拟选场</w:t>
            </w:r>
            <w:r>
              <w:t>址</w:t>
            </w:r>
            <w:r>
              <w:rPr>
                <w:rFonts w:hint="eastAsia"/>
                <w:lang w:val="en-US" w:eastAsia="zh-CN"/>
              </w:rPr>
              <w:t>实景3</w:t>
            </w:r>
          </w:p>
        </w:tc>
        <w:tc>
          <w:tcPr>
            <w:tcW w:w="4261" w:type="dxa"/>
            <w:noWrap w:val="0"/>
            <w:vAlign w:val="center"/>
          </w:tcPr>
          <w:p w14:paraId="7C1C1A01">
            <w:pPr>
              <w:keepNext w:val="0"/>
              <w:keepLines w:val="0"/>
              <w:pageBreakBefore w:val="0"/>
              <w:widowControl w:val="0"/>
              <w:kinsoku/>
              <w:wordWrap/>
              <w:overflowPunct/>
              <w:topLinePunct w:val="0"/>
              <w:autoSpaceDE/>
              <w:autoSpaceDN/>
              <w:bidi w:val="0"/>
              <w:snapToGrid w:val="0"/>
              <w:spacing w:line="312" w:lineRule="auto"/>
              <w:ind w:left="0" w:leftChars="0" w:firstLine="0" w:firstLineChars="0"/>
              <w:jc w:val="center"/>
              <w:rPr>
                <w:rFonts w:hint="default" w:ascii="Times New Roman" w:hAnsi="Times New Roman" w:cs="Times New Roman" w:eastAsiaTheme="minorEastAsia"/>
                <w:b/>
                <w:bCs/>
                <w:color w:val="FF0000"/>
                <w:kern w:val="2"/>
                <w:sz w:val="24"/>
                <w:szCs w:val="24"/>
                <w:highlight w:val="none"/>
                <w:vertAlign w:val="baseline"/>
                <w:lang w:val="en-US" w:eastAsia="zh-CN" w:bidi="ar-SA"/>
              </w:rPr>
            </w:pPr>
            <w:r>
              <w:rPr>
                <w:rFonts w:hint="eastAsia"/>
              </w:rPr>
              <w:t>拟选</w:t>
            </w:r>
            <w:r>
              <w:t>场址周围现有道路</w:t>
            </w:r>
          </w:p>
        </w:tc>
      </w:tr>
      <w:tr w14:paraId="7B21E5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4261" w:type="dxa"/>
            <w:noWrap w:val="0"/>
            <w:vAlign w:val="center"/>
          </w:tcPr>
          <w:p w14:paraId="7D4B478C">
            <w:pPr>
              <w:pStyle w:val="58"/>
              <w:keepNext w:val="0"/>
              <w:keepLines w:val="0"/>
              <w:pageBreakBefore w:val="0"/>
              <w:widowControl w:val="0"/>
              <w:kinsoku/>
              <w:wordWrap/>
              <w:overflowPunct/>
              <w:topLinePunct w:val="0"/>
              <w:autoSpaceDE/>
              <w:autoSpaceDN/>
              <w:bidi w:val="0"/>
              <w:adjustRightInd w:val="0"/>
              <w:snapToGrid w:val="0"/>
              <w:spacing w:line="312" w:lineRule="auto"/>
              <w:ind w:left="0" w:leftChars="0" w:firstLine="0" w:firstLineChars="0"/>
              <w:jc w:val="center"/>
              <w:textAlignment w:val="baseline"/>
              <w:rPr>
                <w:rFonts w:hint="default" w:ascii="Times New Roman" w:hAnsi="Times New Roman" w:cs="Times New Roman" w:eastAsiaTheme="minorEastAsia"/>
                <w:b/>
                <w:bCs/>
                <w:color w:val="FF0000"/>
                <w:kern w:val="2"/>
                <w:sz w:val="24"/>
                <w:szCs w:val="24"/>
                <w:highlight w:val="none"/>
                <w:vertAlign w:val="baseline"/>
                <w:lang w:val="en-US" w:eastAsia="zh-CN" w:bidi="ar-SA"/>
              </w:rPr>
            </w:pPr>
            <w:r>
              <w:drawing>
                <wp:inline distT="0" distB="0" distL="0" distR="0">
                  <wp:extent cx="2365375" cy="1773555"/>
                  <wp:effectExtent l="0" t="0" r="12065" b="9525"/>
                  <wp:docPr id="276" name="图片 276" descr="D:\WeChat Files\wxid_j9do762oaqgw21\FileStorage\Temp\6c55646e36319dcbc6ea1f8a0adeb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276" descr="D:\WeChat Files\wxid_j9do762oaqgw21\FileStorage\Temp\6c55646e36319dcbc6ea1f8a0adeb1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370959" cy="1778219"/>
                          </a:xfrm>
                          <a:prstGeom prst="rect">
                            <a:avLst/>
                          </a:prstGeom>
                          <a:noFill/>
                          <a:ln>
                            <a:noFill/>
                          </a:ln>
                        </pic:spPr>
                      </pic:pic>
                    </a:graphicData>
                  </a:graphic>
                </wp:inline>
              </w:drawing>
            </w:r>
          </w:p>
        </w:tc>
        <w:tc>
          <w:tcPr>
            <w:tcW w:w="4261" w:type="dxa"/>
            <w:noWrap w:val="0"/>
            <w:vAlign w:val="center"/>
          </w:tcPr>
          <w:p w14:paraId="242F2A6C">
            <w:pPr>
              <w:pStyle w:val="58"/>
              <w:keepNext w:val="0"/>
              <w:keepLines w:val="0"/>
              <w:pageBreakBefore w:val="0"/>
              <w:widowControl w:val="0"/>
              <w:kinsoku/>
              <w:wordWrap/>
              <w:overflowPunct/>
              <w:topLinePunct w:val="0"/>
              <w:autoSpaceDE/>
              <w:autoSpaceDN/>
              <w:bidi w:val="0"/>
              <w:adjustRightInd w:val="0"/>
              <w:snapToGrid w:val="0"/>
              <w:spacing w:line="312" w:lineRule="auto"/>
              <w:ind w:left="0" w:leftChars="0" w:firstLine="0" w:firstLineChars="0"/>
              <w:jc w:val="center"/>
              <w:textAlignment w:val="baseline"/>
              <w:rPr>
                <w:rFonts w:hint="default" w:ascii="Times New Roman" w:hAnsi="Times New Roman" w:cs="Times New Roman" w:eastAsiaTheme="minorEastAsia"/>
                <w:b/>
                <w:bCs/>
                <w:color w:val="FF0000"/>
                <w:kern w:val="2"/>
                <w:sz w:val="24"/>
                <w:szCs w:val="24"/>
                <w:highlight w:val="none"/>
                <w:vertAlign w:val="baseline"/>
                <w:lang w:val="en-US" w:eastAsia="zh-CN" w:bidi="ar-SA"/>
              </w:rPr>
            </w:pPr>
            <w:r>
              <w:drawing>
                <wp:inline distT="0" distB="0" distL="0" distR="0">
                  <wp:extent cx="2378075" cy="1783080"/>
                  <wp:effectExtent l="0" t="0" r="14605" b="0"/>
                  <wp:docPr id="284" name="图片 284" descr="D:\WeChat Files\wxid_j9do762oaqgw21\FileStorage\Temp\34311872bc3943e5c9cb1efc0fd4b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284" descr="D:\WeChat Files\wxid_j9do762oaqgw21\FileStorage\Temp\34311872bc3943e5c9cb1efc0fd4b0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383582" cy="1787686"/>
                          </a:xfrm>
                          <a:prstGeom prst="rect">
                            <a:avLst/>
                          </a:prstGeom>
                          <a:noFill/>
                          <a:ln>
                            <a:noFill/>
                          </a:ln>
                        </pic:spPr>
                      </pic:pic>
                    </a:graphicData>
                  </a:graphic>
                </wp:inline>
              </w:drawing>
            </w:r>
          </w:p>
        </w:tc>
      </w:tr>
      <w:tr w14:paraId="5E03BD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4261" w:type="dxa"/>
            <w:noWrap w:val="0"/>
            <w:vAlign w:val="center"/>
          </w:tcPr>
          <w:p w14:paraId="7D1A52ED">
            <w:pPr>
              <w:pStyle w:val="58"/>
              <w:keepNext w:val="0"/>
              <w:keepLines w:val="0"/>
              <w:pageBreakBefore w:val="0"/>
              <w:widowControl w:val="0"/>
              <w:kinsoku/>
              <w:wordWrap/>
              <w:overflowPunct/>
              <w:topLinePunct w:val="0"/>
              <w:autoSpaceDE/>
              <w:autoSpaceDN/>
              <w:bidi w:val="0"/>
              <w:adjustRightInd w:val="0"/>
              <w:snapToGrid w:val="0"/>
              <w:spacing w:line="312" w:lineRule="auto"/>
              <w:ind w:left="0" w:leftChars="0" w:firstLine="0" w:firstLineChars="0"/>
              <w:jc w:val="center"/>
              <w:textAlignment w:val="baseline"/>
              <w:rPr>
                <w:rFonts w:hint="eastAsia" w:ascii="Times New Roman" w:hAnsi="Times New Roman" w:eastAsia="宋体" w:cs="Times New Roman"/>
                <w:b/>
                <w:bCs/>
                <w:color w:val="FF0000"/>
                <w:kern w:val="2"/>
                <w:sz w:val="24"/>
                <w:szCs w:val="24"/>
                <w:highlight w:val="none"/>
                <w:vertAlign w:val="baseline"/>
                <w:lang w:val="en-US" w:eastAsia="zh-CN" w:bidi="ar-SA"/>
              </w:rPr>
            </w:pPr>
            <w:r>
              <w:rPr>
                <w:rFonts w:hint="eastAsia"/>
              </w:rPr>
              <w:t>拟选</w:t>
            </w:r>
            <w:r>
              <w:t>场址周围农田</w:t>
            </w:r>
            <w:r>
              <w:rPr>
                <w:rFonts w:hint="eastAsia"/>
                <w:lang w:val="en-US" w:eastAsia="zh-CN"/>
              </w:rPr>
              <w:t>1</w:t>
            </w:r>
          </w:p>
        </w:tc>
        <w:tc>
          <w:tcPr>
            <w:tcW w:w="4261" w:type="dxa"/>
            <w:noWrap w:val="0"/>
            <w:vAlign w:val="center"/>
          </w:tcPr>
          <w:p w14:paraId="3D26D090">
            <w:pPr>
              <w:pStyle w:val="58"/>
              <w:keepNext w:val="0"/>
              <w:keepLines w:val="0"/>
              <w:pageBreakBefore w:val="0"/>
              <w:widowControl w:val="0"/>
              <w:kinsoku/>
              <w:wordWrap/>
              <w:overflowPunct/>
              <w:topLinePunct w:val="0"/>
              <w:autoSpaceDE/>
              <w:autoSpaceDN/>
              <w:bidi w:val="0"/>
              <w:adjustRightInd w:val="0"/>
              <w:snapToGrid w:val="0"/>
              <w:spacing w:line="312" w:lineRule="auto"/>
              <w:ind w:left="0" w:leftChars="0" w:firstLine="0" w:firstLineChars="0"/>
              <w:jc w:val="center"/>
              <w:textAlignment w:val="baseline"/>
              <w:rPr>
                <w:rFonts w:hint="default" w:ascii="Times New Roman" w:hAnsi="Times New Roman" w:eastAsia="宋体" w:cs="Times New Roman"/>
                <w:b/>
                <w:bCs/>
                <w:color w:val="FF0000"/>
                <w:kern w:val="2"/>
                <w:sz w:val="24"/>
                <w:szCs w:val="24"/>
                <w:highlight w:val="none"/>
                <w:vertAlign w:val="baseline"/>
                <w:lang w:val="en-US" w:eastAsia="zh-CN" w:bidi="ar-SA"/>
              </w:rPr>
            </w:pPr>
            <w:r>
              <w:rPr>
                <w:rFonts w:hint="eastAsia"/>
              </w:rPr>
              <w:t>拟选场址</w:t>
            </w:r>
            <w:r>
              <w:t>周围农田</w:t>
            </w:r>
            <w:r>
              <w:rPr>
                <w:rFonts w:hint="eastAsia"/>
                <w:lang w:val="en-US" w:eastAsia="zh-CN"/>
              </w:rPr>
              <w:t>2</w:t>
            </w:r>
          </w:p>
        </w:tc>
      </w:tr>
      <w:tr w14:paraId="208475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4261" w:type="dxa"/>
            <w:noWrap w:val="0"/>
            <w:vAlign w:val="center"/>
          </w:tcPr>
          <w:p w14:paraId="0AE22990">
            <w:pPr>
              <w:pStyle w:val="58"/>
              <w:keepNext w:val="0"/>
              <w:keepLines w:val="0"/>
              <w:pageBreakBefore w:val="0"/>
              <w:widowControl w:val="0"/>
              <w:kinsoku/>
              <w:wordWrap/>
              <w:overflowPunct/>
              <w:topLinePunct w:val="0"/>
              <w:autoSpaceDE/>
              <w:autoSpaceDN/>
              <w:bidi w:val="0"/>
              <w:adjustRightInd w:val="0"/>
              <w:snapToGrid w:val="0"/>
              <w:spacing w:line="312" w:lineRule="auto"/>
              <w:ind w:left="0" w:leftChars="0" w:firstLine="0" w:firstLineChars="0"/>
              <w:jc w:val="center"/>
              <w:textAlignment w:val="baseline"/>
              <w:rPr>
                <w:rFonts w:hint="default" w:ascii="Times New Roman" w:hAnsi="Times New Roman" w:cs="Times New Roman" w:eastAsiaTheme="minorEastAsia"/>
                <w:b/>
                <w:bCs/>
                <w:color w:val="FF0000"/>
                <w:kern w:val="2"/>
                <w:sz w:val="24"/>
                <w:szCs w:val="24"/>
                <w:highlight w:val="none"/>
                <w:vertAlign w:val="baseline"/>
                <w:lang w:val="en-US" w:eastAsia="zh-CN" w:bidi="ar-SA"/>
              </w:rPr>
            </w:pPr>
            <w:r>
              <w:drawing>
                <wp:inline distT="0" distB="0" distL="0" distR="0">
                  <wp:extent cx="2362200" cy="1737360"/>
                  <wp:effectExtent l="0" t="0" r="0" b="0"/>
                  <wp:docPr id="280" name="图片 280" descr="D:\WeChat Files\wxid_j9do762oaqgw21\FileStorage\Temp\06f66dd6fd933f364b4f94176e76e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280" descr="D:\WeChat Files\wxid_j9do762oaqgw21\FileStorage\Temp\06f66dd6fd933f364b4f94176e76ee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368684" cy="1742129"/>
                          </a:xfrm>
                          <a:prstGeom prst="rect">
                            <a:avLst/>
                          </a:prstGeom>
                          <a:noFill/>
                          <a:ln>
                            <a:noFill/>
                          </a:ln>
                        </pic:spPr>
                      </pic:pic>
                    </a:graphicData>
                  </a:graphic>
                </wp:inline>
              </w:drawing>
            </w:r>
          </w:p>
        </w:tc>
        <w:tc>
          <w:tcPr>
            <w:tcW w:w="4261" w:type="dxa"/>
            <w:noWrap w:val="0"/>
            <w:vAlign w:val="center"/>
          </w:tcPr>
          <w:p w14:paraId="7F85824A">
            <w:pPr>
              <w:pStyle w:val="58"/>
              <w:keepNext w:val="0"/>
              <w:keepLines w:val="0"/>
              <w:pageBreakBefore w:val="0"/>
              <w:widowControl w:val="0"/>
              <w:kinsoku/>
              <w:wordWrap/>
              <w:overflowPunct/>
              <w:topLinePunct w:val="0"/>
              <w:autoSpaceDE/>
              <w:autoSpaceDN/>
              <w:bidi w:val="0"/>
              <w:adjustRightInd w:val="0"/>
              <w:snapToGrid w:val="0"/>
              <w:spacing w:line="312" w:lineRule="auto"/>
              <w:ind w:left="0" w:leftChars="0" w:firstLine="0" w:firstLineChars="0"/>
              <w:jc w:val="both"/>
              <w:textAlignment w:val="baseline"/>
              <w:rPr>
                <w:rFonts w:hint="default" w:ascii="Times New Roman" w:hAnsi="Times New Roman" w:cs="Times New Roman" w:eastAsiaTheme="minorEastAsia"/>
                <w:b/>
                <w:bCs/>
                <w:color w:val="FF0000"/>
                <w:kern w:val="2"/>
                <w:sz w:val="24"/>
                <w:szCs w:val="24"/>
                <w:highlight w:val="none"/>
                <w:vertAlign w:val="baseline"/>
                <w:lang w:val="en-US" w:eastAsia="zh-CN" w:bidi="ar-SA"/>
              </w:rPr>
            </w:pPr>
            <w:r>
              <w:drawing>
                <wp:inline distT="0" distB="0" distL="0" distR="0">
                  <wp:extent cx="2419350" cy="1676400"/>
                  <wp:effectExtent l="0" t="0" r="3810" b="0"/>
                  <wp:docPr id="281" name="图片 281" descr="D:\WeChat Files\wxid_j9do762oaqgw21\FileStorage\Temp\1238ad90008c8fa60666f2fcaf7ff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281" descr="D:\WeChat Files\wxid_j9do762oaqgw21\FileStorage\Temp\1238ad90008c8fa60666f2fcaf7ffc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422049" cy="1678270"/>
                          </a:xfrm>
                          <a:prstGeom prst="rect">
                            <a:avLst/>
                          </a:prstGeom>
                          <a:noFill/>
                          <a:ln>
                            <a:noFill/>
                          </a:ln>
                        </pic:spPr>
                      </pic:pic>
                    </a:graphicData>
                  </a:graphic>
                </wp:inline>
              </w:drawing>
            </w:r>
          </w:p>
        </w:tc>
      </w:tr>
      <w:tr w14:paraId="7A7610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4261" w:type="dxa"/>
            <w:noWrap w:val="0"/>
            <w:vAlign w:val="center"/>
          </w:tcPr>
          <w:p w14:paraId="18488C23">
            <w:pPr>
              <w:pStyle w:val="58"/>
              <w:keepNext w:val="0"/>
              <w:keepLines w:val="0"/>
              <w:pageBreakBefore w:val="0"/>
              <w:widowControl w:val="0"/>
              <w:kinsoku/>
              <w:wordWrap/>
              <w:overflowPunct/>
              <w:topLinePunct w:val="0"/>
              <w:autoSpaceDE/>
              <w:autoSpaceDN/>
              <w:bidi w:val="0"/>
              <w:adjustRightInd w:val="0"/>
              <w:snapToGrid w:val="0"/>
              <w:spacing w:line="312" w:lineRule="auto"/>
              <w:ind w:left="0" w:leftChars="0" w:firstLine="0" w:firstLineChars="0"/>
              <w:jc w:val="center"/>
              <w:textAlignment w:val="baseline"/>
              <w:rPr>
                <w:rFonts w:hint="eastAsia" w:eastAsia="宋体"/>
                <w:lang w:eastAsia="zh-CN"/>
              </w:rPr>
            </w:pPr>
            <w:r>
              <w:rPr>
                <w:rFonts w:hint="eastAsia"/>
              </w:rPr>
              <w:t>拟选</w:t>
            </w:r>
            <w:r>
              <w:t>场址周围农田</w:t>
            </w:r>
            <w:r>
              <w:rPr>
                <w:rFonts w:hint="eastAsia"/>
                <w:lang w:val="en-US" w:eastAsia="zh-CN"/>
              </w:rPr>
              <w:t>3</w:t>
            </w:r>
          </w:p>
        </w:tc>
        <w:tc>
          <w:tcPr>
            <w:tcW w:w="4261" w:type="dxa"/>
            <w:noWrap w:val="0"/>
            <w:vAlign w:val="center"/>
          </w:tcPr>
          <w:p w14:paraId="6A5A69E4">
            <w:pPr>
              <w:pStyle w:val="58"/>
              <w:keepNext w:val="0"/>
              <w:keepLines w:val="0"/>
              <w:pageBreakBefore w:val="0"/>
              <w:widowControl w:val="0"/>
              <w:kinsoku/>
              <w:wordWrap/>
              <w:overflowPunct/>
              <w:topLinePunct w:val="0"/>
              <w:autoSpaceDE/>
              <w:autoSpaceDN/>
              <w:bidi w:val="0"/>
              <w:adjustRightInd w:val="0"/>
              <w:snapToGrid w:val="0"/>
              <w:spacing w:line="312" w:lineRule="auto"/>
              <w:ind w:left="0" w:leftChars="0" w:firstLine="0" w:firstLineChars="0"/>
              <w:jc w:val="center"/>
              <w:textAlignment w:val="baseline"/>
            </w:pPr>
            <w:r>
              <w:rPr>
                <w:rFonts w:hint="eastAsia"/>
              </w:rPr>
              <w:t>拟选</w:t>
            </w:r>
            <w:r>
              <w:t>场址北侧园区</w:t>
            </w:r>
          </w:p>
        </w:tc>
      </w:tr>
    </w:tbl>
    <w:p w14:paraId="73EEEDB1">
      <w:pPr>
        <w:pStyle w:val="58"/>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baseline"/>
        <w:outlineLvl w:val="9"/>
        <w:rPr>
          <w:rFonts w:hint="default" w:ascii="Times New Roman" w:hAnsi="Times New Roman" w:cs="Times New Roman" w:eastAsiaTheme="minorEastAsia"/>
          <w:b/>
          <w:bCs/>
          <w:color w:val="000000" w:themeColor="text1"/>
          <w:kern w:val="2"/>
          <w:sz w:val="24"/>
          <w:szCs w:val="24"/>
          <w:highlight w:val="none"/>
          <w:lang w:val="en-US" w:eastAsia="zh-CN" w:bidi="ar-SA"/>
          <w14:textFill>
            <w14:solidFill>
              <w14:schemeClr w14:val="tx1"/>
            </w14:solidFill>
          </w14:textFill>
        </w:rPr>
      </w:pPr>
      <w:bookmarkStart w:id="36" w:name="_Toc6299"/>
      <w:r>
        <w:rPr>
          <w:rFonts w:hint="default" w:ascii="Times New Roman" w:hAnsi="Times New Roman" w:cs="Times New Roman" w:eastAsiaTheme="minorEastAsia"/>
          <w:b/>
          <w:bCs/>
          <w:color w:val="000000" w:themeColor="text1"/>
          <w:kern w:val="2"/>
          <w:sz w:val="24"/>
          <w:szCs w:val="24"/>
          <w:highlight w:val="none"/>
          <w:lang w:val="en-US" w:eastAsia="zh-CN" w:bidi="ar-SA"/>
          <w14:textFill>
            <w14:solidFill>
              <w14:schemeClr w14:val="tx1"/>
            </w14:solidFill>
          </w14:textFill>
        </w:rPr>
        <w:t>现场踏勘图</w:t>
      </w:r>
      <w:bookmarkEnd w:id="36"/>
    </w:p>
    <w:bookmarkEnd w:id="29"/>
    <w:bookmarkEnd w:id="30"/>
    <w:bookmarkEnd w:id="31"/>
    <w:bookmarkEnd w:id="32"/>
    <w:bookmarkEnd w:id="33"/>
    <w:bookmarkEnd w:id="34"/>
    <w:bookmarkEnd w:id="35"/>
    <w:p w14:paraId="30861885">
      <w:pPr>
        <w:pStyle w:val="28"/>
        <w:tabs>
          <w:tab w:val="right" w:leader="dot" w:pos="8958"/>
        </w:tabs>
        <w:jc w:val="center"/>
        <w:rPr>
          <w:rFonts w:hint="default" w:ascii="Times New Roman" w:hAnsi="Times New Roman" w:cs="Times New Roman" w:eastAsiaTheme="minorEastAsia"/>
          <w:b/>
          <w:bCs/>
          <w:color w:val="000000" w:themeColor="text1"/>
          <w:sz w:val="28"/>
          <w:szCs w:val="28"/>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fldChar w:fldCharType="begin"/>
      </w: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instrText xml:space="preserve">TOC \o "1-2" \h \u </w:instrText>
      </w: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fldChar w:fldCharType="separate"/>
      </w:r>
      <w:r>
        <w:rPr>
          <w:rFonts w:hint="default" w:ascii="Times New Roman" w:hAnsi="Times New Roman" w:cs="Times New Roman" w:eastAsiaTheme="minorEastAsia"/>
          <w:b/>
          <w:bCs/>
          <w:color w:val="000000" w:themeColor="text1"/>
          <w:sz w:val="28"/>
          <w:szCs w:val="28"/>
          <w:highlight w:val="none"/>
          <w:lang w:val="en-US" w:eastAsia="zh-CN"/>
          <w14:textFill>
            <w14:solidFill>
              <w14:schemeClr w14:val="tx1"/>
            </w14:solidFill>
          </w14:textFill>
        </w:rPr>
        <w:t>目录</w:t>
      </w:r>
    </w:p>
    <w:p w14:paraId="48E8F762">
      <w:pPr>
        <w:pStyle w:val="28"/>
        <w:keepNext w:val="0"/>
        <w:keepLines w:val="0"/>
        <w:pageBreakBefore w:val="0"/>
        <w:widowControl w:val="0"/>
        <w:tabs>
          <w:tab w:val="right" w:leader="dot" w:pos="8958"/>
        </w:tabs>
        <w:kinsoku/>
        <w:wordWrap/>
        <w:overflowPunct/>
        <w:topLinePunct w:val="0"/>
        <w:autoSpaceDE/>
        <w:autoSpaceDN/>
        <w:bidi w:val="0"/>
        <w:adjustRightInd w:val="0"/>
        <w:snapToGrid w:val="0"/>
        <w:ind w:left="0" w:leftChars="0" w:firstLine="0" w:firstLineChars="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eastAsiaTheme="minorEastAsia"/>
          <w:b/>
          <w:bCs/>
          <w:color w:val="000000" w:themeColor="text1"/>
          <w:highlight w:val="none"/>
          <w14:textFill>
            <w14:solidFill>
              <w14:schemeClr w14:val="tx1"/>
            </w14:solidFill>
          </w14:textFill>
        </w:rPr>
        <w:fldChar w:fldCharType="begin"/>
      </w:r>
      <w:r>
        <w:rPr>
          <w:rFonts w:hint="default" w:ascii="Times New Roman" w:hAnsi="Times New Roman" w:cs="Times New Roman" w:eastAsiaTheme="minorEastAsia"/>
          <w:b/>
          <w:bCs/>
          <w:color w:val="000000" w:themeColor="text1"/>
          <w:highlight w:val="none"/>
          <w14:textFill>
            <w14:solidFill>
              <w14:schemeClr w14:val="tx1"/>
            </w14:solidFill>
          </w14:textFill>
        </w:rPr>
        <w:instrText xml:space="preserve"> HYPERLINK \l _Toc30058 </w:instrText>
      </w:r>
      <w:r>
        <w:rPr>
          <w:rFonts w:hint="default" w:ascii="Times New Roman" w:hAnsi="Times New Roman" w:cs="Times New Roman" w:eastAsiaTheme="minorEastAsia"/>
          <w:b/>
          <w:bCs/>
          <w:color w:val="000000" w:themeColor="text1"/>
          <w:highlight w:val="none"/>
          <w14:textFill>
            <w14:solidFill>
              <w14:schemeClr w14:val="tx1"/>
            </w14:solidFill>
          </w14:textFill>
        </w:rPr>
        <w:fldChar w:fldCharType="separate"/>
      </w:r>
      <w:r>
        <w:rPr>
          <w:rFonts w:hint="default" w:ascii="Times New Roman" w:hAnsi="Times New Roman" w:cs="Times New Roman" w:eastAsiaTheme="minorEastAsia"/>
          <w:b/>
          <w:bCs/>
          <w:color w:val="000000" w:themeColor="text1"/>
          <w:highlight w:val="none"/>
          <w:lang w:val="en-US" w:eastAsia="zh-CN"/>
          <w14:textFill>
            <w14:solidFill>
              <w14:schemeClr w14:val="tx1"/>
            </w14:solidFill>
          </w14:textFill>
        </w:rPr>
        <w:t>1 概述</w:t>
      </w:r>
      <w:r>
        <w:rPr>
          <w:rFonts w:hint="default" w:ascii="Times New Roman" w:hAnsi="Times New Roman" w:cs="Times New Roman"/>
          <w:b/>
          <w:bCs/>
          <w:color w:val="000000" w:themeColor="text1"/>
          <w14:textFill>
            <w14:solidFill>
              <w14:schemeClr w14:val="tx1"/>
            </w14:solidFill>
          </w14:textFill>
        </w:rPr>
        <w:tab/>
      </w:r>
      <w:r>
        <w:rPr>
          <w:rFonts w:hint="default" w:ascii="Times New Roman" w:hAnsi="Times New Roman" w:cs="Times New Roman"/>
          <w:b/>
          <w:bCs/>
          <w:color w:val="000000" w:themeColor="text1"/>
          <w14:textFill>
            <w14:solidFill>
              <w14:schemeClr w14:val="tx1"/>
            </w14:solidFill>
          </w14:textFill>
        </w:rPr>
        <w:fldChar w:fldCharType="begin"/>
      </w:r>
      <w:r>
        <w:rPr>
          <w:rFonts w:hint="default" w:ascii="Times New Roman" w:hAnsi="Times New Roman" w:cs="Times New Roman"/>
          <w:b/>
          <w:bCs/>
          <w:color w:val="000000" w:themeColor="text1"/>
          <w14:textFill>
            <w14:solidFill>
              <w14:schemeClr w14:val="tx1"/>
            </w14:solidFill>
          </w14:textFill>
        </w:rPr>
        <w:instrText xml:space="preserve"> PAGEREF _Toc30058 \h </w:instrText>
      </w:r>
      <w:r>
        <w:rPr>
          <w:rFonts w:hint="default" w:ascii="Times New Roman" w:hAnsi="Times New Roman" w:cs="Times New Roman"/>
          <w:b/>
          <w:bCs/>
          <w:color w:val="000000" w:themeColor="text1"/>
          <w14:textFill>
            <w14:solidFill>
              <w14:schemeClr w14:val="tx1"/>
            </w14:solidFill>
          </w14:textFill>
        </w:rPr>
        <w:fldChar w:fldCharType="separate"/>
      </w:r>
      <w:r>
        <w:rPr>
          <w:rFonts w:hint="default" w:ascii="Times New Roman" w:hAnsi="Times New Roman" w:cs="Times New Roman"/>
          <w:b/>
          <w:bCs/>
          <w:color w:val="000000" w:themeColor="text1"/>
          <w14:textFill>
            <w14:solidFill>
              <w14:schemeClr w14:val="tx1"/>
            </w14:solidFill>
          </w14:textFill>
        </w:rPr>
        <w:t>1</w:t>
      </w:r>
      <w:r>
        <w:rPr>
          <w:rFonts w:hint="default" w:ascii="Times New Roman" w:hAnsi="Times New Roman" w:cs="Times New Roman"/>
          <w:b/>
          <w:bCs/>
          <w:color w:val="000000" w:themeColor="text1"/>
          <w14:textFill>
            <w14:solidFill>
              <w14:schemeClr w14:val="tx1"/>
            </w14:solidFill>
          </w14:textFill>
        </w:rPr>
        <w:fldChar w:fldCharType="end"/>
      </w:r>
      <w:r>
        <w:rPr>
          <w:rFonts w:hint="default" w:ascii="Times New Roman" w:hAnsi="Times New Roman" w:cs="Times New Roman" w:eastAsiaTheme="minorEastAsia"/>
          <w:b/>
          <w:bCs/>
          <w:color w:val="000000" w:themeColor="text1"/>
          <w:highlight w:val="none"/>
          <w14:textFill>
            <w14:solidFill>
              <w14:schemeClr w14:val="tx1"/>
            </w14:solidFill>
          </w14:textFill>
        </w:rPr>
        <w:fldChar w:fldCharType="end"/>
      </w:r>
    </w:p>
    <w:p w14:paraId="76183799">
      <w:pPr>
        <w:pStyle w:val="65"/>
        <w:keepNext w:val="0"/>
        <w:keepLines w:val="0"/>
        <w:pageBreakBefore w:val="0"/>
        <w:widowControl w:val="0"/>
        <w:tabs>
          <w:tab w:val="right" w:leader="dot" w:pos="8958"/>
        </w:tabs>
        <w:kinsoku/>
        <w:wordWrap/>
        <w:overflowPunct/>
        <w:topLinePunct w:val="0"/>
        <w:autoSpaceDE/>
        <w:autoSpaceDN/>
        <w:bidi w:val="0"/>
        <w:adjustRightInd w:val="0"/>
        <w:snapToGrid w:val="0"/>
        <w:ind w:left="0" w:leftChars="0" w:firstLine="560" w:firstLineChars="20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fldChar w:fldCharType="begin"/>
      </w:r>
      <w:r>
        <w:rPr>
          <w:rFonts w:hint="default" w:ascii="Times New Roman" w:hAnsi="Times New Roman" w:cs="Times New Roman" w:eastAsiaTheme="minorEastAsia"/>
          <w:color w:val="000000" w:themeColor="text1"/>
          <w:highlight w:val="none"/>
          <w14:textFill>
            <w14:solidFill>
              <w14:schemeClr w14:val="tx1"/>
            </w14:solidFill>
          </w14:textFill>
        </w:rPr>
        <w:instrText xml:space="preserve"> HYPERLINK \l _Toc26752 </w:instrText>
      </w:r>
      <w:r>
        <w:rPr>
          <w:rFonts w:hint="default" w:ascii="Times New Roman" w:hAnsi="Times New Roman" w:cs="Times New Roman" w:eastAsiaTheme="minorEastAsia"/>
          <w:color w:val="000000" w:themeColor="text1"/>
          <w:highlight w:val="none"/>
          <w14:textFill>
            <w14:solidFill>
              <w14:schemeClr w14:val="tx1"/>
            </w14:solidFill>
          </w14:textFill>
        </w:rPr>
        <w:fldChar w:fldCharType="separate"/>
      </w: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1.1 建设项目的特点</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_Toc26752 \h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eastAsiaTheme="minorEastAsia"/>
          <w:color w:val="000000" w:themeColor="text1"/>
          <w:highlight w:val="none"/>
          <w14:textFill>
            <w14:solidFill>
              <w14:schemeClr w14:val="tx1"/>
            </w14:solidFill>
          </w14:textFill>
        </w:rPr>
        <w:fldChar w:fldCharType="end"/>
      </w:r>
    </w:p>
    <w:p w14:paraId="1E8A651C">
      <w:pPr>
        <w:pStyle w:val="65"/>
        <w:keepNext w:val="0"/>
        <w:keepLines w:val="0"/>
        <w:pageBreakBefore w:val="0"/>
        <w:widowControl w:val="0"/>
        <w:tabs>
          <w:tab w:val="right" w:leader="dot" w:pos="8958"/>
        </w:tabs>
        <w:kinsoku/>
        <w:wordWrap/>
        <w:overflowPunct/>
        <w:topLinePunct w:val="0"/>
        <w:autoSpaceDE/>
        <w:autoSpaceDN/>
        <w:bidi w:val="0"/>
        <w:adjustRightInd w:val="0"/>
        <w:snapToGrid w:val="0"/>
        <w:ind w:left="0" w:leftChars="0" w:firstLine="560" w:firstLineChars="20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fldChar w:fldCharType="begin"/>
      </w:r>
      <w:r>
        <w:rPr>
          <w:rFonts w:hint="default" w:ascii="Times New Roman" w:hAnsi="Times New Roman" w:cs="Times New Roman" w:eastAsiaTheme="minorEastAsia"/>
          <w:color w:val="000000" w:themeColor="text1"/>
          <w:highlight w:val="none"/>
          <w14:textFill>
            <w14:solidFill>
              <w14:schemeClr w14:val="tx1"/>
            </w14:solidFill>
          </w14:textFill>
        </w:rPr>
        <w:instrText xml:space="preserve"> HYPERLINK \l _Toc28857 </w:instrText>
      </w:r>
      <w:r>
        <w:rPr>
          <w:rFonts w:hint="default" w:ascii="Times New Roman" w:hAnsi="Times New Roman" w:cs="Times New Roman" w:eastAsiaTheme="minorEastAsia"/>
          <w:color w:val="000000" w:themeColor="text1"/>
          <w:highlight w:val="none"/>
          <w14:textFill>
            <w14:solidFill>
              <w14:schemeClr w14:val="tx1"/>
            </w14:solidFill>
          </w14:textFill>
        </w:rPr>
        <w:fldChar w:fldCharType="separate"/>
      </w: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1.2 评价工作过程</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_Toc28857 \h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eastAsiaTheme="minorEastAsia"/>
          <w:color w:val="000000" w:themeColor="text1"/>
          <w:highlight w:val="none"/>
          <w14:textFill>
            <w14:solidFill>
              <w14:schemeClr w14:val="tx1"/>
            </w14:solidFill>
          </w14:textFill>
        </w:rPr>
        <w:fldChar w:fldCharType="end"/>
      </w:r>
    </w:p>
    <w:p w14:paraId="0CA7E459">
      <w:pPr>
        <w:pStyle w:val="65"/>
        <w:keepNext w:val="0"/>
        <w:keepLines w:val="0"/>
        <w:pageBreakBefore w:val="0"/>
        <w:widowControl w:val="0"/>
        <w:tabs>
          <w:tab w:val="right" w:leader="dot" w:pos="8958"/>
        </w:tabs>
        <w:kinsoku/>
        <w:wordWrap/>
        <w:overflowPunct/>
        <w:topLinePunct w:val="0"/>
        <w:autoSpaceDE/>
        <w:autoSpaceDN/>
        <w:bidi w:val="0"/>
        <w:adjustRightInd w:val="0"/>
        <w:snapToGrid w:val="0"/>
        <w:ind w:left="0" w:leftChars="0" w:firstLine="560" w:firstLineChars="20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fldChar w:fldCharType="begin"/>
      </w:r>
      <w:r>
        <w:rPr>
          <w:rFonts w:hint="default" w:ascii="Times New Roman" w:hAnsi="Times New Roman" w:cs="Times New Roman" w:eastAsiaTheme="minorEastAsia"/>
          <w:color w:val="000000" w:themeColor="text1"/>
          <w:highlight w:val="none"/>
          <w14:textFill>
            <w14:solidFill>
              <w14:schemeClr w14:val="tx1"/>
            </w14:solidFill>
          </w14:textFill>
        </w:rPr>
        <w:instrText xml:space="preserve"> HYPERLINK \l _Toc18449 </w:instrText>
      </w:r>
      <w:r>
        <w:rPr>
          <w:rFonts w:hint="default" w:ascii="Times New Roman" w:hAnsi="Times New Roman" w:cs="Times New Roman" w:eastAsiaTheme="minorEastAsia"/>
          <w:color w:val="000000" w:themeColor="text1"/>
          <w:highlight w:val="none"/>
          <w14:textFill>
            <w14:solidFill>
              <w14:schemeClr w14:val="tx1"/>
            </w14:solidFill>
          </w14:textFill>
        </w:rPr>
        <w:fldChar w:fldCharType="separate"/>
      </w: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1.3 分析判定相关情况</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_Toc18449 \h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eastAsiaTheme="minorEastAsia"/>
          <w:color w:val="000000" w:themeColor="text1"/>
          <w:highlight w:val="none"/>
          <w14:textFill>
            <w14:solidFill>
              <w14:schemeClr w14:val="tx1"/>
            </w14:solidFill>
          </w14:textFill>
        </w:rPr>
        <w:fldChar w:fldCharType="end"/>
      </w:r>
    </w:p>
    <w:p w14:paraId="53FBA727">
      <w:pPr>
        <w:pStyle w:val="65"/>
        <w:keepNext w:val="0"/>
        <w:keepLines w:val="0"/>
        <w:pageBreakBefore w:val="0"/>
        <w:widowControl w:val="0"/>
        <w:tabs>
          <w:tab w:val="right" w:leader="dot" w:pos="8958"/>
        </w:tabs>
        <w:kinsoku/>
        <w:wordWrap/>
        <w:overflowPunct/>
        <w:topLinePunct w:val="0"/>
        <w:autoSpaceDE/>
        <w:autoSpaceDN/>
        <w:bidi w:val="0"/>
        <w:adjustRightInd w:val="0"/>
        <w:snapToGrid w:val="0"/>
        <w:ind w:left="0" w:leftChars="0" w:firstLine="560" w:firstLineChars="20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fldChar w:fldCharType="begin"/>
      </w:r>
      <w:r>
        <w:rPr>
          <w:rFonts w:hint="default" w:ascii="Times New Roman" w:hAnsi="Times New Roman" w:cs="Times New Roman" w:eastAsiaTheme="minorEastAsia"/>
          <w:color w:val="000000" w:themeColor="text1"/>
          <w:highlight w:val="none"/>
          <w14:textFill>
            <w14:solidFill>
              <w14:schemeClr w14:val="tx1"/>
            </w14:solidFill>
          </w14:textFill>
        </w:rPr>
        <w:instrText xml:space="preserve"> HYPERLINK \l _Toc29878 </w:instrText>
      </w:r>
      <w:r>
        <w:rPr>
          <w:rFonts w:hint="default" w:ascii="Times New Roman" w:hAnsi="Times New Roman" w:cs="Times New Roman" w:eastAsiaTheme="minorEastAsia"/>
          <w:color w:val="000000" w:themeColor="text1"/>
          <w:highlight w:val="none"/>
          <w14:textFill>
            <w14:solidFill>
              <w14:schemeClr w14:val="tx1"/>
            </w14:solidFill>
          </w14:textFill>
        </w:rPr>
        <w:fldChar w:fldCharType="separate"/>
      </w: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1.4 关注的主要环境问题</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_Toc29878 \h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eastAsiaTheme="minorEastAsia"/>
          <w:color w:val="000000" w:themeColor="text1"/>
          <w:highlight w:val="none"/>
          <w14:textFill>
            <w14:solidFill>
              <w14:schemeClr w14:val="tx1"/>
            </w14:solidFill>
          </w14:textFill>
        </w:rPr>
        <w:fldChar w:fldCharType="end"/>
      </w:r>
    </w:p>
    <w:p w14:paraId="160FB1BE">
      <w:pPr>
        <w:pStyle w:val="65"/>
        <w:keepNext w:val="0"/>
        <w:keepLines w:val="0"/>
        <w:pageBreakBefore w:val="0"/>
        <w:widowControl w:val="0"/>
        <w:tabs>
          <w:tab w:val="right" w:leader="dot" w:pos="8958"/>
        </w:tabs>
        <w:kinsoku/>
        <w:wordWrap/>
        <w:overflowPunct/>
        <w:topLinePunct w:val="0"/>
        <w:autoSpaceDE/>
        <w:autoSpaceDN/>
        <w:bidi w:val="0"/>
        <w:adjustRightInd w:val="0"/>
        <w:snapToGrid w:val="0"/>
        <w:ind w:left="0" w:leftChars="0" w:firstLine="560" w:firstLineChars="20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fldChar w:fldCharType="begin"/>
      </w:r>
      <w:r>
        <w:rPr>
          <w:rFonts w:hint="default" w:ascii="Times New Roman" w:hAnsi="Times New Roman" w:cs="Times New Roman" w:eastAsiaTheme="minorEastAsia"/>
          <w:color w:val="000000" w:themeColor="text1"/>
          <w:highlight w:val="none"/>
          <w14:textFill>
            <w14:solidFill>
              <w14:schemeClr w14:val="tx1"/>
            </w14:solidFill>
          </w14:textFill>
        </w:rPr>
        <w:instrText xml:space="preserve"> HYPERLINK \l _Toc3758 </w:instrText>
      </w:r>
      <w:r>
        <w:rPr>
          <w:rFonts w:hint="default" w:ascii="Times New Roman" w:hAnsi="Times New Roman" w:cs="Times New Roman" w:eastAsiaTheme="minorEastAsia"/>
          <w:color w:val="000000" w:themeColor="text1"/>
          <w:highlight w:val="none"/>
          <w14:textFill>
            <w14:solidFill>
              <w14:schemeClr w14:val="tx1"/>
            </w14:solidFill>
          </w14:textFill>
        </w:rPr>
        <w:fldChar w:fldCharType="separate"/>
      </w: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1.5 主要评价结论</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_Toc3758 \h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eastAsiaTheme="minorEastAsia"/>
          <w:color w:val="000000" w:themeColor="text1"/>
          <w:highlight w:val="none"/>
          <w14:textFill>
            <w14:solidFill>
              <w14:schemeClr w14:val="tx1"/>
            </w14:solidFill>
          </w14:textFill>
        </w:rPr>
        <w:fldChar w:fldCharType="end"/>
      </w:r>
    </w:p>
    <w:p w14:paraId="6A627B43">
      <w:pPr>
        <w:pStyle w:val="28"/>
        <w:keepNext w:val="0"/>
        <w:keepLines w:val="0"/>
        <w:pageBreakBefore w:val="0"/>
        <w:widowControl w:val="0"/>
        <w:tabs>
          <w:tab w:val="right" w:leader="dot" w:pos="8958"/>
        </w:tabs>
        <w:kinsoku/>
        <w:wordWrap/>
        <w:overflowPunct/>
        <w:topLinePunct w:val="0"/>
        <w:autoSpaceDE/>
        <w:autoSpaceDN/>
        <w:bidi w:val="0"/>
        <w:adjustRightInd w:val="0"/>
        <w:snapToGrid w:val="0"/>
        <w:ind w:left="0" w:leftChars="0" w:firstLine="0" w:firstLineChars="0"/>
        <w:textAlignment w:val="auto"/>
        <w:rPr>
          <w:rFonts w:hint="default" w:ascii="Times New Roman" w:hAnsi="Times New Roman" w:cs="Times New Roman" w:eastAsiaTheme="minorEastAsia"/>
          <w:b/>
          <w:bCs/>
          <w:color w:val="000000" w:themeColor="text1"/>
          <w:highlight w:val="none"/>
          <w14:textFill>
            <w14:solidFill>
              <w14:schemeClr w14:val="tx1"/>
            </w14:solidFill>
          </w14:textFill>
        </w:rPr>
      </w:pPr>
      <w:r>
        <w:rPr>
          <w:rFonts w:hint="default" w:ascii="Times New Roman" w:hAnsi="Times New Roman" w:cs="Times New Roman" w:eastAsiaTheme="minorEastAsia"/>
          <w:b/>
          <w:bCs/>
          <w:color w:val="000000" w:themeColor="text1"/>
          <w:highlight w:val="none"/>
          <w14:textFill>
            <w14:solidFill>
              <w14:schemeClr w14:val="tx1"/>
            </w14:solidFill>
          </w14:textFill>
        </w:rPr>
        <w:fldChar w:fldCharType="begin"/>
      </w:r>
      <w:r>
        <w:rPr>
          <w:rFonts w:hint="default" w:ascii="Times New Roman" w:hAnsi="Times New Roman" w:cs="Times New Roman" w:eastAsiaTheme="minorEastAsia"/>
          <w:b/>
          <w:bCs/>
          <w:color w:val="000000" w:themeColor="text1"/>
          <w:highlight w:val="none"/>
          <w14:textFill>
            <w14:solidFill>
              <w14:schemeClr w14:val="tx1"/>
            </w14:solidFill>
          </w14:textFill>
        </w:rPr>
        <w:instrText xml:space="preserve"> HYPERLINK \l _Toc31037 </w:instrText>
      </w:r>
      <w:r>
        <w:rPr>
          <w:rFonts w:hint="default" w:ascii="Times New Roman" w:hAnsi="Times New Roman" w:cs="Times New Roman" w:eastAsiaTheme="minorEastAsia"/>
          <w:b/>
          <w:bCs/>
          <w:color w:val="000000" w:themeColor="text1"/>
          <w:highlight w:val="none"/>
          <w14:textFill>
            <w14:solidFill>
              <w14:schemeClr w14:val="tx1"/>
            </w14:solidFill>
          </w14:textFill>
        </w:rPr>
        <w:fldChar w:fldCharType="separate"/>
      </w:r>
      <w:r>
        <w:rPr>
          <w:rFonts w:hint="default" w:ascii="Times New Roman" w:hAnsi="Times New Roman" w:cs="Times New Roman" w:eastAsiaTheme="minorEastAsia"/>
          <w:b/>
          <w:bCs/>
          <w:color w:val="000000" w:themeColor="text1"/>
          <w:highlight w:val="none"/>
          <w:lang w:val="en-US" w:eastAsia="zh-CN"/>
          <w14:textFill>
            <w14:solidFill>
              <w14:schemeClr w14:val="tx1"/>
            </w14:solidFill>
          </w14:textFill>
        </w:rPr>
        <w:t>2 总则</w:t>
      </w:r>
      <w:r>
        <w:rPr>
          <w:rFonts w:hint="default" w:ascii="Times New Roman" w:hAnsi="Times New Roman" w:cs="Times New Roman" w:eastAsiaTheme="minorEastAsia"/>
          <w:b/>
          <w:bCs/>
          <w:color w:val="000000" w:themeColor="text1"/>
          <w:highlight w:val="none"/>
          <w14:textFill>
            <w14:solidFill>
              <w14:schemeClr w14:val="tx1"/>
            </w14:solidFill>
          </w14:textFill>
        </w:rPr>
        <w:tab/>
      </w:r>
      <w:r>
        <w:rPr>
          <w:rFonts w:hint="default" w:ascii="Times New Roman" w:hAnsi="Times New Roman" w:cs="Times New Roman" w:eastAsiaTheme="minorEastAsia"/>
          <w:b/>
          <w:bCs/>
          <w:color w:val="000000" w:themeColor="text1"/>
          <w:highlight w:val="none"/>
          <w14:textFill>
            <w14:solidFill>
              <w14:schemeClr w14:val="tx1"/>
            </w14:solidFill>
          </w14:textFill>
        </w:rPr>
        <w:fldChar w:fldCharType="begin"/>
      </w:r>
      <w:r>
        <w:rPr>
          <w:rFonts w:hint="default" w:ascii="Times New Roman" w:hAnsi="Times New Roman" w:cs="Times New Roman" w:eastAsiaTheme="minorEastAsia"/>
          <w:b/>
          <w:bCs/>
          <w:color w:val="000000" w:themeColor="text1"/>
          <w:highlight w:val="none"/>
          <w14:textFill>
            <w14:solidFill>
              <w14:schemeClr w14:val="tx1"/>
            </w14:solidFill>
          </w14:textFill>
        </w:rPr>
        <w:instrText xml:space="preserve"> PAGEREF _Toc31037 \h </w:instrText>
      </w:r>
      <w:r>
        <w:rPr>
          <w:rFonts w:hint="default" w:ascii="Times New Roman" w:hAnsi="Times New Roman" w:cs="Times New Roman" w:eastAsiaTheme="minorEastAsia"/>
          <w:b/>
          <w:bCs/>
          <w:color w:val="000000" w:themeColor="text1"/>
          <w:highlight w:val="none"/>
          <w14:textFill>
            <w14:solidFill>
              <w14:schemeClr w14:val="tx1"/>
            </w14:solidFill>
          </w14:textFill>
        </w:rPr>
        <w:fldChar w:fldCharType="separate"/>
      </w:r>
      <w:r>
        <w:rPr>
          <w:rFonts w:hint="default" w:ascii="Times New Roman" w:hAnsi="Times New Roman" w:cs="Times New Roman" w:eastAsiaTheme="minorEastAsia"/>
          <w:b/>
          <w:bCs/>
          <w:color w:val="000000" w:themeColor="text1"/>
          <w:highlight w:val="none"/>
          <w14:textFill>
            <w14:solidFill>
              <w14:schemeClr w14:val="tx1"/>
            </w14:solidFill>
          </w14:textFill>
        </w:rPr>
        <w:t>6</w:t>
      </w:r>
      <w:r>
        <w:rPr>
          <w:rFonts w:hint="default" w:ascii="Times New Roman" w:hAnsi="Times New Roman" w:cs="Times New Roman" w:eastAsiaTheme="minorEastAsia"/>
          <w:b/>
          <w:bCs/>
          <w:color w:val="000000" w:themeColor="text1"/>
          <w:highlight w:val="none"/>
          <w14:textFill>
            <w14:solidFill>
              <w14:schemeClr w14:val="tx1"/>
            </w14:solidFill>
          </w14:textFill>
        </w:rPr>
        <w:fldChar w:fldCharType="end"/>
      </w:r>
      <w:r>
        <w:rPr>
          <w:rFonts w:hint="default" w:ascii="Times New Roman" w:hAnsi="Times New Roman" w:cs="Times New Roman" w:eastAsiaTheme="minorEastAsia"/>
          <w:b/>
          <w:bCs/>
          <w:color w:val="000000" w:themeColor="text1"/>
          <w:highlight w:val="none"/>
          <w14:textFill>
            <w14:solidFill>
              <w14:schemeClr w14:val="tx1"/>
            </w14:solidFill>
          </w14:textFill>
        </w:rPr>
        <w:fldChar w:fldCharType="end"/>
      </w:r>
    </w:p>
    <w:p w14:paraId="5F7DF193">
      <w:pPr>
        <w:pStyle w:val="65"/>
        <w:keepNext w:val="0"/>
        <w:keepLines w:val="0"/>
        <w:pageBreakBefore w:val="0"/>
        <w:widowControl w:val="0"/>
        <w:tabs>
          <w:tab w:val="right" w:leader="dot" w:pos="8958"/>
        </w:tabs>
        <w:kinsoku/>
        <w:wordWrap/>
        <w:overflowPunct/>
        <w:topLinePunct w:val="0"/>
        <w:autoSpaceDE/>
        <w:autoSpaceDN/>
        <w:bidi w:val="0"/>
        <w:adjustRightInd w:val="0"/>
        <w:snapToGrid w:val="0"/>
        <w:ind w:left="0" w:leftChars="0" w:firstLine="560" w:firstLineChars="20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fldChar w:fldCharType="begin"/>
      </w:r>
      <w:r>
        <w:rPr>
          <w:rFonts w:hint="default" w:ascii="Times New Roman" w:hAnsi="Times New Roman" w:cs="Times New Roman" w:eastAsiaTheme="minorEastAsia"/>
          <w:color w:val="000000" w:themeColor="text1"/>
          <w:highlight w:val="none"/>
          <w14:textFill>
            <w14:solidFill>
              <w14:schemeClr w14:val="tx1"/>
            </w14:solidFill>
          </w14:textFill>
        </w:rPr>
        <w:instrText xml:space="preserve"> HYPERLINK \l _Toc1947 </w:instrText>
      </w:r>
      <w:r>
        <w:rPr>
          <w:rFonts w:hint="default" w:ascii="Times New Roman" w:hAnsi="Times New Roman" w:cs="Times New Roman" w:eastAsiaTheme="minorEastAsia"/>
          <w:color w:val="000000" w:themeColor="text1"/>
          <w:highlight w:val="none"/>
          <w14:textFill>
            <w14:solidFill>
              <w14:schemeClr w14:val="tx1"/>
            </w14:solidFill>
          </w14:textFill>
        </w:rPr>
        <w:fldChar w:fldCharType="separate"/>
      </w: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2.1 评价原则和目的</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_Toc1947 \h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eastAsiaTheme="minorEastAsia"/>
          <w:color w:val="000000" w:themeColor="text1"/>
          <w:highlight w:val="none"/>
          <w14:textFill>
            <w14:solidFill>
              <w14:schemeClr w14:val="tx1"/>
            </w14:solidFill>
          </w14:textFill>
        </w:rPr>
        <w:fldChar w:fldCharType="end"/>
      </w:r>
    </w:p>
    <w:p w14:paraId="4C4244FA">
      <w:pPr>
        <w:pStyle w:val="65"/>
        <w:keepNext w:val="0"/>
        <w:keepLines w:val="0"/>
        <w:pageBreakBefore w:val="0"/>
        <w:widowControl w:val="0"/>
        <w:tabs>
          <w:tab w:val="right" w:leader="dot" w:pos="8958"/>
        </w:tabs>
        <w:kinsoku/>
        <w:wordWrap/>
        <w:overflowPunct/>
        <w:topLinePunct w:val="0"/>
        <w:autoSpaceDE/>
        <w:autoSpaceDN/>
        <w:bidi w:val="0"/>
        <w:adjustRightInd w:val="0"/>
        <w:snapToGrid w:val="0"/>
        <w:ind w:left="0" w:leftChars="0" w:firstLine="560" w:firstLineChars="20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fldChar w:fldCharType="begin"/>
      </w:r>
      <w:r>
        <w:rPr>
          <w:rFonts w:hint="default" w:ascii="Times New Roman" w:hAnsi="Times New Roman" w:cs="Times New Roman" w:eastAsiaTheme="minorEastAsia"/>
          <w:color w:val="000000" w:themeColor="text1"/>
          <w:highlight w:val="none"/>
          <w14:textFill>
            <w14:solidFill>
              <w14:schemeClr w14:val="tx1"/>
            </w14:solidFill>
          </w14:textFill>
        </w:rPr>
        <w:instrText xml:space="preserve"> HYPERLINK \l _Toc19472 </w:instrText>
      </w:r>
      <w:r>
        <w:rPr>
          <w:rFonts w:hint="default" w:ascii="Times New Roman" w:hAnsi="Times New Roman" w:cs="Times New Roman" w:eastAsiaTheme="minorEastAsia"/>
          <w:color w:val="000000" w:themeColor="text1"/>
          <w:highlight w:val="none"/>
          <w14:textFill>
            <w14:solidFill>
              <w14:schemeClr w14:val="tx1"/>
            </w14:solidFill>
          </w14:textFill>
        </w:rPr>
        <w:fldChar w:fldCharType="separate"/>
      </w: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2.2 编制依据</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_Toc19472 \h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eastAsiaTheme="minorEastAsia"/>
          <w:color w:val="000000" w:themeColor="text1"/>
          <w:highlight w:val="none"/>
          <w14:textFill>
            <w14:solidFill>
              <w14:schemeClr w14:val="tx1"/>
            </w14:solidFill>
          </w14:textFill>
        </w:rPr>
        <w:fldChar w:fldCharType="end"/>
      </w:r>
    </w:p>
    <w:p w14:paraId="1E71733C">
      <w:pPr>
        <w:pStyle w:val="65"/>
        <w:keepNext w:val="0"/>
        <w:keepLines w:val="0"/>
        <w:pageBreakBefore w:val="0"/>
        <w:widowControl w:val="0"/>
        <w:tabs>
          <w:tab w:val="right" w:leader="dot" w:pos="8958"/>
        </w:tabs>
        <w:kinsoku/>
        <w:wordWrap/>
        <w:overflowPunct/>
        <w:topLinePunct w:val="0"/>
        <w:autoSpaceDE/>
        <w:autoSpaceDN/>
        <w:bidi w:val="0"/>
        <w:adjustRightInd w:val="0"/>
        <w:snapToGrid w:val="0"/>
        <w:ind w:left="0" w:leftChars="0" w:firstLine="560" w:firstLineChars="20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fldChar w:fldCharType="begin"/>
      </w:r>
      <w:r>
        <w:rPr>
          <w:rFonts w:hint="default" w:ascii="Times New Roman" w:hAnsi="Times New Roman" w:cs="Times New Roman" w:eastAsiaTheme="minorEastAsia"/>
          <w:color w:val="000000" w:themeColor="text1"/>
          <w:highlight w:val="none"/>
          <w14:textFill>
            <w14:solidFill>
              <w14:schemeClr w14:val="tx1"/>
            </w14:solidFill>
          </w14:textFill>
        </w:rPr>
        <w:instrText xml:space="preserve"> HYPERLINK \l _Toc25329 </w:instrText>
      </w:r>
      <w:r>
        <w:rPr>
          <w:rFonts w:hint="default" w:ascii="Times New Roman" w:hAnsi="Times New Roman" w:cs="Times New Roman" w:eastAsiaTheme="minorEastAsia"/>
          <w:color w:val="000000" w:themeColor="text1"/>
          <w:highlight w:val="none"/>
          <w14:textFill>
            <w14:solidFill>
              <w14:schemeClr w14:val="tx1"/>
            </w14:solidFill>
          </w14:textFill>
        </w:rPr>
        <w:fldChar w:fldCharType="separate"/>
      </w: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2.3 环境影响识别与评价因子筛选</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_Toc25329 \h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10</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eastAsiaTheme="minorEastAsia"/>
          <w:color w:val="000000" w:themeColor="text1"/>
          <w:highlight w:val="none"/>
          <w14:textFill>
            <w14:solidFill>
              <w14:schemeClr w14:val="tx1"/>
            </w14:solidFill>
          </w14:textFill>
        </w:rPr>
        <w:fldChar w:fldCharType="end"/>
      </w:r>
    </w:p>
    <w:p w14:paraId="3485928A">
      <w:pPr>
        <w:pStyle w:val="65"/>
        <w:keepNext w:val="0"/>
        <w:keepLines w:val="0"/>
        <w:pageBreakBefore w:val="0"/>
        <w:widowControl w:val="0"/>
        <w:tabs>
          <w:tab w:val="right" w:leader="dot" w:pos="8958"/>
        </w:tabs>
        <w:kinsoku/>
        <w:wordWrap/>
        <w:overflowPunct/>
        <w:topLinePunct w:val="0"/>
        <w:autoSpaceDE/>
        <w:autoSpaceDN/>
        <w:bidi w:val="0"/>
        <w:adjustRightInd w:val="0"/>
        <w:snapToGrid w:val="0"/>
        <w:ind w:left="0" w:leftChars="0" w:firstLine="560" w:firstLineChars="20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fldChar w:fldCharType="begin"/>
      </w:r>
      <w:r>
        <w:rPr>
          <w:rFonts w:hint="default" w:ascii="Times New Roman" w:hAnsi="Times New Roman" w:cs="Times New Roman" w:eastAsiaTheme="minorEastAsia"/>
          <w:color w:val="000000" w:themeColor="text1"/>
          <w:highlight w:val="none"/>
          <w14:textFill>
            <w14:solidFill>
              <w14:schemeClr w14:val="tx1"/>
            </w14:solidFill>
          </w14:textFill>
        </w:rPr>
        <w:instrText xml:space="preserve"> HYPERLINK \l _Toc6335 </w:instrText>
      </w:r>
      <w:r>
        <w:rPr>
          <w:rFonts w:hint="default" w:ascii="Times New Roman" w:hAnsi="Times New Roman" w:cs="Times New Roman" w:eastAsiaTheme="minorEastAsia"/>
          <w:color w:val="000000" w:themeColor="text1"/>
          <w:highlight w:val="none"/>
          <w14:textFill>
            <w14:solidFill>
              <w14:schemeClr w14:val="tx1"/>
            </w14:solidFill>
          </w14:textFill>
        </w:rPr>
        <w:fldChar w:fldCharType="separate"/>
      </w: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2.4 环境功能区划和环境影响评价标准</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_Toc6335 \h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12</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eastAsiaTheme="minorEastAsia"/>
          <w:color w:val="000000" w:themeColor="text1"/>
          <w:highlight w:val="none"/>
          <w14:textFill>
            <w14:solidFill>
              <w14:schemeClr w14:val="tx1"/>
            </w14:solidFill>
          </w14:textFill>
        </w:rPr>
        <w:fldChar w:fldCharType="end"/>
      </w:r>
    </w:p>
    <w:p w14:paraId="242D2842">
      <w:pPr>
        <w:pStyle w:val="65"/>
        <w:keepNext w:val="0"/>
        <w:keepLines w:val="0"/>
        <w:pageBreakBefore w:val="0"/>
        <w:widowControl w:val="0"/>
        <w:tabs>
          <w:tab w:val="right" w:leader="dot" w:pos="8958"/>
        </w:tabs>
        <w:kinsoku/>
        <w:wordWrap/>
        <w:overflowPunct/>
        <w:topLinePunct w:val="0"/>
        <w:autoSpaceDE/>
        <w:autoSpaceDN/>
        <w:bidi w:val="0"/>
        <w:adjustRightInd w:val="0"/>
        <w:snapToGrid w:val="0"/>
        <w:ind w:left="0" w:leftChars="0" w:firstLine="560" w:firstLineChars="20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fldChar w:fldCharType="begin"/>
      </w:r>
      <w:r>
        <w:rPr>
          <w:rFonts w:hint="default" w:ascii="Times New Roman" w:hAnsi="Times New Roman" w:cs="Times New Roman" w:eastAsiaTheme="minorEastAsia"/>
          <w:color w:val="000000" w:themeColor="text1"/>
          <w:highlight w:val="none"/>
          <w14:textFill>
            <w14:solidFill>
              <w14:schemeClr w14:val="tx1"/>
            </w14:solidFill>
          </w14:textFill>
        </w:rPr>
        <w:instrText xml:space="preserve"> HYPERLINK \l _Toc29854 </w:instrText>
      </w:r>
      <w:r>
        <w:rPr>
          <w:rFonts w:hint="default" w:ascii="Times New Roman" w:hAnsi="Times New Roman" w:cs="Times New Roman" w:eastAsiaTheme="minorEastAsia"/>
          <w:color w:val="000000" w:themeColor="text1"/>
          <w:highlight w:val="none"/>
          <w14:textFill>
            <w14:solidFill>
              <w14:schemeClr w14:val="tx1"/>
            </w14:solidFill>
          </w14:textFill>
        </w:rPr>
        <w:fldChar w:fldCharType="separate"/>
      </w: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2.5 评价等级和评价范围</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_Toc29854 \h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18</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eastAsiaTheme="minorEastAsia"/>
          <w:color w:val="000000" w:themeColor="text1"/>
          <w:highlight w:val="none"/>
          <w14:textFill>
            <w14:solidFill>
              <w14:schemeClr w14:val="tx1"/>
            </w14:solidFill>
          </w14:textFill>
        </w:rPr>
        <w:fldChar w:fldCharType="end"/>
      </w:r>
    </w:p>
    <w:p w14:paraId="21304B01">
      <w:pPr>
        <w:pStyle w:val="65"/>
        <w:keepNext w:val="0"/>
        <w:keepLines w:val="0"/>
        <w:pageBreakBefore w:val="0"/>
        <w:widowControl w:val="0"/>
        <w:tabs>
          <w:tab w:val="right" w:leader="dot" w:pos="8958"/>
        </w:tabs>
        <w:kinsoku/>
        <w:wordWrap/>
        <w:overflowPunct/>
        <w:topLinePunct w:val="0"/>
        <w:autoSpaceDE/>
        <w:autoSpaceDN/>
        <w:bidi w:val="0"/>
        <w:adjustRightInd w:val="0"/>
        <w:snapToGrid w:val="0"/>
        <w:ind w:left="0" w:leftChars="0" w:firstLine="560" w:firstLineChars="20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fldChar w:fldCharType="begin"/>
      </w:r>
      <w:r>
        <w:rPr>
          <w:rFonts w:hint="default" w:ascii="Times New Roman" w:hAnsi="Times New Roman" w:cs="Times New Roman" w:eastAsiaTheme="minorEastAsia"/>
          <w:color w:val="000000" w:themeColor="text1"/>
          <w:highlight w:val="none"/>
          <w14:textFill>
            <w14:solidFill>
              <w14:schemeClr w14:val="tx1"/>
            </w14:solidFill>
          </w14:textFill>
        </w:rPr>
        <w:instrText xml:space="preserve"> HYPERLINK \l _Toc15915 </w:instrText>
      </w:r>
      <w:r>
        <w:rPr>
          <w:rFonts w:hint="default" w:ascii="Times New Roman" w:hAnsi="Times New Roman" w:cs="Times New Roman" w:eastAsiaTheme="minorEastAsia"/>
          <w:color w:val="000000" w:themeColor="text1"/>
          <w:highlight w:val="none"/>
          <w14:textFill>
            <w14:solidFill>
              <w14:schemeClr w14:val="tx1"/>
            </w14:solidFill>
          </w14:textFill>
        </w:rPr>
        <w:fldChar w:fldCharType="separate"/>
      </w: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2.6 评价工作重点</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_Toc15915 \h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22</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eastAsiaTheme="minorEastAsia"/>
          <w:color w:val="000000" w:themeColor="text1"/>
          <w:highlight w:val="none"/>
          <w14:textFill>
            <w14:solidFill>
              <w14:schemeClr w14:val="tx1"/>
            </w14:solidFill>
          </w14:textFill>
        </w:rPr>
        <w:fldChar w:fldCharType="end"/>
      </w:r>
    </w:p>
    <w:p w14:paraId="767ADB51">
      <w:pPr>
        <w:pStyle w:val="65"/>
        <w:keepNext w:val="0"/>
        <w:keepLines w:val="0"/>
        <w:pageBreakBefore w:val="0"/>
        <w:widowControl w:val="0"/>
        <w:tabs>
          <w:tab w:val="right" w:leader="dot" w:pos="8958"/>
        </w:tabs>
        <w:kinsoku/>
        <w:wordWrap/>
        <w:overflowPunct/>
        <w:topLinePunct w:val="0"/>
        <w:autoSpaceDE/>
        <w:autoSpaceDN/>
        <w:bidi w:val="0"/>
        <w:adjustRightInd w:val="0"/>
        <w:snapToGrid w:val="0"/>
        <w:ind w:left="0" w:leftChars="0" w:firstLine="560" w:firstLineChars="20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fldChar w:fldCharType="begin"/>
      </w:r>
      <w:r>
        <w:rPr>
          <w:rFonts w:hint="default" w:ascii="Times New Roman" w:hAnsi="Times New Roman" w:cs="Times New Roman" w:eastAsiaTheme="minorEastAsia"/>
          <w:color w:val="000000" w:themeColor="text1"/>
          <w:highlight w:val="none"/>
          <w14:textFill>
            <w14:solidFill>
              <w14:schemeClr w14:val="tx1"/>
            </w14:solidFill>
          </w14:textFill>
        </w:rPr>
        <w:instrText xml:space="preserve"> HYPERLINK \l _Toc22064 </w:instrText>
      </w:r>
      <w:r>
        <w:rPr>
          <w:rFonts w:hint="default" w:ascii="Times New Roman" w:hAnsi="Times New Roman" w:cs="Times New Roman" w:eastAsiaTheme="minorEastAsia"/>
          <w:color w:val="000000" w:themeColor="text1"/>
          <w:highlight w:val="none"/>
          <w14:textFill>
            <w14:solidFill>
              <w14:schemeClr w14:val="tx1"/>
            </w14:solidFill>
          </w14:textFill>
        </w:rPr>
        <w:fldChar w:fldCharType="separate"/>
      </w: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2.7 环境保护目标</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_Toc22064 \h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23</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eastAsiaTheme="minorEastAsia"/>
          <w:color w:val="000000" w:themeColor="text1"/>
          <w:highlight w:val="none"/>
          <w14:textFill>
            <w14:solidFill>
              <w14:schemeClr w14:val="tx1"/>
            </w14:solidFill>
          </w14:textFill>
        </w:rPr>
        <w:fldChar w:fldCharType="end"/>
      </w:r>
    </w:p>
    <w:p w14:paraId="1D4FDFC3">
      <w:pPr>
        <w:pStyle w:val="28"/>
        <w:keepNext w:val="0"/>
        <w:keepLines w:val="0"/>
        <w:pageBreakBefore w:val="0"/>
        <w:widowControl w:val="0"/>
        <w:tabs>
          <w:tab w:val="right" w:leader="dot" w:pos="8958"/>
        </w:tabs>
        <w:kinsoku/>
        <w:wordWrap/>
        <w:overflowPunct/>
        <w:topLinePunct w:val="0"/>
        <w:autoSpaceDE/>
        <w:autoSpaceDN/>
        <w:bidi w:val="0"/>
        <w:adjustRightInd w:val="0"/>
        <w:snapToGrid w:val="0"/>
        <w:ind w:left="0" w:leftChars="0" w:firstLine="0" w:firstLineChars="0"/>
        <w:textAlignment w:val="auto"/>
        <w:rPr>
          <w:rFonts w:hint="default" w:ascii="Times New Roman" w:hAnsi="Times New Roman" w:cs="Times New Roman" w:eastAsiaTheme="minorEastAsia"/>
          <w:b/>
          <w:bCs/>
          <w:color w:val="000000" w:themeColor="text1"/>
          <w:highlight w:val="none"/>
          <w14:textFill>
            <w14:solidFill>
              <w14:schemeClr w14:val="tx1"/>
            </w14:solidFill>
          </w14:textFill>
        </w:rPr>
      </w:pPr>
      <w:r>
        <w:rPr>
          <w:rFonts w:hint="default" w:ascii="Times New Roman" w:hAnsi="Times New Roman" w:cs="Times New Roman" w:eastAsiaTheme="minorEastAsia"/>
          <w:b/>
          <w:bCs/>
          <w:color w:val="000000" w:themeColor="text1"/>
          <w:highlight w:val="none"/>
          <w14:textFill>
            <w14:solidFill>
              <w14:schemeClr w14:val="tx1"/>
            </w14:solidFill>
          </w14:textFill>
        </w:rPr>
        <w:fldChar w:fldCharType="begin"/>
      </w:r>
      <w:r>
        <w:rPr>
          <w:rFonts w:hint="default" w:ascii="Times New Roman" w:hAnsi="Times New Roman" w:cs="Times New Roman" w:eastAsiaTheme="minorEastAsia"/>
          <w:b/>
          <w:bCs/>
          <w:color w:val="000000" w:themeColor="text1"/>
          <w:highlight w:val="none"/>
          <w14:textFill>
            <w14:solidFill>
              <w14:schemeClr w14:val="tx1"/>
            </w14:solidFill>
          </w14:textFill>
        </w:rPr>
        <w:instrText xml:space="preserve"> HYPERLINK \l _Toc28998 </w:instrText>
      </w:r>
      <w:r>
        <w:rPr>
          <w:rFonts w:hint="default" w:ascii="Times New Roman" w:hAnsi="Times New Roman" w:cs="Times New Roman" w:eastAsiaTheme="minorEastAsia"/>
          <w:b/>
          <w:bCs/>
          <w:color w:val="000000" w:themeColor="text1"/>
          <w:highlight w:val="none"/>
          <w14:textFill>
            <w14:solidFill>
              <w14:schemeClr w14:val="tx1"/>
            </w14:solidFill>
          </w14:textFill>
        </w:rPr>
        <w:fldChar w:fldCharType="separate"/>
      </w:r>
      <w:r>
        <w:rPr>
          <w:rFonts w:hint="default" w:ascii="Times New Roman" w:hAnsi="Times New Roman" w:cs="Times New Roman" w:eastAsiaTheme="minorEastAsia"/>
          <w:b/>
          <w:bCs/>
          <w:color w:val="000000" w:themeColor="text1"/>
          <w:highlight w:val="none"/>
          <w:lang w:val="en-US" w:eastAsia="zh-CN"/>
          <w14:textFill>
            <w14:solidFill>
              <w14:schemeClr w14:val="tx1"/>
            </w14:solidFill>
          </w14:textFill>
        </w:rPr>
        <w:t>3 建设项目工程分析</w:t>
      </w:r>
      <w:r>
        <w:rPr>
          <w:rFonts w:hint="default" w:ascii="Times New Roman" w:hAnsi="Times New Roman" w:cs="Times New Roman" w:eastAsiaTheme="minorEastAsia"/>
          <w:b/>
          <w:bCs/>
          <w:color w:val="000000" w:themeColor="text1"/>
          <w:highlight w:val="none"/>
          <w14:textFill>
            <w14:solidFill>
              <w14:schemeClr w14:val="tx1"/>
            </w14:solidFill>
          </w14:textFill>
        </w:rPr>
        <w:tab/>
      </w:r>
      <w:r>
        <w:rPr>
          <w:rFonts w:hint="default" w:ascii="Times New Roman" w:hAnsi="Times New Roman" w:cs="Times New Roman" w:eastAsiaTheme="minorEastAsia"/>
          <w:b/>
          <w:bCs/>
          <w:color w:val="000000" w:themeColor="text1"/>
          <w:highlight w:val="none"/>
          <w14:textFill>
            <w14:solidFill>
              <w14:schemeClr w14:val="tx1"/>
            </w14:solidFill>
          </w14:textFill>
        </w:rPr>
        <w:fldChar w:fldCharType="begin"/>
      </w:r>
      <w:r>
        <w:rPr>
          <w:rFonts w:hint="default" w:ascii="Times New Roman" w:hAnsi="Times New Roman" w:cs="Times New Roman" w:eastAsiaTheme="minorEastAsia"/>
          <w:b/>
          <w:bCs/>
          <w:color w:val="000000" w:themeColor="text1"/>
          <w:highlight w:val="none"/>
          <w14:textFill>
            <w14:solidFill>
              <w14:schemeClr w14:val="tx1"/>
            </w14:solidFill>
          </w14:textFill>
        </w:rPr>
        <w:instrText xml:space="preserve"> PAGEREF _Toc28998 \h </w:instrText>
      </w:r>
      <w:r>
        <w:rPr>
          <w:rFonts w:hint="default" w:ascii="Times New Roman" w:hAnsi="Times New Roman" w:cs="Times New Roman" w:eastAsiaTheme="minorEastAsia"/>
          <w:b/>
          <w:bCs/>
          <w:color w:val="000000" w:themeColor="text1"/>
          <w:highlight w:val="none"/>
          <w14:textFill>
            <w14:solidFill>
              <w14:schemeClr w14:val="tx1"/>
            </w14:solidFill>
          </w14:textFill>
        </w:rPr>
        <w:fldChar w:fldCharType="separate"/>
      </w:r>
      <w:r>
        <w:rPr>
          <w:rFonts w:hint="default" w:ascii="Times New Roman" w:hAnsi="Times New Roman" w:cs="Times New Roman" w:eastAsiaTheme="minorEastAsia"/>
          <w:b/>
          <w:bCs/>
          <w:color w:val="000000" w:themeColor="text1"/>
          <w:highlight w:val="none"/>
          <w14:textFill>
            <w14:solidFill>
              <w14:schemeClr w14:val="tx1"/>
            </w14:solidFill>
          </w14:textFill>
        </w:rPr>
        <w:t>26</w:t>
      </w:r>
      <w:r>
        <w:rPr>
          <w:rFonts w:hint="default" w:ascii="Times New Roman" w:hAnsi="Times New Roman" w:cs="Times New Roman" w:eastAsiaTheme="minorEastAsia"/>
          <w:b/>
          <w:bCs/>
          <w:color w:val="000000" w:themeColor="text1"/>
          <w:highlight w:val="none"/>
          <w14:textFill>
            <w14:solidFill>
              <w14:schemeClr w14:val="tx1"/>
            </w14:solidFill>
          </w14:textFill>
        </w:rPr>
        <w:fldChar w:fldCharType="end"/>
      </w:r>
      <w:r>
        <w:rPr>
          <w:rFonts w:hint="default" w:ascii="Times New Roman" w:hAnsi="Times New Roman" w:cs="Times New Roman" w:eastAsiaTheme="minorEastAsia"/>
          <w:b/>
          <w:bCs/>
          <w:color w:val="000000" w:themeColor="text1"/>
          <w:highlight w:val="none"/>
          <w14:textFill>
            <w14:solidFill>
              <w14:schemeClr w14:val="tx1"/>
            </w14:solidFill>
          </w14:textFill>
        </w:rPr>
        <w:fldChar w:fldCharType="end"/>
      </w:r>
    </w:p>
    <w:p w14:paraId="674510B3">
      <w:pPr>
        <w:pStyle w:val="65"/>
        <w:keepNext w:val="0"/>
        <w:keepLines w:val="0"/>
        <w:pageBreakBefore w:val="0"/>
        <w:widowControl w:val="0"/>
        <w:tabs>
          <w:tab w:val="right" w:leader="dot" w:pos="8958"/>
        </w:tabs>
        <w:kinsoku/>
        <w:wordWrap/>
        <w:overflowPunct/>
        <w:topLinePunct w:val="0"/>
        <w:autoSpaceDE/>
        <w:autoSpaceDN/>
        <w:bidi w:val="0"/>
        <w:adjustRightInd w:val="0"/>
        <w:snapToGrid w:val="0"/>
        <w:ind w:left="0" w:leftChars="0" w:firstLine="560" w:firstLineChars="20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fldChar w:fldCharType="begin"/>
      </w:r>
      <w:r>
        <w:rPr>
          <w:rFonts w:hint="default" w:ascii="Times New Roman" w:hAnsi="Times New Roman" w:cs="Times New Roman" w:eastAsiaTheme="minorEastAsia"/>
          <w:color w:val="000000" w:themeColor="text1"/>
          <w:highlight w:val="none"/>
          <w14:textFill>
            <w14:solidFill>
              <w14:schemeClr w14:val="tx1"/>
            </w14:solidFill>
          </w14:textFill>
        </w:rPr>
        <w:instrText xml:space="preserve"> HYPERLINK \l _Toc13558 </w:instrText>
      </w:r>
      <w:r>
        <w:rPr>
          <w:rFonts w:hint="default" w:ascii="Times New Roman" w:hAnsi="Times New Roman" w:cs="Times New Roman" w:eastAsiaTheme="minorEastAsia"/>
          <w:color w:val="000000" w:themeColor="text1"/>
          <w:highlight w:val="none"/>
          <w14:textFill>
            <w14:solidFill>
              <w14:schemeClr w14:val="tx1"/>
            </w14:solidFill>
          </w14:textFill>
        </w:rPr>
        <w:fldChar w:fldCharType="separate"/>
      </w: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3.1 项目概况</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_Toc13558 \h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26</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eastAsiaTheme="minorEastAsia"/>
          <w:color w:val="000000" w:themeColor="text1"/>
          <w:highlight w:val="none"/>
          <w14:textFill>
            <w14:solidFill>
              <w14:schemeClr w14:val="tx1"/>
            </w14:solidFill>
          </w14:textFill>
        </w:rPr>
        <w:fldChar w:fldCharType="end"/>
      </w:r>
    </w:p>
    <w:p w14:paraId="4D459093">
      <w:pPr>
        <w:pStyle w:val="65"/>
        <w:keepNext w:val="0"/>
        <w:keepLines w:val="0"/>
        <w:pageBreakBefore w:val="0"/>
        <w:widowControl w:val="0"/>
        <w:tabs>
          <w:tab w:val="right" w:leader="dot" w:pos="8958"/>
        </w:tabs>
        <w:kinsoku/>
        <w:wordWrap/>
        <w:overflowPunct/>
        <w:topLinePunct w:val="0"/>
        <w:autoSpaceDE/>
        <w:autoSpaceDN/>
        <w:bidi w:val="0"/>
        <w:adjustRightInd w:val="0"/>
        <w:snapToGrid w:val="0"/>
        <w:ind w:left="0" w:leftChars="0" w:firstLine="560" w:firstLineChars="20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fldChar w:fldCharType="begin"/>
      </w:r>
      <w:r>
        <w:rPr>
          <w:rFonts w:hint="default" w:ascii="Times New Roman" w:hAnsi="Times New Roman" w:cs="Times New Roman" w:eastAsiaTheme="minorEastAsia"/>
          <w:color w:val="000000" w:themeColor="text1"/>
          <w:highlight w:val="none"/>
          <w14:textFill>
            <w14:solidFill>
              <w14:schemeClr w14:val="tx1"/>
            </w14:solidFill>
          </w14:textFill>
        </w:rPr>
        <w:instrText xml:space="preserve"> HYPERLINK \l _Toc61 </w:instrText>
      </w:r>
      <w:r>
        <w:rPr>
          <w:rFonts w:hint="default" w:ascii="Times New Roman" w:hAnsi="Times New Roman" w:cs="Times New Roman" w:eastAsiaTheme="minorEastAsia"/>
          <w:color w:val="000000" w:themeColor="text1"/>
          <w:highlight w:val="none"/>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污染源分析</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_Toc61 \h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41</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eastAsiaTheme="minorEastAsia"/>
          <w:color w:val="000000" w:themeColor="text1"/>
          <w:highlight w:val="none"/>
          <w14:textFill>
            <w14:solidFill>
              <w14:schemeClr w14:val="tx1"/>
            </w14:solidFill>
          </w14:textFill>
        </w:rPr>
        <w:fldChar w:fldCharType="end"/>
      </w:r>
    </w:p>
    <w:p w14:paraId="5FCB17E4">
      <w:pPr>
        <w:pStyle w:val="65"/>
        <w:keepNext w:val="0"/>
        <w:keepLines w:val="0"/>
        <w:pageBreakBefore w:val="0"/>
        <w:widowControl w:val="0"/>
        <w:tabs>
          <w:tab w:val="right" w:leader="dot" w:pos="8958"/>
        </w:tabs>
        <w:kinsoku/>
        <w:wordWrap/>
        <w:overflowPunct/>
        <w:topLinePunct w:val="0"/>
        <w:autoSpaceDE/>
        <w:autoSpaceDN/>
        <w:bidi w:val="0"/>
        <w:adjustRightInd w:val="0"/>
        <w:snapToGrid w:val="0"/>
        <w:ind w:left="0" w:leftChars="0" w:firstLine="560" w:firstLineChars="20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fldChar w:fldCharType="begin"/>
      </w:r>
      <w:r>
        <w:rPr>
          <w:rFonts w:hint="default" w:ascii="Times New Roman" w:hAnsi="Times New Roman" w:cs="Times New Roman" w:eastAsiaTheme="minorEastAsia"/>
          <w:color w:val="000000" w:themeColor="text1"/>
          <w:highlight w:val="none"/>
          <w14:textFill>
            <w14:solidFill>
              <w14:schemeClr w14:val="tx1"/>
            </w14:solidFill>
          </w14:textFill>
        </w:rPr>
        <w:instrText xml:space="preserve"> HYPERLINK \l _Toc7128 </w:instrText>
      </w:r>
      <w:r>
        <w:rPr>
          <w:rFonts w:hint="default" w:ascii="Times New Roman" w:hAnsi="Times New Roman" w:cs="Times New Roman" w:eastAsiaTheme="minorEastAsia"/>
          <w:color w:val="000000" w:themeColor="text1"/>
          <w:highlight w:val="none"/>
          <w14:textFill>
            <w14:solidFill>
              <w14:schemeClr w14:val="tx1"/>
            </w14:solidFill>
          </w14:textFill>
        </w:rPr>
        <w:fldChar w:fldCharType="separate"/>
      </w: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3.3 项目环境合理性分析</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_Toc7128 \h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49</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eastAsiaTheme="minorEastAsia"/>
          <w:color w:val="000000" w:themeColor="text1"/>
          <w:highlight w:val="none"/>
          <w14:textFill>
            <w14:solidFill>
              <w14:schemeClr w14:val="tx1"/>
            </w14:solidFill>
          </w14:textFill>
        </w:rPr>
        <w:fldChar w:fldCharType="end"/>
      </w:r>
    </w:p>
    <w:p w14:paraId="0DE6BB46">
      <w:pPr>
        <w:pStyle w:val="28"/>
        <w:keepNext w:val="0"/>
        <w:keepLines w:val="0"/>
        <w:pageBreakBefore w:val="0"/>
        <w:widowControl w:val="0"/>
        <w:tabs>
          <w:tab w:val="right" w:leader="dot" w:pos="8958"/>
        </w:tabs>
        <w:kinsoku/>
        <w:wordWrap/>
        <w:overflowPunct/>
        <w:topLinePunct w:val="0"/>
        <w:autoSpaceDE/>
        <w:autoSpaceDN/>
        <w:bidi w:val="0"/>
        <w:adjustRightInd w:val="0"/>
        <w:snapToGrid w:val="0"/>
        <w:ind w:left="0" w:leftChars="0" w:firstLine="0" w:firstLineChars="0"/>
        <w:textAlignment w:val="auto"/>
        <w:rPr>
          <w:rFonts w:hint="default" w:ascii="Times New Roman" w:hAnsi="Times New Roman" w:cs="Times New Roman" w:eastAsiaTheme="minorEastAsia"/>
          <w:b/>
          <w:bCs/>
          <w:color w:val="000000" w:themeColor="text1"/>
          <w:highlight w:val="none"/>
          <w14:textFill>
            <w14:solidFill>
              <w14:schemeClr w14:val="tx1"/>
            </w14:solidFill>
          </w14:textFill>
        </w:rPr>
      </w:pPr>
      <w:r>
        <w:rPr>
          <w:rFonts w:hint="default" w:ascii="Times New Roman" w:hAnsi="Times New Roman" w:cs="Times New Roman" w:eastAsiaTheme="minorEastAsia"/>
          <w:b/>
          <w:bCs/>
          <w:color w:val="000000" w:themeColor="text1"/>
          <w:highlight w:val="none"/>
          <w14:textFill>
            <w14:solidFill>
              <w14:schemeClr w14:val="tx1"/>
            </w14:solidFill>
          </w14:textFill>
        </w:rPr>
        <w:fldChar w:fldCharType="begin"/>
      </w:r>
      <w:r>
        <w:rPr>
          <w:rFonts w:hint="default" w:ascii="Times New Roman" w:hAnsi="Times New Roman" w:cs="Times New Roman" w:eastAsiaTheme="minorEastAsia"/>
          <w:b/>
          <w:bCs/>
          <w:color w:val="000000" w:themeColor="text1"/>
          <w:highlight w:val="none"/>
          <w14:textFill>
            <w14:solidFill>
              <w14:schemeClr w14:val="tx1"/>
            </w14:solidFill>
          </w14:textFill>
        </w:rPr>
        <w:instrText xml:space="preserve"> HYPERLINK \l _Toc20326 </w:instrText>
      </w:r>
      <w:r>
        <w:rPr>
          <w:rFonts w:hint="default" w:ascii="Times New Roman" w:hAnsi="Times New Roman" w:cs="Times New Roman" w:eastAsiaTheme="minorEastAsia"/>
          <w:b/>
          <w:bCs/>
          <w:color w:val="000000" w:themeColor="text1"/>
          <w:highlight w:val="none"/>
          <w14:textFill>
            <w14:solidFill>
              <w14:schemeClr w14:val="tx1"/>
            </w14:solidFill>
          </w14:textFill>
        </w:rPr>
        <w:fldChar w:fldCharType="separate"/>
      </w:r>
      <w:r>
        <w:rPr>
          <w:rFonts w:hint="default" w:ascii="Times New Roman" w:hAnsi="Times New Roman" w:cs="Times New Roman" w:eastAsiaTheme="minorEastAsia"/>
          <w:b/>
          <w:bCs/>
          <w:color w:val="000000" w:themeColor="text1"/>
          <w:highlight w:val="none"/>
          <w:lang w:val="en-US" w:eastAsia="zh-CN"/>
          <w14:textFill>
            <w14:solidFill>
              <w14:schemeClr w14:val="tx1"/>
            </w14:solidFill>
          </w14:textFill>
        </w:rPr>
        <w:t>4 环境现状调查与评价</w:t>
      </w:r>
      <w:r>
        <w:rPr>
          <w:rFonts w:hint="default" w:ascii="Times New Roman" w:hAnsi="Times New Roman" w:cs="Times New Roman" w:eastAsiaTheme="minorEastAsia"/>
          <w:b/>
          <w:bCs/>
          <w:color w:val="000000" w:themeColor="text1"/>
          <w:highlight w:val="none"/>
          <w14:textFill>
            <w14:solidFill>
              <w14:schemeClr w14:val="tx1"/>
            </w14:solidFill>
          </w14:textFill>
        </w:rPr>
        <w:tab/>
      </w:r>
      <w:r>
        <w:rPr>
          <w:rFonts w:hint="default" w:ascii="Times New Roman" w:hAnsi="Times New Roman" w:cs="Times New Roman" w:eastAsiaTheme="minorEastAsia"/>
          <w:b/>
          <w:bCs/>
          <w:color w:val="000000" w:themeColor="text1"/>
          <w:highlight w:val="none"/>
          <w14:textFill>
            <w14:solidFill>
              <w14:schemeClr w14:val="tx1"/>
            </w14:solidFill>
          </w14:textFill>
        </w:rPr>
        <w:fldChar w:fldCharType="begin"/>
      </w:r>
      <w:r>
        <w:rPr>
          <w:rFonts w:hint="default" w:ascii="Times New Roman" w:hAnsi="Times New Roman" w:cs="Times New Roman" w:eastAsiaTheme="minorEastAsia"/>
          <w:b/>
          <w:bCs/>
          <w:color w:val="000000" w:themeColor="text1"/>
          <w:highlight w:val="none"/>
          <w14:textFill>
            <w14:solidFill>
              <w14:schemeClr w14:val="tx1"/>
            </w14:solidFill>
          </w14:textFill>
        </w:rPr>
        <w:instrText xml:space="preserve"> PAGEREF _Toc20326 \h </w:instrText>
      </w:r>
      <w:r>
        <w:rPr>
          <w:rFonts w:hint="default" w:ascii="Times New Roman" w:hAnsi="Times New Roman" w:cs="Times New Roman" w:eastAsiaTheme="minorEastAsia"/>
          <w:b/>
          <w:bCs/>
          <w:color w:val="000000" w:themeColor="text1"/>
          <w:highlight w:val="none"/>
          <w14:textFill>
            <w14:solidFill>
              <w14:schemeClr w14:val="tx1"/>
            </w14:solidFill>
          </w14:textFill>
        </w:rPr>
        <w:fldChar w:fldCharType="separate"/>
      </w:r>
      <w:r>
        <w:rPr>
          <w:rFonts w:hint="default" w:ascii="Times New Roman" w:hAnsi="Times New Roman" w:cs="Times New Roman" w:eastAsiaTheme="minorEastAsia"/>
          <w:b/>
          <w:bCs/>
          <w:color w:val="000000" w:themeColor="text1"/>
          <w:highlight w:val="none"/>
          <w14:textFill>
            <w14:solidFill>
              <w14:schemeClr w14:val="tx1"/>
            </w14:solidFill>
          </w14:textFill>
        </w:rPr>
        <w:t>75</w:t>
      </w:r>
      <w:r>
        <w:rPr>
          <w:rFonts w:hint="default" w:ascii="Times New Roman" w:hAnsi="Times New Roman" w:cs="Times New Roman" w:eastAsiaTheme="minorEastAsia"/>
          <w:b/>
          <w:bCs/>
          <w:color w:val="000000" w:themeColor="text1"/>
          <w:highlight w:val="none"/>
          <w14:textFill>
            <w14:solidFill>
              <w14:schemeClr w14:val="tx1"/>
            </w14:solidFill>
          </w14:textFill>
        </w:rPr>
        <w:fldChar w:fldCharType="end"/>
      </w:r>
      <w:r>
        <w:rPr>
          <w:rFonts w:hint="default" w:ascii="Times New Roman" w:hAnsi="Times New Roman" w:cs="Times New Roman" w:eastAsiaTheme="minorEastAsia"/>
          <w:b/>
          <w:bCs/>
          <w:color w:val="000000" w:themeColor="text1"/>
          <w:highlight w:val="none"/>
          <w14:textFill>
            <w14:solidFill>
              <w14:schemeClr w14:val="tx1"/>
            </w14:solidFill>
          </w14:textFill>
        </w:rPr>
        <w:fldChar w:fldCharType="end"/>
      </w:r>
    </w:p>
    <w:p w14:paraId="08EE6F4C">
      <w:pPr>
        <w:pStyle w:val="65"/>
        <w:keepNext w:val="0"/>
        <w:keepLines w:val="0"/>
        <w:pageBreakBefore w:val="0"/>
        <w:widowControl w:val="0"/>
        <w:tabs>
          <w:tab w:val="right" w:leader="dot" w:pos="8958"/>
        </w:tabs>
        <w:kinsoku/>
        <w:wordWrap/>
        <w:overflowPunct/>
        <w:topLinePunct w:val="0"/>
        <w:autoSpaceDE/>
        <w:autoSpaceDN/>
        <w:bidi w:val="0"/>
        <w:adjustRightInd w:val="0"/>
        <w:snapToGrid w:val="0"/>
        <w:ind w:left="0" w:leftChars="0" w:firstLine="560" w:firstLineChars="20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fldChar w:fldCharType="begin"/>
      </w:r>
      <w:r>
        <w:rPr>
          <w:rFonts w:hint="default" w:ascii="Times New Roman" w:hAnsi="Times New Roman" w:cs="Times New Roman" w:eastAsiaTheme="minorEastAsia"/>
          <w:color w:val="000000" w:themeColor="text1"/>
          <w:highlight w:val="none"/>
          <w14:textFill>
            <w14:solidFill>
              <w14:schemeClr w14:val="tx1"/>
            </w14:solidFill>
          </w14:textFill>
        </w:rPr>
        <w:instrText xml:space="preserve"> HYPERLINK \l _Toc25994 </w:instrText>
      </w:r>
      <w:r>
        <w:rPr>
          <w:rFonts w:hint="default" w:ascii="Times New Roman" w:hAnsi="Times New Roman" w:cs="Times New Roman" w:eastAsiaTheme="minorEastAsia"/>
          <w:color w:val="000000" w:themeColor="text1"/>
          <w:highlight w:val="none"/>
          <w14:textFill>
            <w14:solidFill>
              <w14:schemeClr w14:val="tx1"/>
            </w14:solidFill>
          </w14:textFill>
        </w:rPr>
        <w:fldChar w:fldCharType="separate"/>
      </w: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4.1 自然环境概况</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_Toc25994 \h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75</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eastAsiaTheme="minorEastAsia"/>
          <w:color w:val="000000" w:themeColor="text1"/>
          <w:highlight w:val="none"/>
          <w14:textFill>
            <w14:solidFill>
              <w14:schemeClr w14:val="tx1"/>
            </w14:solidFill>
          </w14:textFill>
        </w:rPr>
        <w:fldChar w:fldCharType="end"/>
      </w:r>
    </w:p>
    <w:p w14:paraId="571A0088">
      <w:pPr>
        <w:pStyle w:val="65"/>
        <w:keepNext w:val="0"/>
        <w:keepLines w:val="0"/>
        <w:pageBreakBefore w:val="0"/>
        <w:widowControl w:val="0"/>
        <w:tabs>
          <w:tab w:val="right" w:leader="dot" w:pos="8958"/>
        </w:tabs>
        <w:kinsoku/>
        <w:wordWrap/>
        <w:overflowPunct/>
        <w:topLinePunct w:val="0"/>
        <w:autoSpaceDE/>
        <w:autoSpaceDN/>
        <w:bidi w:val="0"/>
        <w:adjustRightInd w:val="0"/>
        <w:snapToGrid w:val="0"/>
        <w:ind w:left="0" w:leftChars="0" w:firstLine="560" w:firstLineChars="20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fldChar w:fldCharType="begin"/>
      </w:r>
      <w:r>
        <w:rPr>
          <w:rFonts w:hint="default" w:ascii="Times New Roman" w:hAnsi="Times New Roman" w:cs="Times New Roman" w:eastAsiaTheme="minorEastAsia"/>
          <w:color w:val="000000" w:themeColor="text1"/>
          <w:highlight w:val="none"/>
          <w14:textFill>
            <w14:solidFill>
              <w14:schemeClr w14:val="tx1"/>
            </w14:solidFill>
          </w14:textFill>
        </w:rPr>
        <w:instrText xml:space="preserve"> HYPERLINK \l _Toc1249 </w:instrText>
      </w:r>
      <w:r>
        <w:rPr>
          <w:rFonts w:hint="default" w:ascii="Times New Roman" w:hAnsi="Times New Roman" w:cs="Times New Roman" w:eastAsiaTheme="minorEastAsia"/>
          <w:color w:val="000000" w:themeColor="text1"/>
          <w:highlight w:val="none"/>
          <w14:textFill>
            <w14:solidFill>
              <w14:schemeClr w14:val="tx1"/>
            </w14:solidFill>
          </w14:textFill>
        </w:rPr>
        <w:fldChar w:fldCharType="separate"/>
      </w: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4.2 环境现状调查与评价</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_Toc1249 \h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80</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eastAsiaTheme="minorEastAsia"/>
          <w:color w:val="000000" w:themeColor="text1"/>
          <w:highlight w:val="none"/>
          <w14:textFill>
            <w14:solidFill>
              <w14:schemeClr w14:val="tx1"/>
            </w14:solidFill>
          </w14:textFill>
        </w:rPr>
        <w:fldChar w:fldCharType="end"/>
      </w:r>
    </w:p>
    <w:p w14:paraId="08024365">
      <w:pPr>
        <w:pStyle w:val="28"/>
        <w:keepNext w:val="0"/>
        <w:keepLines w:val="0"/>
        <w:pageBreakBefore w:val="0"/>
        <w:widowControl w:val="0"/>
        <w:tabs>
          <w:tab w:val="right" w:leader="dot" w:pos="8958"/>
        </w:tabs>
        <w:kinsoku/>
        <w:wordWrap/>
        <w:overflowPunct/>
        <w:topLinePunct w:val="0"/>
        <w:autoSpaceDE/>
        <w:autoSpaceDN/>
        <w:bidi w:val="0"/>
        <w:adjustRightInd w:val="0"/>
        <w:snapToGrid w:val="0"/>
        <w:ind w:left="0" w:leftChars="0" w:firstLine="0" w:firstLineChars="0"/>
        <w:textAlignment w:val="auto"/>
        <w:rPr>
          <w:rFonts w:hint="default" w:ascii="Times New Roman" w:hAnsi="Times New Roman" w:cs="Times New Roman" w:eastAsiaTheme="minorEastAsia"/>
          <w:b/>
          <w:bCs/>
          <w:color w:val="000000" w:themeColor="text1"/>
          <w:highlight w:val="none"/>
          <w14:textFill>
            <w14:solidFill>
              <w14:schemeClr w14:val="tx1"/>
            </w14:solidFill>
          </w14:textFill>
        </w:rPr>
      </w:pPr>
      <w:r>
        <w:rPr>
          <w:rFonts w:hint="default" w:ascii="Times New Roman" w:hAnsi="Times New Roman" w:cs="Times New Roman" w:eastAsiaTheme="minorEastAsia"/>
          <w:b/>
          <w:bCs/>
          <w:color w:val="000000" w:themeColor="text1"/>
          <w:highlight w:val="none"/>
          <w14:textFill>
            <w14:solidFill>
              <w14:schemeClr w14:val="tx1"/>
            </w14:solidFill>
          </w14:textFill>
        </w:rPr>
        <w:fldChar w:fldCharType="begin"/>
      </w:r>
      <w:r>
        <w:rPr>
          <w:rFonts w:hint="default" w:ascii="Times New Roman" w:hAnsi="Times New Roman" w:cs="Times New Roman" w:eastAsiaTheme="minorEastAsia"/>
          <w:b/>
          <w:bCs/>
          <w:color w:val="000000" w:themeColor="text1"/>
          <w:highlight w:val="none"/>
          <w14:textFill>
            <w14:solidFill>
              <w14:schemeClr w14:val="tx1"/>
            </w14:solidFill>
          </w14:textFill>
        </w:rPr>
        <w:instrText xml:space="preserve"> HYPERLINK \l _Toc25863 </w:instrText>
      </w:r>
      <w:r>
        <w:rPr>
          <w:rFonts w:hint="default" w:ascii="Times New Roman" w:hAnsi="Times New Roman" w:cs="Times New Roman" w:eastAsiaTheme="minorEastAsia"/>
          <w:b/>
          <w:bCs/>
          <w:color w:val="000000" w:themeColor="text1"/>
          <w:highlight w:val="none"/>
          <w14:textFill>
            <w14:solidFill>
              <w14:schemeClr w14:val="tx1"/>
            </w14:solidFill>
          </w14:textFill>
        </w:rPr>
        <w:fldChar w:fldCharType="separate"/>
      </w:r>
      <w:r>
        <w:rPr>
          <w:rFonts w:hint="default" w:ascii="Times New Roman" w:hAnsi="Times New Roman" w:cs="Times New Roman" w:eastAsiaTheme="minorEastAsia"/>
          <w:b/>
          <w:bCs/>
          <w:color w:val="000000" w:themeColor="text1"/>
          <w:highlight w:val="none"/>
          <w:lang w:val="en-US" w:eastAsia="zh-CN"/>
          <w14:textFill>
            <w14:solidFill>
              <w14:schemeClr w14:val="tx1"/>
            </w14:solidFill>
          </w14:textFill>
        </w:rPr>
        <w:t>5 环境影响预测与评价</w:t>
      </w:r>
      <w:r>
        <w:rPr>
          <w:rFonts w:hint="default" w:ascii="Times New Roman" w:hAnsi="Times New Roman" w:cs="Times New Roman" w:eastAsiaTheme="minorEastAsia"/>
          <w:b/>
          <w:bCs/>
          <w:color w:val="000000" w:themeColor="text1"/>
          <w:highlight w:val="none"/>
          <w14:textFill>
            <w14:solidFill>
              <w14:schemeClr w14:val="tx1"/>
            </w14:solidFill>
          </w14:textFill>
        </w:rPr>
        <w:tab/>
      </w:r>
      <w:r>
        <w:rPr>
          <w:rFonts w:hint="default" w:ascii="Times New Roman" w:hAnsi="Times New Roman" w:cs="Times New Roman" w:eastAsiaTheme="minorEastAsia"/>
          <w:b/>
          <w:bCs/>
          <w:color w:val="000000" w:themeColor="text1"/>
          <w:highlight w:val="none"/>
          <w14:textFill>
            <w14:solidFill>
              <w14:schemeClr w14:val="tx1"/>
            </w14:solidFill>
          </w14:textFill>
        </w:rPr>
        <w:fldChar w:fldCharType="begin"/>
      </w:r>
      <w:r>
        <w:rPr>
          <w:rFonts w:hint="default" w:ascii="Times New Roman" w:hAnsi="Times New Roman" w:cs="Times New Roman" w:eastAsiaTheme="minorEastAsia"/>
          <w:b/>
          <w:bCs/>
          <w:color w:val="000000" w:themeColor="text1"/>
          <w:highlight w:val="none"/>
          <w14:textFill>
            <w14:solidFill>
              <w14:schemeClr w14:val="tx1"/>
            </w14:solidFill>
          </w14:textFill>
        </w:rPr>
        <w:instrText xml:space="preserve"> PAGEREF _Toc25863 \h </w:instrText>
      </w:r>
      <w:r>
        <w:rPr>
          <w:rFonts w:hint="default" w:ascii="Times New Roman" w:hAnsi="Times New Roman" w:cs="Times New Roman" w:eastAsiaTheme="minorEastAsia"/>
          <w:b/>
          <w:bCs/>
          <w:color w:val="000000" w:themeColor="text1"/>
          <w:highlight w:val="none"/>
          <w14:textFill>
            <w14:solidFill>
              <w14:schemeClr w14:val="tx1"/>
            </w14:solidFill>
          </w14:textFill>
        </w:rPr>
        <w:fldChar w:fldCharType="separate"/>
      </w:r>
      <w:r>
        <w:rPr>
          <w:rFonts w:hint="default" w:ascii="Times New Roman" w:hAnsi="Times New Roman" w:cs="Times New Roman" w:eastAsiaTheme="minorEastAsia"/>
          <w:b/>
          <w:bCs/>
          <w:color w:val="000000" w:themeColor="text1"/>
          <w:highlight w:val="none"/>
          <w14:textFill>
            <w14:solidFill>
              <w14:schemeClr w14:val="tx1"/>
            </w14:solidFill>
          </w14:textFill>
        </w:rPr>
        <w:t>89</w:t>
      </w:r>
      <w:r>
        <w:rPr>
          <w:rFonts w:hint="default" w:ascii="Times New Roman" w:hAnsi="Times New Roman" w:cs="Times New Roman" w:eastAsiaTheme="minorEastAsia"/>
          <w:b/>
          <w:bCs/>
          <w:color w:val="000000" w:themeColor="text1"/>
          <w:highlight w:val="none"/>
          <w14:textFill>
            <w14:solidFill>
              <w14:schemeClr w14:val="tx1"/>
            </w14:solidFill>
          </w14:textFill>
        </w:rPr>
        <w:fldChar w:fldCharType="end"/>
      </w:r>
      <w:r>
        <w:rPr>
          <w:rFonts w:hint="default" w:ascii="Times New Roman" w:hAnsi="Times New Roman" w:cs="Times New Roman" w:eastAsiaTheme="minorEastAsia"/>
          <w:b/>
          <w:bCs/>
          <w:color w:val="000000" w:themeColor="text1"/>
          <w:highlight w:val="none"/>
          <w14:textFill>
            <w14:solidFill>
              <w14:schemeClr w14:val="tx1"/>
            </w14:solidFill>
          </w14:textFill>
        </w:rPr>
        <w:fldChar w:fldCharType="end"/>
      </w:r>
    </w:p>
    <w:p w14:paraId="1384DA78">
      <w:pPr>
        <w:pStyle w:val="65"/>
        <w:keepNext w:val="0"/>
        <w:keepLines w:val="0"/>
        <w:pageBreakBefore w:val="0"/>
        <w:widowControl w:val="0"/>
        <w:tabs>
          <w:tab w:val="right" w:leader="dot" w:pos="8958"/>
        </w:tabs>
        <w:kinsoku/>
        <w:wordWrap/>
        <w:overflowPunct/>
        <w:topLinePunct w:val="0"/>
        <w:autoSpaceDE/>
        <w:autoSpaceDN/>
        <w:bidi w:val="0"/>
        <w:adjustRightInd w:val="0"/>
        <w:snapToGrid w:val="0"/>
        <w:ind w:left="0" w:leftChars="0" w:firstLine="560" w:firstLineChars="20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fldChar w:fldCharType="begin"/>
      </w:r>
      <w:r>
        <w:rPr>
          <w:rFonts w:hint="default" w:ascii="Times New Roman" w:hAnsi="Times New Roman" w:cs="Times New Roman" w:eastAsiaTheme="minorEastAsia"/>
          <w:color w:val="000000" w:themeColor="text1"/>
          <w:highlight w:val="none"/>
          <w14:textFill>
            <w14:solidFill>
              <w14:schemeClr w14:val="tx1"/>
            </w14:solidFill>
          </w14:textFill>
        </w:rPr>
        <w:instrText xml:space="preserve"> HYPERLINK \l _Toc8134 </w:instrText>
      </w:r>
      <w:r>
        <w:rPr>
          <w:rFonts w:hint="default" w:ascii="Times New Roman" w:hAnsi="Times New Roman" w:cs="Times New Roman" w:eastAsiaTheme="minorEastAsia"/>
          <w:color w:val="000000" w:themeColor="text1"/>
          <w:highlight w:val="none"/>
          <w14:textFill>
            <w14:solidFill>
              <w14:schemeClr w14:val="tx1"/>
            </w14:solidFill>
          </w14:textFill>
        </w:rPr>
        <w:fldChar w:fldCharType="separate"/>
      </w: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5.1 施工期环境影响分析</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_Toc8134 \h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89</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eastAsiaTheme="minorEastAsia"/>
          <w:color w:val="000000" w:themeColor="text1"/>
          <w:highlight w:val="none"/>
          <w14:textFill>
            <w14:solidFill>
              <w14:schemeClr w14:val="tx1"/>
            </w14:solidFill>
          </w14:textFill>
        </w:rPr>
        <w:fldChar w:fldCharType="end"/>
      </w:r>
    </w:p>
    <w:p w14:paraId="2B9F91BB">
      <w:pPr>
        <w:pStyle w:val="65"/>
        <w:keepNext w:val="0"/>
        <w:keepLines w:val="0"/>
        <w:pageBreakBefore w:val="0"/>
        <w:widowControl w:val="0"/>
        <w:tabs>
          <w:tab w:val="right" w:leader="dot" w:pos="8958"/>
        </w:tabs>
        <w:kinsoku/>
        <w:wordWrap/>
        <w:overflowPunct/>
        <w:topLinePunct w:val="0"/>
        <w:autoSpaceDE/>
        <w:autoSpaceDN/>
        <w:bidi w:val="0"/>
        <w:adjustRightInd w:val="0"/>
        <w:snapToGrid w:val="0"/>
        <w:ind w:left="0" w:leftChars="0" w:firstLine="560" w:firstLineChars="20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fldChar w:fldCharType="begin"/>
      </w:r>
      <w:r>
        <w:rPr>
          <w:rFonts w:hint="default" w:ascii="Times New Roman" w:hAnsi="Times New Roman" w:cs="Times New Roman" w:eastAsiaTheme="minorEastAsia"/>
          <w:color w:val="000000" w:themeColor="text1"/>
          <w:highlight w:val="none"/>
          <w14:textFill>
            <w14:solidFill>
              <w14:schemeClr w14:val="tx1"/>
            </w14:solidFill>
          </w14:textFill>
        </w:rPr>
        <w:instrText xml:space="preserve"> HYPERLINK \l _Toc23778 </w:instrText>
      </w:r>
      <w:r>
        <w:rPr>
          <w:rFonts w:hint="default" w:ascii="Times New Roman" w:hAnsi="Times New Roman" w:cs="Times New Roman" w:eastAsiaTheme="minorEastAsia"/>
          <w:color w:val="000000" w:themeColor="text1"/>
          <w:highlight w:val="none"/>
          <w14:textFill>
            <w14:solidFill>
              <w14:schemeClr w14:val="tx1"/>
            </w14:solidFill>
          </w14:textFill>
        </w:rPr>
        <w:fldChar w:fldCharType="separate"/>
      </w: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5.2 运营期环境影响评价</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_Toc23778 \h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100</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eastAsiaTheme="minorEastAsia"/>
          <w:color w:val="000000" w:themeColor="text1"/>
          <w:highlight w:val="none"/>
          <w14:textFill>
            <w14:solidFill>
              <w14:schemeClr w14:val="tx1"/>
            </w14:solidFill>
          </w14:textFill>
        </w:rPr>
        <w:fldChar w:fldCharType="end"/>
      </w:r>
    </w:p>
    <w:p w14:paraId="268A8616">
      <w:pPr>
        <w:pStyle w:val="28"/>
        <w:keepNext w:val="0"/>
        <w:keepLines w:val="0"/>
        <w:pageBreakBefore w:val="0"/>
        <w:widowControl w:val="0"/>
        <w:tabs>
          <w:tab w:val="right" w:leader="dot" w:pos="8958"/>
        </w:tabs>
        <w:kinsoku/>
        <w:wordWrap/>
        <w:overflowPunct/>
        <w:topLinePunct w:val="0"/>
        <w:autoSpaceDE/>
        <w:autoSpaceDN/>
        <w:bidi w:val="0"/>
        <w:adjustRightInd w:val="0"/>
        <w:snapToGrid w:val="0"/>
        <w:ind w:left="0" w:leftChars="0" w:firstLine="0" w:firstLineChars="0"/>
        <w:textAlignment w:val="auto"/>
        <w:rPr>
          <w:rFonts w:hint="default" w:ascii="Times New Roman" w:hAnsi="Times New Roman" w:cs="Times New Roman" w:eastAsiaTheme="minorEastAsia"/>
          <w:b/>
          <w:bCs/>
          <w:color w:val="000000" w:themeColor="text1"/>
          <w:highlight w:val="none"/>
          <w14:textFill>
            <w14:solidFill>
              <w14:schemeClr w14:val="tx1"/>
            </w14:solidFill>
          </w14:textFill>
        </w:rPr>
      </w:pPr>
      <w:r>
        <w:rPr>
          <w:rFonts w:hint="default" w:ascii="Times New Roman" w:hAnsi="Times New Roman" w:cs="Times New Roman" w:eastAsiaTheme="minorEastAsia"/>
          <w:b/>
          <w:bCs/>
          <w:color w:val="000000" w:themeColor="text1"/>
          <w:highlight w:val="none"/>
          <w14:textFill>
            <w14:solidFill>
              <w14:schemeClr w14:val="tx1"/>
            </w14:solidFill>
          </w14:textFill>
        </w:rPr>
        <w:fldChar w:fldCharType="begin"/>
      </w:r>
      <w:r>
        <w:rPr>
          <w:rFonts w:hint="default" w:ascii="Times New Roman" w:hAnsi="Times New Roman" w:cs="Times New Roman" w:eastAsiaTheme="minorEastAsia"/>
          <w:b/>
          <w:bCs/>
          <w:color w:val="000000" w:themeColor="text1"/>
          <w:highlight w:val="none"/>
          <w14:textFill>
            <w14:solidFill>
              <w14:schemeClr w14:val="tx1"/>
            </w14:solidFill>
          </w14:textFill>
        </w:rPr>
        <w:instrText xml:space="preserve"> HYPERLINK \l _Toc8377 </w:instrText>
      </w:r>
      <w:r>
        <w:rPr>
          <w:rFonts w:hint="default" w:ascii="Times New Roman" w:hAnsi="Times New Roman" w:cs="Times New Roman" w:eastAsiaTheme="minorEastAsia"/>
          <w:b/>
          <w:bCs/>
          <w:color w:val="000000" w:themeColor="text1"/>
          <w:highlight w:val="none"/>
          <w14:textFill>
            <w14:solidFill>
              <w14:schemeClr w14:val="tx1"/>
            </w14:solidFill>
          </w14:textFill>
        </w:rPr>
        <w:fldChar w:fldCharType="separate"/>
      </w:r>
      <w:r>
        <w:rPr>
          <w:rFonts w:hint="default" w:ascii="Times New Roman" w:hAnsi="Times New Roman" w:cs="Times New Roman" w:eastAsiaTheme="minorEastAsia"/>
          <w:b/>
          <w:bCs/>
          <w:color w:val="000000" w:themeColor="text1"/>
          <w:highlight w:val="none"/>
          <w:lang w:val="en-US" w:eastAsia="zh-CN"/>
          <w14:textFill>
            <w14:solidFill>
              <w14:schemeClr w14:val="tx1"/>
            </w14:solidFill>
          </w14:textFill>
        </w:rPr>
        <w:t>6 环境保护措施及其可行性论证</w:t>
      </w:r>
      <w:r>
        <w:rPr>
          <w:rFonts w:hint="default" w:ascii="Times New Roman" w:hAnsi="Times New Roman" w:cs="Times New Roman" w:eastAsiaTheme="minorEastAsia"/>
          <w:b/>
          <w:bCs/>
          <w:color w:val="000000" w:themeColor="text1"/>
          <w:highlight w:val="none"/>
          <w14:textFill>
            <w14:solidFill>
              <w14:schemeClr w14:val="tx1"/>
            </w14:solidFill>
          </w14:textFill>
        </w:rPr>
        <w:tab/>
      </w:r>
      <w:r>
        <w:rPr>
          <w:rFonts w:hint="default" w:ascii="Times New Roman" w:hAnsi="Times New Roman" w:cs="Times New Roman" w:eastAsiaTheme="minorEastAsia"/>
          <w:b/>
          <w:bCs/>
          <w:color w:val="000000" w:themeColor="text1"/>
          <w:highlight w:val="none"/>
          <w14:textFill>
            <w14:solidFill>
              <w14:schemeClr w14:val="tx1"/>
            </w14:solidFill>
          </w14:textFill>
        </w:rPr>
        <w:fldChar w:fldCharType="begin"/>
      </w:r>
      <w:r>
        <w:rPr>
          <w:rFonts w:hint="default" w:ascii="Times New Roman" w:hAnsi="Times New Roman" w:cs="Times New Roman" w:eastAsiaTheme="minorEastAsia"/>
          <w:b/>
          <w:bCs/>
          <w:color w:val="000000" w:themeColor="text1"/>
          <w:highlight w:val="none"/>
          <w14:textFill>
            <w14:solidFill>
              <w14:schemeClr w14:val="tx1"/>
            </w14:solidFill>
          </w14:textFill>
        </w:rPr>
        <w:instrText xml:space="preserve"> PAGEREF _Toc8377 \h </w:instrText>
      </w:r>
      <w:r>
        <w:rPr>
          <w:rFonts w:hint="default" w:ascii="Times New Roman" w:hAnsi="Times New Roman" w:cs="Times New Roman" w:eastAsiaTheme="minorEastAsia"/>
          <w:b/>
          <w:bCs/>
          <w:color w:val="000000" w:themeColor="text1"/>
          <w:highlight w:val="none"/>
          <w14:textFill>
            <w14:solidFill>
              <w14:schemeClr w14:val="tx1"/>
            </w14:solidFill>
          </w14:textFill>
        </w:rPr>
        <w:fldChar w:fldCharType="separate"/>
      </w:r>
      <w:r>
        <w:rPr>
          <w:rFonts w:hint="default" w:ascii="Times New Roman" w:hAnsi="Times New Roman" w:cs="Times New Roman" w:eastAsiaTheme="minorEastAsia"/>
          <w:b/>
          <w:bCs/>
          <w:color w:val="000000" w:themeColor="text1"/>
          <w:highlight w:val="none"/>
          <w14:textFill>
            <w14:solidFill>
              <w14:schemeClr w14:val="tx1"/>
            </w14:solidFill>
          </w14:textFill>
        </w:rPr>
        <w:t>120</w:t>
      </w:r>
      <w:r>
        <w:rPr>
          <w:rFonts w:hint="default" w:ascii="Times New Roman" w:hAnsi="Times New Roman" w:cs="Times New Roman" w:eastAsiaTheme="minorEastAsia"/>
          <w:b/>
          <w:bCs/>
          <w:color w:val="000000" w:themeColor="text1"/>
          <w:highlight w:val="none"/>
          <w14:textFill>
            <w14:solidFill>
              <w14:schemeClr w14:val="tx1"/>
            </w14:solidFill>
          </w14:textFill>
        </w:rPr>
        <w:fldChar w:fldCharType="end"/>
      </w:r>
      <w:r>
        <w:rPr>
          <w:rFonts w:hint="default" w:ascii="Times New Roman" w:hAnsi="Times New Roman" w:cs="Times New Roman" w:eastAsiaTheme="minorEastAsia"/>
          <w:b/>
          <w:bCs/>
          <w:color w:val="000000" w:themeColor="text1"/>
          <w:highlight w:val="none"/>
          <w14:textFill>
            <w14:solidFill>
              <w14:schemeClr w14:val="tx1"/>
            </w14:solidFill>
          </w14:textFill>
        </w:rPr>
        <w:fldChar w:fldCharType="end"/>
      </w:r>
    </w:p>
    <w:p w14:paraId="32DC7976">
      <w:pPr>
        <w:pStyle w:val="65"/>
        <w:keepNext w:val="0"/>
        <w:keepLines w:val="0"/>
        <w:pageBreakBefore w:val="0"/>
        <w:widowControl w:val="0"/>
        <w:tabs>
          <w:tab w:val="right" w:leader="dot" w:pos="8958"/>
        </w:tabs>
        <w:kinsoku/>
        <w:wordWrap/>
        <w:overflowPunct/>
        <w:topLinePunct w:val="0"/>
        <w:autoSpaceDE/>
        <w:autoSpaceDN/>
        <w:bidi w:val="0"/>
        <w:adjustRightInd w:val="0"/>
        <w:snapToGrid w:val="0"/>
        <w:ind w:left="0" w:leftChars="0" w:firstLine="560" w:firstLineChars="20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fldChar w:fldCharType="begin"/>
      </w:r>
      <w:r>
        <w:rPr>
          <w:rFonts w:hint="default" w:ascii="Times New Roman" w:hAnsi="Times New Roman" w:cs="Times New Roman" w:eastAsiaTheme="minorEastAsia"/>
          <w:color w:val="000000" w:themeColor="text1"/>
          <w:highlight w:val="none"/>
          <w14:textFill>
            <w14:solidFill>
              <w14:schemeClr w14:val="tx1"/>
            </w14:solidFill>
          </w14:textFill>
        </w:rPr>
        <w:instrText xml:space="preserve"> HYPERLINK \l _Toc23074 </w:instrText>
      </w:r>
      <w:r>
        <w:rPr>
          <w:rFonts w:hint="default" w:ascii="Times New Roman" w:hAnsi="Times New Roman" w:cs="Times New Roman" w:eastAsiaTheme="minorEastAsia"/>
          <w:color w:val="000000" w:themeColor="text1"/>
          <w:highlight w:val="none"/>
          <w14:textFill>
            <w14:solidFill>
              <w14:schemeClr w14:val="tx1"/>
            </w14:solidFill>
          </w14:textFill>
        </w:rPr>
        <w:fldChar w:fldCharType="separate"/>
      </w: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6.1 大气环境保护措施</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_Toc23074 \h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120</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eastAsiaTheme="minorEastAsia"/>
          <w:color w:val="000000" w:themeColor="text1"/>
          <w:highlight w:val="none"/>
          <w14:textFill>
            <w14:solidFill>
              <w14:schemeClr w14:val="tx1"/>
            </w14:solidFill>
          </w14:textFill>
        </w:rPr>
        <w:fldChar w:fldCharType="end"/>
      </w:r>
    </w:p>
    <w:p w14:paraId="051BED38">
      <w:pPr>
        <w:pStyle w:val="65"/>
        <w:keepNext w:val="0"/>
        <w:keepLines w:val="0"/>
        <w:pageBreakBefore w:val="0"/>
        <w:widowControl w:val="0"/>
        <w:tabs>
          <w:tab w:val="right" w:leader="dot" w:pos="8958"/>
        </w:tabs>
        <w:kinsoku/>
        <w:wordWrap/>
        <w:overflowPunct/>
        <w:topLinePunct w:val="0"/>
        <w:autoSpaceDE/>
        <w:autoSpaceDN/>
        <w:bidi w:val="0"/>
        <w:adjustRightInd w:val="0"/>
        <w:snapToGrid w:val="0"/>
        <w:ind w:left="0" w:leftChars="0" w:firstLine="560" w:firstLineChars="20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fldChar w:fldCharType="begin"/>
      </w:r>
      <w:r>
        <w:rPr>
          <w:rFonts w:hint="default" w:ascii="Times New Roman" w:hAnsi="Times New Roman" w:cs="Times New Roman" w:eastAsiaTheme="minorEastAsia"/>
          <w:color w:val="000000" w:themeColor="text1"/>
          <w:highlight w:val="none"/>
          <w14:textFill>
            <w14:solidFill>
              <w14:schemeClr w14:val="tx1"/>
            </w14:solidFill>
          </w14:textFill>
        </w:rPr>
        <w:instrText xml:space="preserve"> HYPERLINK \l _Toc31691 </w:instrText>
      </w:r>
      <w:r>
        <w:rPr>
          <w:rFonts w:hint="default" w:ascii="Times New Roman" w:hAnsi="Times New Roman" w:cs="Times New Roman" w:eastAsiaTheme="minorEastAsia"/>
          <w:color w:val="000000" w:themeColor="text1"/>
          <w:highlight w:val="none"/>
          <w14:textFill>
            <w14:solidFill>
              <w14:schemeClr w14:val="tx1"/>
            </w14:solidFill>
          </w14:textFill>
        </w:rPr>
        <w:fldChar w:fldCharType="separate"/>
      </w: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6.2 水环境保护措施</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_Toc31691 \h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121</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eastAsiaTheme="minorEastAsia"/>
          <w:color w:val="000000" w:themeColor="text1"/>
          <w:highlight w:val="none"/>
          <w14:textFill>
            <w14:solidFill>
              <w14:schemeClr w14:val="tx1"/>
            </w14:solidFill>
          </w14:textFill>
        </w:rPr>
        <w:fldChar w:fldCharType="end"/>
      </w:r>
    </w:p>
    <w:p w14:paraId="7EE84E52">
      <w:pPr>
        <w:pStyle w:val="65"/>
        <w:keepNext w:val="0"/>
        <w:keepLines w:val="0"/>
        <w:pageBreakBefore w:val="0"/>
        <w:widowControl w:val="0"/>
        <w:tabs>
          <w:tab w:val="right" w:leader="dot" w:pos="8958"/>
        </w:tabs>
        <w:kinsoku/>
        <w:wordWrap/>
        <w:overflowPunct/>
        <w:topLinePunct w:val="0"/>
        <w:autoSpaceDE/>
        <w:autoSpaceDN/>
        <w:bidi w:val="0"/>
        <w:adjustRightInd w:val="0"/>
        <w:snapToGrid w:val="0"/>
        <w:ind w:left="0" w:leftChars="0" w:firstLine="560" w:firstLineChars="20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fldChar w:fldCharType="begin"/>
      </w:r>
      <w:r>
        <w:rPr>
          <w:rFonts w:hint="default" w:ascii="Times New Roman" w:hAnsi="Times New Roman" w:cs="Times New Roman" w:eastAsiaTheme="minorEastAsia"/>
          <w:color w:val="000000" w:themeColor="text1"/>
          <w:highlight w:val="none"/>
          <w14:textFill>
            <w14:solidFill>
              <w14:schemeClr w14:val="tx1"/>
            </w14:solidFill>
          </w14:textFill>
        </w:rPr>
        <w:instrText xml:space="preserve"> HYPERLINK \l _Toc22298 </w:instrText>
      </w:r>
      <w:r>
        <w:rPr>
          <w:rFonts w:hint="default" w:ascii="Times New Roman" w:hAnsi="Times New Roman" w:cs="Times New Roman" w:eastAsiaTheme="minorEastAsia"/>
          <w:color w:val="000000" w:themeColor="text1"/>
          <w:highlight w:val="none"/>
          <w14:textFill>
            <w14:solidFill>
              <w14:schemeClr w14:val="tx1"/>
            </w14:solidFill>
          </w14:textFill>
        </w:rPr>
        <w:fldChar w:fldCharType="separate"/>
      </w: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6.3 声环境保护措施</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_Toc22298 \h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124</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eastAsiaTheme="minorEastAsia"/>
          <w:color w:val="000000" w:themeColor="text1"/>
          <w:highlight w:val="none"/>
          <w14:textFill>
            <w14:solidFill>
              <w14:schemeClr w14:val="tx1"/>
            </w14:solidFill>
          </w14:textFill>
        </w:rPr>
        <w:fldChar w:fldCharType="end"/>
      </w:r>
    </w:p>
    <w:p w14:paraId="317B59AD">
      <w:pPr>
        <w:pStyle w:val="65"/>
        <w:keepNext w:val="0"/>
        <w:keepLines w:val="0"/>
        <w:pageBreakBefore w:val="0"/>
        <w:widowControl w:val="0"/>
        <w:tabs>
          <w:tab w:val="right" w:leader="dot" w:pos="8958"/>
        </w:tabs>
        <w:kinsoku/>
        <w:wordWrap/>
        <w:overflowPunct/>
        <w:topLinePunct w:val="0"/>
        <w:autoSpaceDE/>
        <w:autoSpaceDN/>
        <w:bidi w:val="0"/>
        <w:adjustRightInd w:val="0"/>
        <w:snapToGrid w:val="0"/>
        <w:ind w:left="0" w:leftChars="0" w:firstLine="560" w:firstLineChars="20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fldChar w:fldCharType="begin"/>
      </w:r>
      <w:r>
        <w:rPr>
          <w:rFonts w:hint="default" w:ascii="Times New Roman" w:hAnsi="Times New Roman" w:cs="Times New Roman" w:eastAsiaTheme="minorEastAsia"/>
          <w:color w:val="000000" w:themeColor="text1"/>
          <w:highlight w:val="none"/>
          <w14:textFill>
            <w14:solidFill>
              <w14:schemeClr w14:val="tx1"/>
            </w14:solidFill>
          </w14:textFill>
        </w:rPr>
        <w:instrText xml:space="preserve"> HYPERLINK \l _Toc18043 </w:instrText>
      </w:r>
      <w:r>
        <w:rPr>
          <w:rFonts w:hint="default" w:ascii="Times New Roman" w:hAnsi="Times New Roman" w:cs="Times New Roman" w:eastAsiaTheme="minorEastAsia"/>
          <w:color w:val="000000" w:themeColor="text1"/>
          <w:highlight w:val="none"/>
          <w14:textFill>
            <w14:solidFill>
              <w14:schemeClr w14:val="tx1"/>
            </w14:solidFill>
          </w14:textFill>
        </w:rPr>
        <w:fldChar w:fldCharType="separate"/>
      </w: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6.4 固体废物污染防治措施</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_Toc18043 \h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125</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eastAsiaTheme="minorEastAsia"/>
          <w:color w:val="000000" w:themeColor="text1"/>
          <w:highlight w:val="none"/>
          <w14:textFill>
            <w14:solidFill>
              <w14:schemeClr w14:val="tx1"/>
            </w14:solidFill>
          </w14:textFill>
        </w:rPr>
        <w:fldChar w:fldCharType="end"/>
      </w:r>
    </w:p>
    <w:p w14:paraId="5EBF7A03">
      <w:pPr>
        <w:pStyle w:val="65"/>
        <w:keepNext w:val="0"/>
        <w:keepLines w:val="0"/>
        <w:pageBreakBefore w:val="0"/>
        <w:widowControl w:val="0"/>
        <w:tabs>
          <w:tab w:val="right" w:leader="dot" w:pos="8958"/>
        </w:tabs>
        <w:kinsoku/>
        <w:wordWrap/>
        <w:overflowPunct/>
        <w:topLinePunct w:val="0"/>
        <w:autoSpaceDE/>
        <w:autoSpaceDN/>
        <w:bidi w:val="0"/>
        <w:adjustRightInd w:val="0"/>
        <w:snapToGrid w:val="0"/>
        <w:ind w:left="0" w:leftChars="0" w:firstLine="560" w:firstLineChars="20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fldChar w:fldCharType="begin"/>
      </w:r>
      <w:r>
        <w:rPr>
          <w:rFonts w:hint="default" w:ascii="Times New Roman" w:hAnsi="Times New Roman" w:cs="Times New Roman" w:eastAsiaTheme="minorEastAsia"/>
          <w:color w:val="000000" w:themeColor="text1"/>
          <w:highlight w:val="none"/>
          <w14:textFill>
            <w14:solidFill>
              <w14:schemeClr w14:val="tx1"/>
            </w14:solidFill>
          </w14:textFill>
        </w:rPr>
        <w:instrText xml:space="preserve"> HYPERLINK \l _Toc28121 </w:instrText>
      </w:r>
      <w:r>
        <w:rPr>
          <w:rFonts w:hint="default" w:ascii="Times New Roman" w:hAnsi="Times New Roman" w:cs="Times New Roman" w:eastAsiaTheme="minorEastAsia"/>
          <w:color w:val="000000" w:themeColor="text1"/>
          <w:highlight w:val="none"/>
          <w14:textFill>
            <w14:solidFill>
              <w14:schemeClr w14:val="tx1"/>
            </w14:solidFill>
          </w14:textFill>
        </w:rPr>
        <w:fldChar w:fldCharType="separate"/>
      </w: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6.5 生态环境保护措施</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_Toc28121 \h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129</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eastAsiaTheme="minorEastAsia"/>
          <w:color w:val="000000" w:themeColor="text1"/>
          <w:highlight w:val="none"/>
          <w14:textFill>
            <w14:solidFill>
              <w14:schemeClr w14:val="tx1"/>
            </w14:solidFill>
          </w14:textFill>
        </w:rPr>
        <w:fldChar w:fldCharType="end"/>
      </w:r>
    </w:p>
    <w:p w14:paraId="218D27CE">
      <w:pPr>
        <w:pStyle w:val="65"/>
        <w:keepNext w:val="0"/>
        <w:keepLines w:val="0"/>
        <w:pageBreakBefore w:val="0"/>
        <w:widowControl w:val="0"/>
        <w:tabs>
          <w:tab w:val="right" w:leader="dot" w:pos="8958"/>
        </w:tabs>
        <w:kinsoku/>
        <w:wordWrap/>
        <w:overflowPunct/>
        <w:topLinePunct w:val="0"/>
        <w:autoSpaceDE/>
        <w:autoSpaceDN/>
        <w:bidi w:val="0"/>
        <w:adjustRightInd w:val="0"/>
        <w:snapToGrid w:val="0"/>
        <w:ind w:left="0" w:leftChars="0" w:firstLine="560" w:firstLineChars="20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fldChar w:fldCharType="begin"/>
      </w:r>
      <w:r>
        <w:rPr>
          <w:rFonts w:hint="default" w:ascii="Times New Roman" w:hAnsi="Times New Roman" w:cs="Times New Roman" w:eastAsiaTheme="minorEastAsia"/>
          <w:color w:val="000000" w:themeColor="text1"/>
          <w:highlight w:val="none"/>
          <w14:textFill>
            <w14:solidFill>
              <w14:schemeClr w14:val="tx1"/>
            </w14:solidFill>
          </w14:textFill>
        </w:rPr>
        <w:instrText xml:space="preserve"> HYPERLINK \l _Toc24348 </w:instrText>
      </w:r>
      <w:r>
        <w:rPr>
          <w:rFonts w:hint="default" w:ascii="Times New Roman" w:hAnsi="Times New Roman" w:cs="Times New Roman" w:eastAsiaTheme="minorEastAsia"/>
          <w:color w:val="000000" w:themeColor="text1"/>
          <w:highlight w:val="none"/>
          <w14:textFill>
            <w14:solidFill>
              <w14:schemeClr w14:val="tx1"/>
            </w14:solidFill>
          </w14:textFill>
        </w:rPr>
        <w:fldChar w:fldCharType="separate"/>
      </w: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6.</w:t>
      </w:r>
      <w:r>
        <w:rPr>
          <w:rFonts w:hint="eastAsia" w:cs="Times New Roman" w:eastAsiaTheme="minorEastAsia"/>
          <w:color w:val="000000" w:themeColor="text1"/>
          <w:highlight w:val="none"/>
          <w:lang w:val="en-US" w:eastAsia="zh-CN"/>
          <w14:textFill>
            <w14:solidFill>
              <w14:schemeClr w14:val="tx1"/>
            </w14:solidFill>
          </w14:textFill>
        </w:rPr>
        <w:t>6</w:t>
      </w: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 xml:space="preserve"> 水源地保护措施</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_Toc24348 \h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133</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eastAsiaTheme="minorEastAsia"/>
          <w:color w:val="000000" w:themeColor="text1"/>
          <w:highlight w:val="none"/>
          <w14:textFill>
            <w14:solidFill>
              <w14:schemeClr w14:val="tx1"/>
            </w14:solidFill>
          </w14:textFill>
        </w:rPr>
        <w:fldChar w:fldCharType="end"/>
      </w:r>
    </w:p>
    <w:p w14:paraId="12F9A9A6">
      <w:pPr>
        <w:pStyle w:val="28"/>
        <w:keepNext w:val="0"/>
        <w:keepLines w:val="0"/>
        <w:pageBreakBefore w:val="0"/>
        <w:widowControl w:val="0"/>
        <w:tabs>
          <w:tab w:val="right" w:leader="dot" w:pos="8958"/>
        </w:tabs>
        <w:kinsoku/>
        <w:wordWrap/>
        <w:overflowPunct/>
        <w:topLinePunct w:val="0"/>
        <w:autoSpaceDE/>
        <w:autoSpaceDN/>
        <w:bidi w:val="0"/>
        <w:adjustRightInd w:val="0"/>
        <w:snapToGrid w:val="0"/>
        <w:ind w:left="0" w:leftChars="0" w:firstLine="0" w:firstLineChars="0"/>
        <w:textAlignment w:val="auto"/>
        <w:rPr>
          <w:rFonts w:hint="default" w:ascii="Times New Roman" w:hAnsi="Times New Roman" w:cs="Times New Roman" w:eastAsiaTheme="minorEastAsia"/>
          <w:b/>
          <w:bCs/>
          <w:color w:val="000000" w:themeColor="text1"/>
          <w:highlight w:val="none"/>
          <w14:textFill>
            <w14:solidFill>
              <w14:schemeClr w14:val="tx1"/>
            </w14:solidFill>
          </w14:textFill>
        </w:rPr>
      </w:pPr>
      <w:r>
        <w:rPr>
          <w:rFonts w:hint="default" w:ascii="Times New Roman" w:hAnsi="Times New Roman" w:cs="Times New Roman" w:eastAsiaTheme="minorEastAsia"/>
          <w:b/>
          <w:bCs/>
          <w:color w:val="000000" w:themeColor="text1"/>
          <w:highlight w:val="none"/>
          <w14:textFill>
            <w14:solidFill>
              <w14:schemeClr w14:val="tx1"/>
            </w14:solidFill>
          </w14:textFill>
        </w:rPr>
        <w:fldChar w:fldCharType="begin"/>
      </w:r>
      <w:r>
        <w:rPr>
          <w:rFonts w:hint="default" w:ascii="Times New Roman" w:hAnsi="Times New Roman" w:cs="Times New Roman" w:eastAsiaTheme="minorEastAsia"/>
          <w:b/>
          <w:bCs/>
          <w:color w:val="000000" w:themeColor="text1"/>
          <w:highlight w:val="none"/>
          <w14:textFill>
            <w14:solidFill>
              <w14:schemeClr w14:val="tx1"/>
            </w14:solidFill>
          </w14:textFill>
        </w:rPr>
        <w:instrText xml:space="preserve"> HYPERLINK \l _Toc12671 </w:instrText>
      </w:r>
      <w:r>
        <w:rPr>
          <w:rFonts w:hint="default" w:ascii="Times New Roman" w:hAnsi="Times New Roman" w:cs="Times New Roman" w:eastAsiaTheme="minorEastAsia"/>
          <w:b/>
          <w:bCs/>
          <w:color w:val="000000" w:themeColor="text1"/>
          <w:highlight w:val="none"/>
          <w14:textFill>
            <w14:solidFill>
              <w14:schemeClr w14:val="tx1"/>
            </w14:solidFill>
          </w14:textFill>
        </w:rPr>
        <w:fldChar w:fldCharType="separate"/>
      </w:r>
      <w:r>
        <w:rPr>
          <w:rFonts w:hint="default" w:ascii="Times New Roman" w:hAnsi="Times New Roman" w:cs="Times New Roman" w:eastAsiaTheme="minorEastAsia"/>
          <w:b/>
          <w:bCs/>
          <w:color w:val="000000" w:themeColor="text1"/>
          <w:highlight w:val="none"/>
          <w:lang w:val="en-US" w:eastAsia="zh-CN"/>
          <w14:textFill>
            <w14:solidFill>
              <w14:schemeClr w14:val="tx1"/>
            </w14:solidFill>
          </w14:textFill>
        </w:rPr>
        <w:t>7 环境影响经济损益分析</w:t>
      </w:r>
      <w:r>
        <w:rPr>
          <w:rFonts w:hint="default" w:ascii="Times New Roman" w:hAnsi="Times New Roman" w:cs="Times New Roman" w:eastAsiaTheme="minorEastAsia"/>
          <w:b/>
          <w:bCs/>
          <w:color w:val="000000" w:themeColor="text1"/>
          <w:highlight w:val="none"/>
          <w14:textFill>
            <w14:solidFill>
              <w14:schemeClr w14:val="tx1"/>
            </w14:solidFill>
          </w14:textFill>
        </w:rPr>
        <w:tab/>
      </w:r>
      <w:r>
        <w:rPr>
          <w:rFonts w:hint="default" w:ascii="Times New Roman" w:hAnsi="Times New Roman" w:cs="Times New Roman" w:eastAsiaTheme="minorEastAsia"/>
          <w:b/>
          <w:bCs/>
          <w:color w:val="000000" w:themeColor="text1"/>
          <w:highlight w:val="none"/>
          <w14:textFill>
            <w14:solidFill>
              <w14:schemeClr w14:val="tx1"/>
            </w14:solidFill>
          </w14:textFill>
        </w:rPr>
        <w:fldChar w:fldCharType="begin"/>
      </w:r>
      <w:r>
        <w:rPr>
          <w:rFonts w:hint="default" w:ascii="Times New Roman" w:hAnsi="Times New Roman" w:cs="Times New Roman" w:eastAsiaTheme="minorEastAsia"/>
          <w:b/>
          <w:bCs/>
          <w:color w:val="000000" w:themeColor="text1"/>
          <w:highlight w:val="none"/>
          <w14:textFill>
            <w14:solidFill>
              <w14:schemeClr w14:val="tx1"/>
            </w14:solidFill>
          </w14:textFill>
        </w:rPr>
        <w:instrText xml:space="preserve"> PAGEREF _Toc12671 \h </w:instrText>
      </w:r>
      <w:r>
        <w:rPr>
          <w:rFonts w:hint="default" w:ascii="Times New Roman" w:hAnsi="Times New Roman" w:cs="Times New Roman" w:eastAsiaTheme="minorEastAsia"/>
          <w:b/>
          <w:bCs/>
          <w:color w:val="000000" w:themeColor="text1"/>
          <w:highlight w:val="none"/>
          <w14:textFill>
            <w14:solidFill>
              <w14:schemeClr w14:val="tx1"/>
            </w14:solidFill>
          </w14:textFill>
        </w:rPr>
        <w:fldChar w:fldCharType="separate"/>
      </w:r>
      <w:r>
        <w:rPr>
          <w:rFonts w:hint="default" w:ascii="Times New Roman" w:hAnsi="Times New Roman" w:cs="Times New Roman" w:eastAsiaTheme="minorEastAsia"/>
          <w:b/>
          <w:bCs/>
          <w:color w:val="000000" w:themeColor="text1"/>
          <w:highlight w:val="none"/>
          <w14:textFill>
            <w14:solidFill>
              <w14:schemeClr w14:val="tx1"/>
            </w14:solidFill>
          </w14:textFill>
        </w:rPr>
        <w:t>135</w:t>
      </w:r>
      <w:r>
        <w:rPr>
          <w:rFonts w:hint="default" w:ascii="Times New Roman" w:hAnsi="Times New Roman" w:cs="Times New Roman" w:eastAsiaTheme="minorEastAsia"/>
          <w:b/>
          <w:bCs/>
          <w:color w:val="000000" w:themeColor="text1"/>
          <w:highlight w:val="none"/>
          <w14:textFill>
            <w14:solidFill>
              <w14:schemeClr w14:val="tx1"/>
            </w14:solidFill>
          </w14:textFill>
        </w:rPr>
        <w:fldChar w:fldCharType="end"/>
      </w:r>
      <w:r>
        <w:rPr>
          <w:rFonts w:hint="default" w:ascii="Times New Roman" w:hAnsi="Times New Roman" w:cs="Times New Roman" w:eastAsiaTheme="minorEastAsia"/>
          <w:b/>
          <w:bCs/>
          <w:color w:val="000000" w:themeColor="text1"/>
          <w:highlight w:val="none"/>
          <w14:textFill>
            <w14:solidFill>
              <w14:schemeClr w14:val="tx1"/>
            </w14:solidFill>
          </w14:textFill>
        </w:rPr>
        <w:fldChar w:fldCharType="end"/>
      </w:r>
    </w:p>
    <w:p w14:paraId="11EC366C">
      <w:pPr>
        <w:pStyle w:val="65"/>
        <w:keepNext w:val="0"/>
        <w:keepLines w:val="0"/>
        <w:pageBreakBefore w:val="0"/>
        <w:widowControl w:val="0"/>
        <w:tabs>
          <w:tab w:val="right" w:leader="dot" w:pos="8958"/>
        </w:tabs>
        <w:kinsoku/>
        <w:wordWrap/>
        <w:overflowPunct/>
        <w:topLinePunct w:val="0"/>
        <w:autoSpaceDE/>
        <w:autoSpaceDN/>
        <w:bidi w:val="0"/>
        <w:adjustRightInd w:val="0"/>
        <w:snapToGrid w:val="0"/>
        <w:ind w:left="0" w:leftChars="0" w:firstLine="560" w:firstLineChars="20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fldChar w:fldCharType="begin"/>
      </w:r>
      <w:r>
        <w:rPr>
          <w:rFonts w:hint="default" w:ascii="Times New Roman" w:hAnsi="Times New Roman" w:cs="Times New Roman" w:eastAsiaTheme="minorEastAsia"/>
          <w:color w:val="000000" w:themeColor="text1"/>
          <w:highlight w:val="none"/>
          <w14:textFill>
            <w14:solidFill>
              <w14:schemeClr w14:val="tx1"/>
            </w14:solidFill>
          </w14:textFill>
        </w:rPr>
        <w:instrText xml:space="preserve"> HYPERLINK \l _Toc6643 </w:instrText>
      </w:r>
      <w:r>
        <w:rPr>
          <w:rFonts w:hint="default" w:ascii="Times New Roman" w:hAnsi="Times New Roman" w:cs="Times New Roman" w:eastAsiaTheme="minorEastAsia"/>
          <w:color w:val="000000" w:themeColor="text1"/>
          <w:highlight w:val="none"/>
          <w14:textFill>
            <w14:solidFill>
              <w14:schemeClr w14:val="tx1"/>
            </w14:solidFill>
          </w14:textFill>
        </w:rPr>
        <w:fldChar w:fldCharType="separate"/>
      </w: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7.1 概述</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_Toc6643 \h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135</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eastAsiaTheme="minorEastAsia"/>
          <w:color w:val="000000" w:themeColor="text1"/>
          <w:highlight w:val="none"/>
          <w14:textFill>
            <w14:solidFill>
              <w14:schemeClr w14:val="tx1"/>
            </w14:solidFill>
          </w14:textFill>
        </w:rPr>
        <w:fldChar w:fldCharType="end"/>
      </w:r>
    </w:p>
    <w:p w14:paraId="7C38B1EA">
      <w:pPr>
        <w:pStyle w:val="65"/>
        <w:keepNext w:val="0"/>
        <w:keepLines w:val="0"/>
        <w:pageBreakBefore w:val="0"/>
        <w:widowControl w:val="0"/>
        <w:tabs>
          <w:tab w:val="right" w:leader="dot" w:pos="8958"/>
        </w:tabs>
        <w:kinsoku/>
        <w:wordWrap/>
        <w:overflowPunct/>
        <w:topLinePunct w:val="0"/>
        <w:autoSpaceDE/>
        <w:autoSpaceDN/>
        <w:bidi w:val="0"/>
        <w:adjustRightInd w:val="0"/>
        <w:snapToGrid w:val="0"/>
        <w:ind w:left="0" w:leftChars="0" w:firstLine="560" w:firstLineChars="20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fldChar w:fldCharType="begin"/>
      </w:r>
      <w:r>
        <w:rPr>
          <w:rFonts w:hint="default" w:ascii="Times New Roman" w:hAnsi="Times New Roman" w:cs="Times New Roman" w:eastAsiaTheme="minorEastAsia"/>
          <w:color w:val="000000" w:themeColor="text1"/>
          <w:highlight w:val="none"/>
          <w14:textFill>
            <w14:solidFill>
              <w14:schemeClr w14:val="tx1"/>
            </w14:solidFill>
          </w14:textFill>
        </w:rPr>
        <w:instrText xml:space="preserve"> HYPERLINK \l _Toc15466 </w:instrText>
      </w:r>
      <w:r>
        <w:rPr>
          <w:rFonts w:hint="default" w:ascii="Times New Roman" w:hAnsi="Times New Roman" w:cs="Times New Roman" w:eastAsiaTheme="minorEastAsia"/>
          <w:color w:val="000000" w:themeColor="text1"/>
          <w:highlight w:val="none"/>
          <w14:textFill>
            <w14:solidFill>
              <w14:schemeClr w14:val="tx1"/>
            </w14:solidFill>
          </w14:textFill>
        </w:rPr>
        <w:fldChar w:fldCharType="separate"/>
      </w: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7.2 经济效益分析</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_Toc15466 \h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135</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eastAsiaTheme="minorEastAsia"/>
          <w:color w:val="000000" w:themeColor="text1"/>
          <w:highlight w:val="none"/>
          <w14:textFill>
            <w14:solidFill>
              <w14:schemeClr w14:val="tx1"/>
            </w14:solidFill>
          </w14:textFill>
        </w:rPr>
        <w:fldChar w:fldCharType="end"/>
      </w:r>
    </w:p>
    <w:p w14:paraId="74EC5F88">
      <w:pPr>
        <w:pStyle w:val="65"/>
        <w:keepNext w:val="0"/>
        <w:keepLines w:val="0"/>
        <w:pageBreakBefore w:val="0"/>
        <w:widowControl w:val="0"/>
        <w:tabs>
          <w:tab w:val="right" w:leader="dot" w:pos="8958"/>
        </w:tabs>
        <w:kinsoku/>
        <w:wordWrap/>
        <w:overflowPunct/>
        <w:topLinePunct w:val="0"/>
        <w:autoSpaceDE/>
        <w:autoSpaceDN/>
        <w:bidi w:val="0"/>
        <w:adjustRightInd w:val="0"/>
        <w:snapToGrid w:val="0"/>
        <w:ind w:left="0" w:leftChars="0" w:firstLine="560" w:firstLineChars="20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fldChar w:fldCharType="begin"/>
      </w:r>
      <w:r>
        <w:rPr>
          <w:rFonts w:hint="default" w:ascii="Times New Roman" w:hAnsi="Times New Roman" w:cs="Times New Roman" w:eastAsiaTheme="minorEastAsia"/>
          <w:color w:val="000000" w:themeColor="text1"/>
          <w:highlight w:val="none"/>
          <w14:textFill>
            <w14:solidFill>
              <w14:schemeClr w14:val="tx1"/>
            </w14:solidFill>
          </w14:textFill>
        </w:rPr>
        <w:instrText xml:space="preserve"> HYPERLINK \l _Toc4475 </w:instrText>
      </w:r>
      <w:r>
        <w:rPr>
          <w:rFonts w:hint="default" w:ascii="Times New Roman" w:hAnsi="Times New Roman" w:cs="Times New Roman" w:eastAsiaTheme="minorEastAsia"/>
          <w:color w:val="000000" w:themeColor="text1"/>
          <w:highlight w:val="none"/>
          <w14:textFill>
            <w14:solidFill>
              <w14:schemeClr w14:val="tx1"/>
            </w14:solidFill>
          </w14:textFill>
        </w:rPr>
        <w:fldChar w:fldCharType="separate"/>
      </w: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7.3 社会效益分析</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_Toc4475 \h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135</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eastAsiaTheme="minorEastAsia"/>
          <w:color w:val="000000" w:themeColor="text1"/>
          <w:highlight w:val="none"/>
          <w14:textFill>
            <w14:solidFill>
              <w14:schemeClr w14:val="tx1"/>
            </w14:solidFill>
          </w14:textFill>
        </w:rPr>
        <w:fldChar w:fldCharType="end"/>
      </w:r>
    </w:p>
    <w:p w14:paraId="60D0D356">
      <w:pPr>
        <w:pStyle w:val="65"/>
        <w:keepNext w:val="0"/>
        <w:keepLines w:val="0"/>
        <w:pageBreakBefore w:val="0"/>
        <w:widowControl w:val="0"/>
        <w:tabs>
          <w:tab w:val="right" w:leader="dot" w:pos="8958"/>
        </w:tabs>
        <w:kinsoku/>
        <w:wordWrap/>
        <w:overflowPunct/>
        <w:topLinePunct w:val="0"/>
        <w:autoSpaceDE/>
        <w:autoSpaceDN/>
        <w:bidi w:val="0"/>
        <w:adjustRightInd w:val="0"/>
        <w:snapToGrid w:val="0"/>
        <w:ind w:left="0" w:leftChars="0" w:firstLine="560" w:firstLineChars="20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fldChar w:fldCharType="begin"/>
      </w:r>
      <w:r>
        <w:rPr>
          <w:rFonts w:hint="default" w:ascii="Times New Roman" w:hAnsi="Times New Roman" w:cs="Times New Roman" w:eastAsiaTheme="minorEastAsia"/>
          <w:color w:val="000000" w:themeColor="text1"/>
          <w:highlight w:val="none"/>
          <w14:textFill>
            <w14:solidFill>
              <w14:schemeClr w14:val="tx1"/>
            </w14:solidFill>
          </w14:textFill>
        </w:rPr>
        <w:instrText xml:space="preserve"> HYPERLINK \l _Toc11542 </w:instrText>
      </w:r>
      <w:r>
        <w:rPr>
          <w:rFonts w:hint="default" w:ascii="Times New Roman" w:hAnsi="Times New Roman" w:cs="Times New Roman" w:eastAsiaTheme="minorEastAsia"/>
          <w:color w:val="000000" w:themeColor="text1"/>
          <w:highlight w:val="none"/>
          <w14:textFill>
            <w14:solidFill>
              <w14:schemeClr w14:val="tx1"/>
            </w14:solidFill>
          </w14:textFill>
        </w:rPr>
        <w:fldChar w:fldCharType="separate"/>
      </w: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7.4 环境效益分析</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_Toc11542 \h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136</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eastAsiaTheme="minorEastAsia"/>
          <w:color w:val="000000" w:themeColor="text1"/>
          <w:highlight w:val="none"/>
          <w14:textFill>
            <w14:solidFill>
              <w14:schemeClr w14:val="tx1"/>
            </w14:solidFill>
          </w14:textFill>
        </w:rPr>
        <w:fldChar w:fldCharType="end"/>
      </w:r>
    </w:p>
    <w:p w14:paraId="2F21930F">
      <w:pPr>
        <w:pStyle w:val="28"/>
        <w:keepNext w:val="0"/>
        <w:keepLines w:val="0"/>
        <w:pageBreakBefore w:val="0"/>
        <w:widowControl w:val="0"/>
        <w:tabs>
          <w:tab w:val="right" w:leader="dot" w:pos="8958"/>
        </w:tabs>
        <w:kinsoku/>
        <w:wordWrap/>
        <w:overflowPunct/>
        <w:topLinePunct w:val="0"/>
        <w:autoSpaceDE/>
        <w:autoSpaceDN/>
        <w:bidi w:val="0"/>
        <w:adjustRightInd w:val="0"/>
        <w:snapToGrid w:val="0"/>
        <w:ind w:left="0" w:leftChars="0" w:firstLine="0" w:firstLineChars="0"/>
        <w:textAlignment w:val="auto"/>
        <w:rPr>
          <w:rFonts w:hint="default" w:ascii="Times New Roman" w:hAnsi="Times New Roman" w:cs="Times New Roman" w:eastAsiaTheme="minorEastAsia"/>
          <w:b/>
          <w:bCs/>
          <w:color w:val="000000" w:themeColor="text1"/>
          <w:highlight w:val="none"/>
          <w14:textFill>
            <w14:solidFill>
              <w14:schemeClr w14:val="tx1"/>
            </w14:solidFill>
          </w14:textFill>
        </w:rPr>
      </w:pPr>
      <w:r>
        <w:rPr>
          <w:rFonts w:hint="default" w:ascii="Times New Roman" w:hAnsi="Times New Roman" w:cs="Times New Roman" w:eastAsiaTheme="minorEastAsia"/>
          <w:b/>
          <w:bCs/>
          <w:color w:val="000000" w:themeColor="text1"/>
          <w:highlight w:val="none"/>
          <w14:textFill>
            <w14:solidFill>
              <w14:schemeClr w14:val="tx1"/>
            </w14:solidFill>
          </w14:textFill>
        </w:rPr>
        <w:fldChar w:fldCharType="begin"/>
      </w:r>
      <w:r>
        <w:rPr>
          <w:rFonts w:hint="default" w:ascii="Times New Roman" w:hAnsi="Times New Roman" w:cs="Times New Roman" w:eastAsiaTheme="minorEastAsia"/>
          <w:b/>
          <w:bCs/>
          <w:color w:val="000000" w:themeColor="text1"/>
          <w:highlight w:val="none"/>
          <w14:textFill>
            <w14:solidFill>
              <w14:schemeClr w14:val="tx1"/>
            </w14:solidFill>
          </w14:textFill>
        </w:rPr>
        <w:instrText xml:space="preserve"> HYPERLINK \l _Toc22862 </w:instrText>
      </w:r>
      <w:r>
        <w:rPr>
          <w:rFonts w:hint="default" w:ascii="Times New Roman" w:hAnsi="Times New Roman" w:cs="Times New Roman" w:eastAsiaTheme="minorEastAsia"/>
          <w:b/>
          <w:bCs/>
          <w:color w:val="000000" w:themeColor="text1"/>
          <w:highlight w:val="none"/>
          <w14:textFill>
            <w14:solidFill>
              <w14:schemeClr w14:val="tx1"/>
            </w14:solidFill>
          </w14:textFill>
        </w:rPr>
        <w:fldChar w:fldCharType="separate"/>
      </w:r>
      <w:r>
        <w:rPr>
          <w:rFonts w:hint="default" w:ascii="Times New Roman" w:hAnsi="Times New Roman" w:cs="Times New Roman" w:eastAsiaTheme="minorEastAsia"/>
          <w:b/>
          <w:bCs/>
          <w:color w:val="000000" w:themeColor="text1"/>
          <w:highlight w:val="none"/>
          <w:lang w:val="en-US" w:eastAsia="zh-CN"/>
          <w14:textFill>
            <w14:solidFill>
              <w14:schemeClr w14:val="tx1"/>
            </w14:solidFill>
          </w14:textFill>
        </w:rPr>
        <w:t>8 环境管理与监测计划</w:t>
      </w:r>
      <w:r>
        <w:rPr>
          <w:rFonts w:hint="default" w:ascii="Times New Roman" w:hAnsi="Times New Roman" w:cs="Times New Roman" w:eastAsiaTheme="minorEastAsia"/>
          <w:b/>
          <w:bCs/>
          <w:color w:val="000000" w:themeColor="text1"/>
          <w:highlight w:val="none"/>
          <w14:textFill>
            <w14:solidFill>
              <w14:schemeClr w14:val="tx1"/>
            </w14:solidFill>
          </w14:textFill>
        </w:rPr>
        <w:tab/>
      </w:r>
      <w:r>
        <w:rPr>
          <w:rFonts w:hint="default" w:ascii="Times New Roman" w:hAnsi="Times New Roman" w:cs="Times New Roman" w:eastAsiaTheme="minorEastAsia"/>
          <w:b/>
          <w:bCs/>
          <w:color w:val="000000" w:themeColor="text1"/>
          <w:highlight w:val="none"/>
          <w14:textFill>
            <w14:solidFill>
              <w14:schemeClr w14:val="tx1"/>
            </w14:solidFill>
          </w14:textFill>
        </w:rPr>
        <w:fldChar w:fldCharType="begin"/>
      </w:r>
      <w:r>
        <w:rPr>
          <w:rFonts w:hint="default" w:ascii="Times New Roman" w:hAnsi="Times New Roman" w:cs="Times New Roman" w:eastAsiaTheme="minorEastAsia"/>
          <w:b/>
          <w:bCs/>
          <w:color w:val="000000" w:themeColor="text1"/>
          <w:highlight w:val="none"/>
          <w14:textFill>
            <w14:solidFill>
              <w14:schemeClr w14:val="tx1"/>
            </w14:solidFill>
          </w14:textFill>
        </w:rPr>
        <w:instrText xml:space="preserve"> PAGEREF _Toc22862 \h </w:instrText>
      </w:r>
      <w:r>
        <w:rPr>
          <w:rFonts w:hint="default" w:ascii="Times New Roman" w:hAnsi="Times New Roman" w:cs="Times New Roman" w:eastAsiaTheme="minorEastAsia"/>
          <w:b/>
          <w:bCs/>
          <w:color w:val="000000" w:themeColor="text1"/>
          <w:highlight w:val="none"/>
          <w14:textFill>
            <w14:solidFill>
              <w14:schemeClr w14:val="tx1"/>
            </w14:solidFill>
          </w14:textFill>
        </w:rPr>
        <w:fldChar w:fldCharType="separate"/>
      </w:r>
      <w:r>
        <w:rPr>
          <w:rFonts w:hint="default" w:ascii="Times New Roman" w:hAnsi="Times New Roman" w:cs="Times New Roman" w:eastAsiaTheme="minorEastAsia"/>
          <w:b/>
          <w:bCs/>
          <w:color w:val="000000" w:themeColor="text1"/>
          <w:highlight w:val="none"/>
          <w14:textFill>
            <w14:solidFill>
              <w14:schemeClr w14:val="tx1"/>
            </w14:solidFill>
          </w14:textFill>
        </w:rPr>
        <w:t>138</w:t>
      </w:r>
      <w:r>
        <w:rPr>
          <w:rFonts w:hint="default" w:ascii="Times New Roman" w:hAnsi="Times New Roman" w:cs="Times New Roman" w:eastAsiaTheme="minorEastAsia"/>
          <w:b/>
          <w:bCs/>
          <w:color w:val="000000" w:themeColor="text1"/>
          <w:highlight w:val="none"/>
          <w14:textFill>
            <w14:solidFill>
              <w14:schemeClr w14:val="tx1"/>
            </w14:solidFill>
          </w14:textFill>
        </w:rPr>
        <w:fldChar w:fldCharType="end"/>
      </w:r>
      <w:r>
        <w:rPr>
          <w:rFonts w:hint="default" w:ascii="Times New Roman" w:hAnsi="Times New Roman" w:cs="Times New Roman" w:eastAsiaTheme="minorEastAsia"/>
          <w:b/>
          <w:bCs/>
          <w:color w:val="000000" w:themeColor="text1"/>
          <w:highlight w:val="none"/>
          <w14:textFill>
            <w14:solidFill>
              <w14:schemeClr w14:val="tx1"/>
            </w14:solidFill>
          </w14:textFill>
        </w:rPr>
        <w:fldChar w:fldCharType="end"/>
      </w:r>
    </w:p>
    <w:p w14:paraId="0B500102">
      <w:pPr>
        <w:pStyle w:val="65"/>
        <w:keepNext w:val="0"/>
        <w:keepLines w:val="0"/>
        <w:pageBreakBefore w:val="0"/>
        <w:widowControl w:val="0"/>
        <w:tabs>
          <w:tab w:val="right" w:leader="dot" w:pos="8958"/>
        </w:tabs>
        <w:kinsoku/>
        <w:wordWrap/>
        <w:overflowPunct/>
        <w:topLinePunct w:val="0"/>
        <w:autoSpaceDE/>
        <w:autoSpaceDN/>
        <w:bidi w:val="0"/>
        <w:adjustRightInd w:val="0"/>
        <w:snapToGrid w:val="0"/>
        <w:ind w:left="0" w:leftChars="0" w:firstLine="560" w:firstLineChars="20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fldChar w:fldCharType="begin"/>
      </w:r>
      <w:r>
        <w:rPr>
          <w:rFonts w:hint="default" w:ascii="Times New Roman" w:hAnsi="Times New Roman" w:cs="Times New Roman" w:eastAsiaTheme="minorEastAsia"/>
          <w:color w:val="000000" w:themeColor="text1"/>
          <w:highlight w:val="none"/>
          <w14:textFill>
            <w14:solidFill>
              <w14:schemeClr w14:val="tx1"/>
            </w14:solidFill>
          </w14:textFill>
        </w:rPr>
        <w:instrText xml:space="preserve"> HYPERLINK \l _Toc10556 </w:instrText>
      </w:r>
      <w:r>
        <w:rPr>
          <w:rFonts w:hint="default" w:ascii="Times New Roman" w:hAnsi="Times New Roman" w:cs="Times New Roman" w:eastAsiaTheme="minorEastAsia"/>
          <w:color w:val="000000" w:themeColor="text1"/>
          <w:highlight w:val="none"/>
          <w14:textFill>
            <w14:solidFill>
              <w14:schemeClr w14:val="tx1"/>
            </w14:solidFill>
          </w14:textFill>
        </w:rPr>
        <w:fldChar w:fldCharType="separate"/>
      </w: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8.1 环境管理</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_Toc10556 \h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138</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eastAsiaTheme="minorEastAsia"/>
          <w:color w:val="000000" w:themeColor="text1"/>
          <w:highlight w:val="none"/>
          <w14:textFill>
            <w14:solidFill>
              <w14:schemeClr w14:val="tx1"/>
            </w14:solidFill>
          </w14:textFill>
        </w:rPr>
        <w:fldChar w:fldCharType="end"/>
      </w:r>
    </w:p>
    <w:p w14:paraId="53221E0B">
      <w:pPr>
        <w:pStyle w:val="65"/>
        <w:keepNext w:val="0"/>
        <w:keepLines w:val="0"/>
        <w:pageBreakBefore w:val="0"/>
        <w:widowControl w:val="0"/>
        <w:tabs>
          <w:tab w:val="right" w:leader="dot" w:pos="8958"/>
        </w:tabs>
        <w:kinsoku/>
        <w:wordWrap/>
        <w:overflowPunct/>
        <w:topLinePunct w:val="0"/>
        <w:autoSpaceDE/>
        <w:autoSpaceDN/>
        <w:bidi w:val="0"/>
        <w:adjustRightInd w:val="0"/>
        <w:snapToGrid w:val="0"/>
        <w:ind w:left="0" w:leftChars="0" w:firstLine="560" w:firstLineChars="20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fldChar w:fldCharType="begin"/>
      </w:r>
      <w:r>
        <w:rPr>
          <w:rFonts w:hint="default" w:ascii="Times New Roman" w:hAnsi="Times New Roman" w:cs="Times New Roman" w:eastAsiaTheme="minorEastAsia"/>
          <w:color w:val="000000" w:themeColor="text1"/>
          <w:highlight w:val="none"/>
          <w14:textFill>
            <w14:solidFill>
              <w14:schemeClr w14:val="tx1"/>
            </w14:solidFill>
          </w14:textFill>
        </w:rPr>
        <w:instrText xml:space="preserve"> HYPERLINK \l _Toc1695 </w:instrText>
      </w:r>
      <w:r>
        <w:rPr>
          <w:rFonts w:hint="default" w:ascii="Times New Roman" w:hAnsi="Times New Roman" w:cs="Times New Roman" w:eastAsiaTheme="minorEastAsia"/>
          <w:color w:val="000000" w:themeColor="text1"/>
          <w:highlight w:val="none"/>
          <w14:textFill>
            <w14:solidFill>
              <w14:schemeClr w14:val="tx1"/>
            </w14:solidFill>
          </w14:textFill>
        </w:rPr>
        <w:fldChar w:fldCharType="separate"/>
      </w: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8.2 环境监理</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_Toc1695 \h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141</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eastAsiaTheme="minorEastAsia"/>
          <w:color w:val="000000" w:themeColor="text1"/>
          <w:highlight w:val="none"/>
          <w14:textFill>
            <w14:solidFill>
              <w14:schemeClr w14:val="tx1"/>
            </w14:solidFill>
          </w14:textFill>
        </w:rPr>
        <w:fldChar w:fldCharType="end"/>
      </w:r>
    </w:p>
    <w:p w14:paraId="2905BAEF">
      <w:pPr>
        <w:pStyle w:val="65"/>
        <w:keepNext w:val="0"/>
        <w:keepLines w:val="0"/>
        <w:pageBreakBefore w:val="0"/>
        <w:widowControl w:val="0"/>
        <w:tabs>
          <w:tab w:val="right" w:leader="dot" w:pos="8958"/>
        </w:tabs>
        <w:kinsoku/>
        <w:wordWrap/>
        <w:overflowPunct/>
        <w:topLinePunct w:val="0"/>
        <w:autoSpaceDE/>
        <w:autoSpaceDN/>
        <w:bidi w:val="0"/>
        <w:adjustRightInd w:val="0"/>
        <w:snapToGrid w:val="0"/>
        <w:ind w:left="0" w:leftChars="0" w:firstLine="560" w:firstLineChars="20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fldChar w:fldCharType="begin"/>
      </w:r>
      <w:r>
        <w:rPr>
          <w:rFonts w:hint="default" w:ascii="Times New Roman" w:hAnsi="Times New Roman" w:cs="Times New Roman" w:eastAsiaTheme="minorEastAsia"/>
          <w:color w:val="000000" w:themeColor="text1"/>
          <w:highlight w:val="none"/>
          <w14:textFill>
            <w14:solidFill>
              <w14:schemeClr w14:val="tx1"/>
            </w14:solidFill>
          </w14:textFill>
        </w:rPr>
        <w:instrText xml:space="preserve"> HYPERLINK \l _Toc26141 </w:instrText>
      </w:r>
      <w:r>
        <w:rPr>
          <w:rFonts w:hint="default" w:ascii="Times New Roman" w:hAnsi="Times New Roman" w:cs="Times New Roman" w:eastAsiaTheme="minorEastAsia"/>
          <w:color w:val="000000" w:themeColor="text1"/>
          <w:highlight w:val="none"/>
          <w14:textFill>
            <w14:solidFill>
              <w14:schemeClr w14:val="tx1"/>
            </w14:solidFill>
          </w14:textFill>
        </w:rPr>
        <w:fldChar w:fldCharType="separate"/>
      </w: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8.3 污染源排放清单</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_Toc26141 \h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145</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eastAsiaTheme="minorEastAsia"/>
          <w:color w:val="000000" w:themeColor="text1"/>
          <w:highlight w:val="none"/>
          <w14:textFill>
            <w14:solidFill>
              <w14:schemeClr w14:val="tx1"/>
            </w14:solidFill>
          </w14:textFill>
        </w:rPr>
        <w:fldChar w:fldCharType="end"/>
      </w:r>
    </w:p>
    <w:p w14:paraId="289EE395">
      <w:pPr>
        <w:pStyle w:val="65"/>
        <w:keepNext w:val="0"/>
        <w:keepLines w:val="0"/>
        <w:pageBreakBefore w:val="0"/>
        <w:widowControl w:val="0"/>
        <w:tabs>
          <w:tab w:val="right" w:leader="dot" w:pos="8958"/>
        </w:tabs>
        <w:kinsoku/>
        <w:wordWrap/>
        <w:overflowPunct/>
        <w:topLinePunct w:val="0"/>
        <w:autoSpaceDE/>
        <w:autoSpaceDN/>
        <w:bidi w:val="0"/>
        <w:adjustRightInd w:val="0"/>
        <w:snapToGrid w:val="0"/>
        <w:ind w:left="0" w:leftChars="0" w:firstLine="560" w:firstLineChars="200"/>
        <w:textAlignment w:val="auto"/>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fldChar w:fldCharType="begin"/>
      </w:r>
      <w:r>
        <w:rPr>
          <w:rFonts w:hint="default" w:ascii="Times New Roman" w:hAnsi="Times New Roman" w:cs="Times New Roman" w:eastAsiaTheme="minorEastAsia"/>
          <w:color w:val="000000" w:themeColor="text1"/>
          <w:highlight w:val="none"/>
          <w14:textFill>
            <w14:solidFill>
              <w14:schemeClr w14:val="tx1"/>
            </w14:solidFill>
          </w14:textFill>
        </w:rPr>
        <w:instrText xml:space="preserve"> HYPERLINK \l _Toc801 </w:instrText>
      </w:r>
      <w:r>
        <w:rPr>
          <w:rFonts w:hint="default" w:ascii="Times New Roman" w:hAnsi="Times New Roman" w:cs="Times New Roman" w:eastAsiaTheme="minorEastAsia"/>
          <w:color w:val="000000" w:themeColor="text1"/>
          <w:highlight w:val="none"/>
          <w14:textFill>
            <w14:solidFill>
              <w14:schemeClr w14:val="tx1"/>
            </w14:solidFill>
          </w14:textFill>
        </w:rPr>
        <w:fldChar w:fldCharType="separate"/>
      </w: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8.4 环境保护竣工验收计划</w:t>
      </w:r>
      <w:r>
        <w:rPr>
          <w:rFonts w:hint="default" w:ascii="Times New Roman" w:hAnsi="Times New Roman" w:cs="Times New Roman" w:eastAsiaTheme="minorEastAsia"/>
          <w:color w:val="000000" w:themeColor="text1"/>
          <w:highlight w:val="none"/>
          <w14:textFill>
            <w14:solidFill>
              <w14:schemeClr w14:val="tx1"/>
            </w14:solidFill>
          </w14:textFill>
        </w:rPr>
        <w:tab/>
      </w:r>
      <w:r>
        <w:rPr>
          <w:rFonts w:hint="default" w:ascii="Times New Roman" w:hAnsi="Times New Roman" w:cs="Times New Roman" w:eastAsiaTheme="minorEastAsia"/>
          <w:color w:val="000000" w:themeColor="text1"/>
          <w:highlight w:val="none"/>
          <w14:textFill>
            <w14:solidFill>
              <w14:schemeClr w14:val="tx1"/>
            </w14:solidFill>
          </w14:textFill>
        </w:rPr>
        <w:fldChar w:fldCharType="begin"/>
      </w:r>
      <w:r>
        <w:rPr>
          <w:rFonts w:hint="default" w:ascii="Times New Roman" w:hAnsi="Times New Roman" w:cs="Times New Roman" w:eastAsiaTheme="minorEastAsia"/>
          <w:color w:val="000000" w:themeColor="text1"/>
          <w:highlight w:val="none"/>
          <w14:textFill>
            <w14:solidFill>
              <w14:schemeClr w14:val="tx1"/>
            </w14:solidFill>
          </w14:textFill>
        </w:rPr>
        <w:instrText xml:space="preserve"> PAGEREF _Toc801 \h </w:instrText>
      </w:r>
      <w:r>
        <w:rPr>
          <w:rFonts w:hint="default" w:ascii="Times New Roman" w:hAnsi="Times New Roman" w:cs="Times New Roman" w:eastAsiaTheme="minorEastAsia"/>
          <w:color w:val="000000" w:themeColor="text1"/>
          <w:highlight w:val="none"/>
          <w14:textFill>
            <w14:solidFill>
              <w14:schemeClr w14:val="tx1"/>
            </w14:solidFill>
          </w14:textFill>
        </w:rPr>
        <w:fldChar w:fldCharType="separate"/>
      </w:r>
      <w:r>
        <w:rPr>
          <w:rFonts w:hint="default" w:ascii="Times New Roman" w:hAnsi="Times New Roman" w:cs="Times New Roman" w:eastAsiaTheme="minorEastAsia"/>
          <w:color w:val="000000" w:themeColor="text1"/>
          <w:highlight w:val="none"/>
          <w14:textFill>
            <w14:solidFill>
              <w14:schemeClr w14:val="tx1"/>
            </w14:solidFill>
          </w14:textFill>
        </w:rPr>
        <w:t>146</w:t>
      </w:r>
      <w:r>
        <w:rPr>
          <w:rFonts w:hint="default" w:ascii="Times New Roman" w:hAnsi="Times New Roman" w:cs="Times New Roman" w:eastAsiaTheme="minorEastAsia"/>
          <w:color w:val="000000" w:themeColor="text1"/>
          <w:highlight w:val="none"/>
          <w14:textFill>
            <w14:solidFill>
              <w14:schemeClr w14:val="tx1"/>
            </w14:solidFill>
          </w14:textFill>
        </w:rPr>
        <w:fldChar w:fldCharType="end"/>
      </w:r>
      <w:r>
        <w:rPr>
          <w:rFonts w:hint="default" w:ascii="Times New Roman" w:hAnsi="Times New Roman" w:cs="Times New Roman" w:eastAsiaTheme="minorEastAsia"/>
          <w:color w:val="000000" w:themeColor="text1"/>
          <w:highlight w:val="none"/>
          <w14:textFill>
            <w14:solidFill>
              <w14:schemeClr w14:val="tx1"/>
            </w14:solidFill>
          </w14:textFill>
        </w:rPr>
        <w:fldChar w:fldCharType="end"/>
      </w:r>
    </w:p>
    <w:p w14:paraId="00C14848">
      <w:pPr>
        <w:pStyle w:val="28"/>
        <w:keepNext w:val="0"/>
        <w:keepLines w:val="0"/>
        <w:pageBreakBefore w:val="0"/>
        <w:widowControl w:val="0"/>
        <w:tabs>
          <w:tab w:val="right" w:leader="dot" w:pos="8958"/>
        </w:tabs>
        <w:kinsoku/>
        <w:wordWrap/>
        <w:overflowPunct/>
        <w:topLinePunct w:val="0"/>
        <w:autoSpaceDE/>
        <w:autoSpaceDN/>
        <w:bidi w:val="0"/>
        <w:adjustRightInd w:val="0"/>
        <w:snapToGrid w:val="0"/>
        <w:ind w:left="0" w:leftChars="0" w:firstLine="0" w:firstLineChars="0"/>
        <w:textAlignment w:val="auto"/>
        <w:rPr>
          <w:rFonts w:hint="default" w:ascii="Times New Roman" w:hAnsi="Times New Roman" w:cs="Times New Roman" w:eastAsiaTheme="minorEastAsia"/>
          <w:b/>
          <w:bCs/>
          <w:color w:val="000000" w:themeColor="text1"/>
          <w:highlight w:val="none"/>
          <w14:textFill>
            <w14:solidFill>
              <w14:schemeClr w14:val="tx1"/>
            </w14:solidFill>
          </w14:textFill>
        </w:rPr>
      </w:pPr>
      <w:r>
        <w:rPr>
          <w:rFonts w:hint="default" w:ascii="Times New Roman" w:hAnsi="Times New Roman" w:cs="Times New Roman" w:eastAsiaTheme="minorEastAsia"/>
          <w:b/>
          <w:bCs/>
          <w:color w:val="000000" w:themeColor="text1"/>
          <w:highlight w:val="none"/>
          <w14:textFill>
            <w14:solidFill>
              <w14:schemeClr w14:val="tx1"/>
            </w14:solidFill>
          </w14:textFill>
        </w:rPr>
        <w:fldChar w:fldCharType="begin"/>
      </w:r>
      <w:r>
        <w:rPr>
          <w:rFonts w:hint="default" w:ascii="Times New Roman" w:hAnsi="Times New Roman" w:cs="Times New Roman" w:eastAsiaTheme="minorEastAsia"/>
          <w:b/>
          <w:bCs/>
          <w:color w:val="000000" w:themeColor="text1"/>
          <w:highlight w:val="none"/>
          <w14:textFill>
            <w14:solidFill>
              <w14:schemeClr w14:val="tx1"/>
            </w14:solidFill>
          </w14:textFill>
        </w:rPr>
        <w:instrText xml:space="preserve"> HYPERLINK \l _Toc21065 </w:instrText>
      </w:r>
      <w:r>
        <w:rPr>
          <w:rFonts w:hint="default" w:ascii="Times New Roman" w:hAnsi="Times New Roman" w:cs="Times New Roman" w:eastAsiaTheme="minorEastAsia"/>
          <w:b/>
          <w:bCs/>
          <w:color w:val="000000" w:themeColor="text1"/>
          <w:highlight w:val="none"/>
          <w14:textFill>
            <w14:solidFill>
              <w14:schemeClr w14:val="tx1"/>
            </w14:solidFill>
          </w14:textFill>
        </w:rPr>
        <w:fldChar w:fldCharType="separate"/>
      </w:r>
      <w:r>
        <w:rPr>
          <w:rFonts w:hint="default" w:ascii="Times New Roman" w:hAnsi="Times New Roman" w:cs="Times New Roman" w:eastAsiaTheme="minorEastAsia"/>
          <w:b/>
          <w:bCs/>
          <w:color w:val="000000" w:themeColor="text1"/>
          <w:highlight w:val="none"/>
          <w:lang w:val="en-US" w:eastAsia="zh-CN"/>
          <w14:textFill>
            <w14:solidFill>
              <w14:schemeClr w14:val="tx1"/>
            </w14:solidFill>
          </w14:textFill>
        </w:rPr>
        <w:t>9 环境影响评价结论</w:t>
      </w:r>
      <w:r>
        <w:rPr>
          <w:rFonts w:hint="default" w:ascii="Times New Roman" w:hAnsi="Times New Roman" w:cs="Times New Roman" w:eastAsiaTheme="minorEastAsia"/>
          <w:b/>
          <w:bCs/>
          <w:color w:val="000000" w:themeColor="text1"/>
          <w:highlight w:val="none"/>
          <w14:textFill>
            <w14:solidFill>
              <w14:schemeClr w14:val="tx1"/>
            </w14:solidFill>
          </w14:textFill>
        </w:rPr>
        <w:tab/>
      </w:r>
      <w:r>
        <w:rPr>
          <w:rFonts w:hint="default" w:ascii="Times New Roman" w:hAnsi="Times New Roman" w:cs="Times New Roman" w:eastAsiaTheme="minorEastAsia"/>
          <w:b/>
          <w:bCs/>
          <w:color w:val="000000" w:themeColor="text1"/>
          <w:highlight w:val="none"/>
          <w14:textFill>
            <w14:solidFill>
              <w14:schemeClr w14:val="tx1"/>
            </w14:solidFill>
          </w14:textFill>
        </w:rPr>
        <w:fldChar w:fldCharType="begin"/>
      </w:r>
      <w:r>
        <w:rPr>
          <w:rFonts w:hint="default" w:ascii="Times New Roman" w:hAnsi="Times New Roman" w:cs="Times New Roman" w:eastAsiaTheme="minorEastAsia"/>
          <w:b/>
          <w:bCs/>
          <w:color w:val="000000" w:themeColor="text1"/>
          <w:highlight w:val="none"/>
          <w14:textFill>
            <w14:solidFill>
              <w14:schemeClr w14:val="tx1"/>
            </w14:solidFill>
          </w14:textFill>
        </w:rPr>
        <w:instrText xml:space="preserve"> PAGEREF _Toc21065 \h </w:instrText>
      </w:r>
      <w:r>
        <w:rPr>
          <w:rFonts w:hint="default" w:ascii="Times New Roman" w:hAnsi="Times New Roman" w:cs="Times New Roman" w:eastAsiaTheme="minorEastAsia"/>
          <w:b/>
          <w:bCs/>
          <w:color w:val="000000" w:themeColor="text1"/>
          <w:highlight w:val="none"/>
          <w14:textFill>
            <w14:solidFill>
              <w14:schemeClr w14:val="tx1"/>
            </w14:solidFill>
          </w14:textFill>
        </w:rPr>
        <w:fldChar w:fldCharType="separate"/>
      </w:r>
      <w:r>
        <w:rPr>
          <w:rFonts w:hint="default" w:ascii="Times New Roman" w:hAnsi="Times New Roman" w:cs="Times New Roman" w:eastAsiaTheme="minorEastAsia"/>
          <w:b/>
          <w:bCs/>
          <w:color w:val="000000" w:themeColor="text1"/>
          <w:highlight w:val="none"/>
          <w14:textFill>
            <w14:solidFill>
              <w14:schemeClr w14:val="tx1"/>
            </w14:solidFill>
          </w14:textFill>
        </w:rPr>
        <w:t>150</w:t>
      </w:r>
      <w:r>
        <w:rPr>
          <w:rFonts w:hint="default" w:ascii="Times New Roman" w:hAnsi="Times New Roman" w:cs="Times New Roman" w:eastAsiaTheme="minorEastAsia"/>
          <w:b/>
          <w:bCs/>
          <w:color w:val="000000" w:themeColor="text1"/>
          <w:highlight w:val="none"/>
          <w14:textFill>
            <w14:solidFill>
              <w14:schemeClr w14:val="tx1"/>
            </w14:solidFill>
          </w14:textFill>
        </w:rPr>
        <w:fldChar w:fldCharType="end"/>
      </w:r>
      <w:r>
        <w:rPr>
          <w:rFonts w:hint="default" w:ascii="Times New Roman" w:hAnsi="Times New Roman" w:cs="Times New Roman" w:eastAsiaTheme="minorEastAsia"/>
          <w:b/>
          <w:bCs/>
          <w:color w:val="000000" w:themeColor="text1"/>
          <w:highlight w:val="none"/>
          <w14:textFill>
            <w14:solidFill>
              <w14:schemeClr w14:val="tx1"/>
            </w14:solidFill>
          </w14:textFill>
        </w:rPr>
        <w:fldChar w:fldCharType="end"/>
      </w:r>
    </w:p>
    <w:p w14:paraId="05DFB7EF">
      <w:pPr>
        <w:pStyle w:val="65"/>
        <w:keepNext w:val="0"/>
        <w:keepLines w:val="0"/>
        <w:pageBreakBefore w:val="0"/>
        <w:widowControl w:val="0"/>
        <w:tabs>
          <w:tab w:val="right" w:leader="dot" w:pos="8958"/>
        </w:tabs>
        <w:kinsoku/>
        <w:wordWrap/>
        <w:overflowPunct/>
        <w:topLinePunct w:val="0"/>
        <w:autoSpaceDE/>
        <w:autoSpaceDN/>
        <w:bidi w:val="0"/>
        <w:adjustRightInd w:val="0"/>
        <w:snapToGrid w:val="0"/>
        <w:ind w:left="0" w:leftChars="0" w:firstLine="560" w:firstLineChars="20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fldChar w:fldCharType="begin"/>
      </w:r>
      <w:r>
        <w:rPr>
          <w:rFonts w:hint="default" w:ascii="Times New Roman" w:hAnsi="Times New Roman" w:cs="Times New Roman" w:eastAsiaTheme="minorEastAsia"/>
          <w:color w:val="000000" w:themeColor="text1"/>
          <w:highlight w:val="none"/>
          <w14:textFill>
            <w14:solidFill>
              <w14:schemeClr w14:val="tx1"/>
            </w14:solidFill>
          </w14:textFill>
        </w:rPr>
        <w:instrText xml:space="preserve"> HYPERLINK \l _Toc10275 </w:instrText>
      </w:r>
      <w:r>
        <w:rPr>
          <w:rFonts w:hint="default" w:ascii="Times New Roman" w:hAnsi="Times New Roman" w:cs="Times New Roman" w:eastAsiaTheme="minorEastAsia"/>
          <w:color w:val="000000" w:themeColor="text1"/>
          <w:highlight w:val="none"/>
          <w14:textFill>
            <w14:solidFill>
              <w14:schemeClr w14:val="tx1"/>
            </w14:solidFill>
          </w14:textFill>
        </w:rPr>
        <w:fldChar w:fldCharType="separate"/>
      </w: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9.1 评价结论</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_Toc10275 \h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150</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eastAsiaTheme="minorEastAsia"/>
          <w:color w:val="000000" w:themeColor="text1"/>
          <w:highlight w:val="none"/>
          <w14:textFill>
            <w14:solidFill>
              <w14:schemeClr w14:val="tx1"/>
            </w14:solidFill>
          </w14:textFill>
        </w:rPr>
        <w:fldChar w:fldCharType="end"/>
      </w:r>
    </w:p>
    <w:p w14:paraId="6BF82087">
      <w:pPr>
        <w:pStyle w:val="65"/>
        <w:keepNext w:val="0"/>
        <w:keepLines w:val="0"/>
        <w:pageBreakBefore w:val="0"/>
        <w:widowControl w:val="0"/>
        <w:tabs>
          <w:tab w:val="right" w:leader="dot" w:pos="8958"/>
        </w:tabs>
        <w:kinsoku/>
        <w:wordWrap/>
        <w:overflowPunct/>
        <w:topLinePunct w:val="0"/>
        <w:autoSpaceDE/>
        <w:autoSpaceDN/>
        <w:bidi w:val="0"/>
        <w:adjustRightInd w:val="0"/>
        <w:snapToGrid w:val="0"/>
        <w:ind w:left="0" w:leftChars="0" w:firstLine="560" w:firstLineChars="20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fldChar w:fldCharType="begin"/>
      </w:r>
      <w:r>
        <w:rPr>
          <w:rFonts w:hint="default" w:ascii="Times New Roman" w:hAnsi="Times New Roman" w:cs="Times New Roman" w:eastAsiaTheme="minorEastAsia"/>
          <w:color w:val="000000" w:themeColor="text1"/>
          <w:highlight w:val="none"/>
          <w14:textFill>
            <w14:solidFill>
              <w14:schemeClr w14:val="tx1"/>
            </w14:solidFill>
          </w14:textFill>
        </w:rPr>
        <w:instrText xml:space="preserve"> HYPERLINK \l _Toc31442 </w:instrText>
      </w:r>
      <w:r>
        <w:rPr>
          <w:rFonts w:hint="default" w:ascii="Times New Roman" w:hAnsi="Times New Roman" w:cs="Times New Roman" w:eastAsiaTheme="minorEastAsia"/>
          <w:color w:val="000000" w:themeColor="text1"/>
          <w:highlight w:val="none"/>
          <w14:textFill>
            <w14:solidFill>
              <w14:schemeClr w14:val="tx1"/>
            </w14:solidFill>
          </w14:textFill>
        </w:rPr>
        <w:fldChar w:fldCharType="separate"/>
      </w: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9.2 要求与建议</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_Toc31442 \h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153</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eastAsiaTheme="minorEastAsia"/>
          <w:color w:val="000000" w:themeColor="text1"/>
          <w:highlight w:val="none"/>
          <w14:textFill>
            <w14:solidFill>
              <w14:schemeClr w14:val="tx1"/>
            </w14:solidFill>
          </w14:textFill>
        </w:rPr>
        <w:fldChar w:fldCharType="end"/>
      </w:r>
    </w:p>
    <w:p w14:paraId="07FBEAA2">
      <w:pPr>
        <w:pStyle w:val="3"/>
        <w:bidi w:val="0"/>
        <w:outlineLvl w:val="9"/>
        <w:rPr>
          <w:rFonts w:hint="default" w:ascii="Times New Roman" w:hAnsi="Times New Roman" w:cs="Times New Roman" w:eastAsiaTheme="minorEastAsia"/>
          <w:color w:val="000000" w:themeColor="text1"/>
          <w:highlight w:val="none"/>
          <w14:textFill>
            <w14:solidFill>
              <w14:schemeClr w14:val="tx1"/>
            </w14:solidFill>
          </w14:textFill>
        </w:rPr>
        <w:sectPr>
          <w:footerReference r:id="rId7" w:type="default"/>
          <w:pgSz w:w="11906" w:h="16838"/>
          <w:pgMar w:top="1418" w:right="1361" w:bottom="1418" w:left="1587"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default" w:ascii="Times New Roman" w:hAnsi="Times New Roman" w:cs="Times New Roman" w:eastAsiaTheme="minorEastAsia"/>
          <w:color w:val="000000" w:themeColor="text1"/>
          <w:highlight w:val="none"/>
          <w14:textFill>
            <w14:solidFill>
              <w14:schemeClr w14:val="tx1"/>
            </w14:solidFill>
          </w14:textFill>
        </w:rPr>
        <w:fldChar w:fldCharType="end"/>
      </w:r>
    </w:p>
    <w:p w14:paraId="6F7F2ACA">
      <w:pPr>
        <w:pStyle w:val="3"/>
        <w:keepNext/>
        <w:keepLines/>
        <w:pageBreakBefore w:val="0"/>
        <w:widowControl w:val="0"/>
        <w:numPr>
          <w:ilvl w:val="0"/>
          <w:numId w:val="0"/>
        </w:numPr>
        <w:tabs>
          <w:tab w:val="left" w:pos="525"/>
        </w:tabs>
        <w:kinsoku/>
        <w:wordWrap w:val="0"/>
        <w:overflowPunct/>
        <w:topLinePunct w:val="0"/>
        <w:autoSpaceDE/>
        <w:autoSpaceDN/>
        <w:bidi w:val="0"/>
        <w:adjustRightInd/>
        <w:snapToGrid/>
        <w:spacing w:before="0" w:beforeLines="0" w:after="0" w:afterLines="0" w:line="360" w:lineRule="auto"/>
        <w:ind w:leftChars="0"/>
        <w:textAlignment w:val="auto"/>
        <w:outlineLvl w:val="0"/>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bookmarkStart w:id="37" w:name="_Toc5613"/>
      <w:bookmarkStart w:id="38" w:name="_Toc22753"/>
      <w:bookmarkStart w:id="39" w:name="_Toc225668513"/>
      <w:bookmarkStart w:id="40" w:name="_Toc391021096"/>
      <w:bookmarkStart w:id="41" w:name="_Toc2449"/>
      <w:bookmarkStart w:id="42" w:name="_Toc391020871"/>
      <w:bookmarkStart w:id="43" w:name="_Toc8994"/>
      <w:bookmarkStart w:id="44" w:name="_Toc26123"/>
      <w:bookmarkStart w:id="45" w:name="_Toc16130"/>
      <w:bookmarkStart w:id="46" w:name="_Toc340737455"/>
      <w:bookmarkStart w:id="47" w:name="_Toc294859058"/>
      <w:bookmarkStart w:id="48" w:name="_Toc5467"/>
      <w:bookmarkStart w:id="49" w:name="_Toc313005837"/>
      <w:bookmarkStart w:id="50" w:name="_Toc391021321"/>
      <w:bookmarkStart w:id="51" w:name="_Toc30058"/>
      <w:r>
        <w:rPr>
          <w:rFonts w:hint="default" w:ascii="Times New Roman" w:hAnsi="Times New Roman" w:cs="Times New Roman" w:eastAsiaTheme="minorEastAsia"/>
          <w:color w:val="000000" w:themeColor="text1"/>
          <w:sz w:val="32"/>
          <w:highlight w:val="none"/>
          <w:lang w:val="en-US" w:eastAsia="zh-CN"/>
          <w14:textFill>
            <w14:solidFill>
              <w14:schemeClr w14:val="tx1"/>
            </w14:solidFill>
          </w14:textFill>
        </w:rPr>
        <w:t xml:space="preserve">1 </w:t>
      </w:r>
      <w:bookmarkEnd w:id="37"/>
      <w:bookmarkEnd w:id="38"/>
      <w:bookmarkEnd w:id="39"/>
      <w:bookmarkEnd w:id="40"/>
      <w:bookmarkEnd w:id="41"/>
      <w:bookmarkEnd w:id="42"/>
      <w:bookmarkEnd w:id="43"/>
      <w:bookmarkEnd w:id="44"/>
      <w:bookmarkEnd w:id="45"/>
      <w:bookmarkEnd w:id="46"/>
      <w:bookmarkEnd w:id="47"/>
      <w:bookmarkEnd w:id="48"/>
      <w:bookmarkEnd w:id="49"/>
      <w:bookmarkEnd w:id="50"/>
      <w:r>
        <w:rPr>
          <w:rFonts w:hint="default" w:ascii="Times New Roman" w:hAnsi="Times New Roman" w:cs="Times New Roman" w:eastAsiaTheme="minorEastAsia"/>
          <w:color w:val="000000" w:themeColor="text1"/>
          <w:sz w:val="32"/>
          <w:highlight w:val="none"/>
          <w:lang w:val="en-US" w:eastAsia="zh-CN"/>
          <w14:textFill>
            <w14:solidFill>
              <w14:schemeClr w14:val="tx1"/>
            </w14:solidFill>
          </w14:textFill>
        </w:rPr>
        <w:t>概述</w:t>
      </w:r>
      <w:bookmarkEnd w:id="51"/>
    </w:p>
    <w:p w14:paraId="21E0F1B5">
      <w:pPr>
        <w:pStyle w:val="4"/>
        <w:pageBreakBefore w:val="0"/>
        <w:widowControl w:val="0"/>
        <w:numPr>
          <w:ilvl w:val="0"/>
          <w:numId w:val="0"/>
        </w:numPr>
        <w:tabs>
          <w:tab w:val="left" w:pos="630"/>
          <w:tab w:val="left" w:pos="3403"/>
        </w:tabs>
        <w:kinsoku/>
        <w:wordWrap w:val="0"/>
        <w:overflowPunct/>
        <w:topLinePunct w:val="0"/>
        <w:autoSpaceDE/>
        <w:autoSpaceDN/>
        <w:bidi w:val="0"/>
        <w:adjustRightInd/>
        <w:snapToGrid/>
        <w:spacing w:before="0" w:beforeLines="0" w:after="0" w:afterLines="0" w:line="360" w:lineRule="auto"/>
        <w:ind w:leftChars="0"/>
        <w:outlineLvl w:val="1"/>
        <w:rPr>
          <w:rFonts w:hint="default" w:ascii="Times New Roman" w:hAnsi="Times New Roman" w:cs="Times New Roman" w:eastAsiaTheme="minorEastAsia"/>
          <w:color w:val="000000" w:themeColor="text1"/>
          <w:sz w:val="30"/>
          <w:highlight w:val="none"/>
          <w14:textFill>
            <w14:solidFill>
              <w14:schemeClr w14:val="tx1"/>
            </w14:solidFill>
          </w14:textFill>
        </w:rPr>
      </w:pPr>
      <w:bookmarkStart w:id="52" w:name="_Toc17579"/>
      <w:bookmarkStart w:id="53" w:name="_Toc25189"/>
      <w:bookmarkStart w:id="54" w:name="_Toc26752"/>
      <w:bookmarkStart w:id="55" w:name="_Toc16412"/>
      <w:bookmarkStart w:id="56" w:name="_Toc14344"/>
      <w:bookmarkStart w:id="57" w:name="_Toc14167"/>
      <w:bookmarkStart w:id="58" w:name="_Toc20639"/>
      <w:bookmarkStart w:id="59" w:name="_Toc294859060"/>
      <w:bookmarkStart w:id="60" w:name="_Toc313005838"/>
      <w:bookmarkStart w:id="61" w:name="_Toc340737456"/>
      <w:bookmarkStart w:id="62" w:name="_Toc391020873"/>
      <w:bookmarkStart w:id="63" w:name="_Toc391021322"/>
      <w:bookmarkStart w:id="64" w:name="_Toc340737457"/>
      <w:bookmarkStart w:id="65" w:name="_Toc391021323"/>
      <w:bookmarkStart w:id="66" w:name="_Toc391020872"/>
      <w:bookmarkStart w:id="67" w:name="_Toc391021098"/>
      <w:bookmarkStart w:id="68" w:name="_Toc391021097"/>
      <w:bookmarkStart w:id="69" w:name="_Toc294859059"/>
      <w:bookmarkStart w:id="70" w:name="_Toc313005839"/>
      <w:r>
        <w:rPr>
          <w:rFonts w:hint="default" w:ascii="Times New Roman" w:hAnsi="Times New Roman" w:cs="Times New Roman" w:eastAsiaTheme="minorEastAsia"/>
          <w:color w:val="000000" w:themeColor="text1"/>
          <w:sz w:val="30"/>
          <w:highlight w:val="none"/>
          <w:lang w:val="en-US" w:eastAsia="zh-CN"/>
          <w14:textFill>
            <w14:solidFill>
              <w14:schemeClr w14:val="tx1"/>
            </w14:solidFill>
          </w14:textFill>
        </w:rPr>
        <w:t>1.1 建设项目的特点</w:t>
      </w:r>
      <w:bookmarkEnd w:id="52"/>
      <w:bookmarkEnd w:id="53"/>
      <w:bookmarkEnd w:id="54"/>
      <w:bookmarkEnd w:id="55"/>
      <w:bookmarkEnd w:id="56"/>
      <w:bookmarkEnd w:id="57"/>
      <w:bookmarkEnd w:id="58"/>
    </w:p>
    <w:p w14:paraId="3F9AABF5">
      <w:pPr>
        <w:pStyle w:val="11"/>
        <w:keepNext/>
        <w:keepLines/>
        <w:pageBreakBefore w:val="0"/>
        <w:widowControl w:val="0"/>
        <w:kinsoku/>
        <w:wordWrap/>
        <w:overflowPunct/>
        <w:topLinePunct w:val="0"/>
        <w:autoSpaceDE/>
        <w:autoSpaceDN/>
        <w:bidi w:val="0"/>
        <w:adjustRightInd/>
        <w:snapToGrid/>
        <w:ind w:left="0" w:leftChars="0"/>
        <w:textAlignment w:val="auto"/>
        <w:outlineLvl w:val="2"/>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bookmarkStart w:id="71" w:name="_Toc10691"/>
      <w:bookmarkStart w:id="72" w:name="_Toc14322"/>
      <w:bookmarkStart w:id="73" w:name="_Toc9584"/>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1.1.1 项目建设的必要性</w:t>
      </w:r>
      <w:bookmarkEnd w:id="71"/>
      <w:bookmarkEnd w:id="72"/>
      <w:bookmarkEnd w:id="73"/>
    </w:p>
    <w:p w14:paraId="0493992F">
      <w:pPr>
        <w:spacing w:beforeLines="0" w:afterLines="0"/>
        <w:ind w:left="0" w:leftChars="0" w:firstLine="480" w:firstLineChars="200"/>
        <w:jc w:val="both"/>
        <w:rPr>
          <w:rFonts w:hint="eastAsia" w:ascii="宋体" w:hAnsi="宋体" w:eastAsia="宋体"/>
          <w:sz w:val="24"/>
        </w:rPr>
      </w:pPr>
      <w:bookmarkStart w:id="74" w:name="_Toc8370"/>
      <w:bookmarkStart w:id="75" w:name="_Toc5814"/>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随着化石资源(石油、煤炭)的大量开发，不可再生资源保有储量越来越少，需坚持可持续发展的原则，采取途径减少不可再生资源消耗的比重。</w:t>
      </w:r>
      <w:r>
        <w:rPr>
          <w:rFonts w:hint="eastAsia" w:ascii="宋体" w:hAnsi="宋体" w:eastAsia="宋体"/>
          <w:color w:val="000000" w:themeColor="text1"/>
          <w:sz w:val="24"/>
          <w14:textFill>
            <w14:solidFill>
              <w14:schemeClr w14:val="tx1"/>
            </w14:solidFill>
          </w14:textFill>
        </w:rPr>
        <w:t>按照国家能源转型目标要求，到</w:t>
      </w:r>
      <w:r>
        <w:rPr>
          <w:rFonts w:hint="eastAsia" w:ascii="TimesNewRomanPSMT" w:hAnsi="TimesNewRomanPSMT" w:eastAsia="TimesNewRomanPSMT"/>
          <w:color w:val="000000" w:themeColor="text1"/>
          <w:sz w:val="24"/>
          <w14:textFill>
            <w14:solidFill>
              <w14:schemeClr w14:val="tx1"/>
            </w14:solidFill>
          </w14:textFill>
        </w:rPr>
        <w:t xml:space="preserve">2030 </w:t>
      </w:r>
      <w:r>
        <w:rPr>
          <w:rFonts w:hint="eastAsia" w:ascii="宋体" w:hAnsi="宋体" w:eastAsia="宋体"/>
          <w:color w:val="000000" w:themeColor="text1"/>
          <w:sz w:val="24"/>
          <w14:textFill>
            <w14:solidFill>
              <w14:schemeClr w14:val="tx1"/>
            </w14:solidFill>
          </w14:textFill>
        </w:rPr>
        <w:t>年，我国非化石能源占一次能源消费比重达到</w:t>
      </w:r>
      <w:r>
        <w:rPr>
          <w:rFonts w:hint="eastAsia" w:ascii="TimesNewRomanPSMT" w:hAnsi="TimesNewRomanPSMT" w:eastAsia="TimesNewRomanPSMT"/>
          <w:color w:val="000000" w:themeColor="text1"/>
          <w:sz w:val="24"/>
          <w14:textFill>
            <w14:solidFill>
              <w14:schemeClr w14:val="tx1"/>
            </w14:solidFill>
          </w14:textFill>
        </w:rPr>
        <w:t>25%</w:t>
      </w:r>
      <w:r>
        <w:rPr>
          <w:rFonts w:hint="eastAsia" w:ascii="宋体" w:hAnsi="宋体" w:eastAsia="宋体"/>
          <w:color w:val="000000" w:themeColor="text1"/>
          <w:sz w:val="24"/>
          <w14:textFill>
            <w14:solidFill>
              <w14:schemeClr w14:val="tx1"/>
            </w14:solidFill>
          </w14:textFill>
        </w:rPr>
        <w:t>左右，风电、太阳能发电总装机容量将达到</w:t>
      </w:r>
      <w:r>
        <w:rPr>
          <w:rFonts w:hint="eastAsia" w:ascii="TimesNewRomanPSMT" w:hAnsi="TimesNewRomanPSMT" w:eastAsia="TimesNewRomanPSMT"/>
          <w:color w:val="000000" w:themeColor="text1"/>
          <w:sz w:val="24"/>
          <w14:textFill>
            <w14:solidFill>
              <w14:schemeClr w14:val="tx1"/>
            </w14:solidFill>
          </w14:textFill>
        </w:rPr>
        <w:t xml:space="preserve">12 </w:t>
      </w:r>
      <w:r>
        <w:rPr>
          <w:rFonts w:hint="eastAsia" w:ascii="宋体" w:hAnsi="宋体" w:eastAsia="宋体"/>
          <w:color w:val="000000" w:themeColor="text1"/>
          <w:sz w:val="24"/>
          <w14:textFill>
            <w14:solidFill>
              <w14:schemeClr w14:val="tx1"/>
            </w14:solidFill>
          </w14:textFill>
        </w:rPr>
        <w:t>亿</w:t>
      </w:r>
      <w:r>
        <w:rPr>
          <w:rFonts w:hint="eastAsia" w:ascii="TimesNewRomanPSMT" w:hAnsi="TimesNewRomanPSMT" w:eastAsia="TimesNewRomanPSMT"/>
          <w:color w:val="000000" w:themeColor="text1"/>
          <w:sz w:val="24"/>
          <w14:textFill>
            <w14:solidFill>
              <w14:schemeClr w14:val="tx1"/>
            </w14:solidFill>
          </w14:textFill>
        </w:rPr>
        <w:t xml:space="preserve">kW </w:t>
      </w:r>
      <w:r>
        <w:rPr>
          <w:rFonts w:hint="eastAsia" w:ascii="宋体" w:hAnsi="宋体" w:eastAsia="宋体"/>
          <w:color w:val="000000" w:themeColor="text1"/>
          <w:sz w:val="24"/>
          <w14:textFill>
            <w14:solidFill>
              <w14:schemeClr w14:val="tx1"/>
            </w14:solidFill>
          </w14:textFill>
        </w:rPr>
        <w:t>以上。</w:t>
      </w:r>
      <w:r>
        <w:rPr>
          <w:rFonts w:hint="eastAsia" w:ascii="TimesNewRomanPSMT" w:hAnsi="TimesNewRomanPSMT" w:eastAsia="TimesNewRomanPSMT"/>
          <w:color w:val="000000" w:themeColor="text1"/>
          <w:sz w:val="24"/>
          <w14:textFill>
            <w14:solidFill>
              <w14:schemeClr w14:val="tx1"/>
            </w14:solidFill>
          </w14:textFill>
        </w:rPr>
        <w:t>“</w:t>
      </w:r>
      <w:r>
        <w:rPr>
          <w:rFonts w:hint="eastAsia" w:ascii="宋体" w:hAnsi="宋体" w:eastAsia="宋体"/>
          <w:color w:val="000000" w:themeColor="text1"/>
          <w:sz w:val="24"/>
          <w14:textFill>
            <w14:solidFill>
              <w14:schemeClr w14:val="tx1"/>
            </w14:solidFill>
          </w14:textFill>
        </w:rPr>
        <w:t>十四五</w:t>
      </w:r>
      <w:r>
        <w:rPr>
          <w:rFonts w:hint="eastAsia" w:ascii="TimesNewRomanPSMT" w:hAnsi="TimesNewRomanPSMT" w:eastAsia="TimesNewRomanPSMT"/>
          <w:color w:val="000000" w:themeColor="text1"/>
          <w:sz w:val="24"/>
          <w14:textFill>
            <w14:solidFill>
              <w14:schemeClr w14:val="tx1"/>
            </w14:solidFill>
          </w14:textFill>
        </w:rPr>
        <w:t>”</w:t>
      </w:r>
      <w:r>
        <w:rPr>
          <w:rFonts w:hint="eastAsia" w:ascii="宋体" w:hAnsi="宋体" w:eastAsia="宋体"/>
          <w:color w:val="000000" w:themeColor="text1"/>
          <w:sz w:val="24"/>
          <w14:textFill>
            <w14:solidFill>
              <w14:schemeClr w14:val="tx1"/>
            </w14:solidFill>
          </w14:textFill>
        </w:rPr>
        <w:t>是推动能源转型、实现</w:t>
      </w:r>
      <w:r>
        <w:rPr>
          <w:rFonts w:hint="eastAsia" w:ascii="TimesNewRomanPSMT" w:hAnsi="TimesNewRomanPSMT" w:eastAsia="TimesNewRomanPSMT"/>
          <w:color w:val="000000" w:themeColor="text1"/>
          <w:sz w:val="24"/>
          <w14:textFill>
            <w14:solidFill>
              <w14:schemeClr w14:val="tx1"/>
            </w14:solidFill>
          </w14:textFill>
        </w:rPr>
        <w:t xml:space="preserve">2030 </w:t>
      </w:r>
      <w:r>
        <w:rPr>
          <w:rFonts w:hint="eastAsia" w:ascii="宋体" w:hAnsi="宋体" w:eastAsia="宋体"/>
          <w:color w:val="000000" w:themeColor="text1"/>
          <w:sz w:val="24"/>
          <w14:textFill>
            <w14:solidFill>
              <w14:schemeClr w14:val="tx1"/>
            </w14:solidFill>
          </w14:textFill>
        </w:rPr>
        <w:t>年能</w:t>
      </w:r>
      <w:r>
        <w:rPr>
          <w:rFonts w:hint="eastAsia" w:ascii="宋体" w:hAnsi="宋体" w:eastAsia="宋体"/>
          <w:sz w:val="24"/>
        </w:rPr>
        <w:t>源转型目标的重要阶段。</w:t>
      </w:r>
      <w:r>
        <w:rPr>
          <w:rFonts w:hint="eastAsia" w:ascii="TimesNewRomanPSMT" w:hAnsi="TimesNewRomanPSMT" w:eastAsia="TimesNewRomanPSMT"/>
          <w:sz w:val="24"/>
        </w:rPr>
        <w:t xml:space="preserve">2019 </w:t>
      </w:r>
      <w:r>
        <w:rPr>
          <w:rFonts w:hint="eastAsia" w:ascii="宋体" w:hAnsi="宋体" w:eastAsia="宋体"/>
          <w:sz w:val="24"/>
        </w:rPr>
        <w:t>年</w:t>
      </w:r>
      <w:r>
        <w:rPr>
          <w:rFonts w:hint="eastAsia" w:ascii="TimesNewRomanPSMT" w:hAnsi="TimesNewRomanPSMT" w:eastAsia="TimesNewRomanPSMT"/>
          <w:sz w:val="24"/>
        </w:rPr>
        <w:t xml:space="preserve">5 </w:t>
      </w:r>
      <w:r>
        <w:rPr>
          <w:rFonts w:hint="eastAsia" w:ascii="宋体" w:hAnsi="宋体" w:eastAsia="宋体"/>
          <w:sz w:val="24"/>
        </w:rPr>
        <w:t>月，国家发改委、国家能源局印发《关于建立健全可再生能源消纳保障机制的通知》，提出建立可再生能源电力消纳保障机制，明确各</w:t>
      </w:r>
    </w:p>
    <w:p w14:paraId="63EE4C08">
      <w:pPr>
        <w:spacing w:beforeLines="0" w:afterLines="0"/>
        <w:ind w:left="0" w:leftChars="0" w:firstLine="0" w:firstLineChars="0"/>
        <w:jc w:val="both"/>
        <w:rPr>
          <w:rFonts w:hint="eastAsia" w:ascii="宋体" w:hAnsi="宋体" w:eastAsia="宋体"/>
          <w:sz w:val="24"/>
        </w:rPr>
      </w:pPr>
      <w:r>
        <w:rPr>
          <w:rFonts w:hint="eastAsia" w:ascii="宋体" w:hAnsi="宋体" w:eastAsia="宋体"/>
          <w:sz w:val="24"/>
        </w:rPr>
        <w:t>市场主体共同承担新能源消纳责任，促进可再生能源消纳，打破省间壁垒，提高特高压电网利用率和传输电力的</w:t>
      </w:r>
      <w:r>
        <w:rPr>
          <w:rFonts w:hint="eastAsia" w:ascii="TimesNewRomanPSMT" w:hAnsi="TimesNewRomanPSMT" w:eastAsia="TimesNewRomanPSMT"/>
          <w:sz w:val="24"/>
        </w:rPr>
        <w:t>“</w:t>
      </w:r>
      <w:r>
        <w:rPr>
          <w:rFonts w:hint="eastAsia" w:ascii="宋体" w:hAnsi="宋体" w:eastAsia="宋体"/>
          <w:sz w:val="24"/>
        </w:rPr>
        <w:t>绿色化</w:t>
      </w:r>
      <w:r>
        <w:rPr>
          <w:rFonts w:hint="eastAsia" w:ascii="TimesNewRomanPSMT" w:hAnsi="TimesNewRomanPSMT" w:eastAsia="TimesNewRomanPSMT"/>
          <w:sz w:val="24"/>
        </w:rPr>
        <w:t>”</w:t>
      </w:r>
      <w:r>
        <w:rPr>
          <w:rFonts w:hint="eastAsia" w:ascii="宋体" w:hAnsi="宋体" w:eastAsia="宋体"/>
          <w:sz w:val="24"/>
        </w:rPr>
        <w:t>水平。可再生能源电力消纳保障机制的实施将从能源消费侧促进能源供给侧加大</w:t>
      </w:r>
      <w:r>
        <w:rPr>
          <w:rFonts w:hint="eastAsia" w:ascii="TimesNewRomanPSMT" w:hAnsi="TimesNewRomanPSMT" w:eastAsia="TimesNewRomanPSMT"/>
          <w:sz w:val="24"/>
        </w:rPr>
        <w:t>“</w:t>
      </w:r>
      <w:r>
        <w:rPr>
          <w:rFonts w:hint="eastAsia" w:ascii="宋体" w:hAnsi="宋体" w:eastAsia="宋体"/>
          <w:sz w:val="24"/>
        </w:rPr>
        <w:t>绿色化</w:t>
      </w:r>
      <w:r>
        <w:rPr>
          <w:rFonts w:hint="eastAsia" w:ascii="TimesNewRomanPSMT" w:hAnsi="TimesNewRomanPSMT" w:eastAsia="TimesNewRomanPSMT"/>
          <w:sz w:val="24"/>
        </w:rPr>
        <w:t>”</w:t>
      </w:r>
      <w:r>
        <w:rPr>
          <w:rFonts w:hint="eastAsia" w:ascii="宋体" w:hAnsi="宋体" w:eastAsia="宋体"/>
          <w:sz w:val="24"/>
        </w:rPr>
        <w:t>发展。</w:t>
      </w:r>
    </w:p>
    <w:p w14:paraId="6272F613">
      <w:pPr>
        <w:keepNext w:val="0"/>
        <w:keepLines w:val="0"/>
        <w:pageBreakBefore w:val="0"/>
        <w:widowControl w:val="0"/>
        <w:kinsoku/>
        <w:wordWrap w:val="0"/>
        <w:overflowPunct/>
        <w:topLinePunct/>
        <w:autoSpaceDE/>
        <w:autoSpaceDN/>
        <w:bidi w:val="0"/>
        <w:adjustRightInd/>
        <w:snapToGrid/>
        <w:spacing w:line="360" w:lineRule="auto"/>
        <w:ind w:left="0" w:leftChars="0" w:firstLine="480" w:firstLineChars="200"/>
        <w:jc w:val="both"/>
        <w:textAlignment w:val="auto"/>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目前，国家已将新能源的开发提到了战略高度，风能、太阳能和潮汐能等将是未来一段时间新能源发展的重点。</w:t>
      </w:r>
      <w:r>
        <w:rPr>
          <w:rFonts w:hint="eastAsia" w:ascii="宋体" w:hAnsi="宋体" w:eastAsia="宋体"/>
          <w:sz w:val="24"/>
        </w:rPr>
        <w:t>新疆维吾尔自治区位于亚欧大陆中部</w:t>
      </w:r>
      <w:r>
        <w:rPr>
          <w:rFonts w:hint="eastAsia" w:ascii="宋体" w:hAnsi="宋体" w:eastAsia="宋体"/>
          <w:sz w:val="24"/>
          <w:lang w:eastAsia="zh-CN"/>
        </w:rPr>
        <w:t>，</w:t>
      </w:r>
      <w:r>
        <w:rPr>
          <w:rFonts w:hint="eastAsia" w:ascii="宋体" w:hAnsi="宋体" w:eastAsia="宋体"/>
          <w:sz w:val="24"/>
          <w:lang w:val="en-US" w:eastAsia="zh-CN"/>
        </w:rPr>
        <w:t>占据气候和地理位置的优势，拥有得天独厚的风力资源，为</w:t>
      </w:r>
      <w:r>
        <w:rPr>
          <w:rFonts w:hint="eastAsia" w:ascii="宋体" w:hAnsi="宋体" w:eastAsia="宋体"/>
          <w:sz w:val="24"/>
        </w:rPr>
        <w:t>符合我国能源发展战略</w:t>
      </w:r>
      <w:r>
        <w:rPr>
          <w:rFonts w:hint="eastAsia" w:ascii="宋体" w:hAnsi="宋体" w:eastAsia="宋体"/>
          <w:sz w:val="24"/>
          <w:lang w:eastAsia="zh-CN"/>
        </w:rPr>
        <w:t>、</w:t>
      </w:r>
      <w:r>
        <w:rPr>
          <w:rFonts w:hint="eastAsia" w:ascii="宋体" w:hAnsi="宋体" w:eastAsia="宋体"/>
          <w:sz w:val="24"/>
        </w:rPr>
        <w:t>推动当地经济和社会发展</w:t>
      </w:r>
      <w:r>
        <w:rPr>
          <w:rFonts w:hint="eastAsia" w:ascii="宋体" w:hAnsi="宋体" w:eastAsia="宋体"/>
          <w:sz w:val="24"/>
          <w:lang w:eastAsia="zh-CN"/>
        </w:rPr>
        <w:t>，</w:t>
      </w:r>
      <w:r>
        <w:rPr>
          <w:rFonts w:hint="eastAsia" w:ascii="宋体" w:hAnsi="宋体" w:eastAsia="宋体"/>
          <w:sz w:val="24"/>
          <w:lang w:val="en-US" w:eastAsia="zh-CN"/>
        </w:rPr>
        <w:t>同时兼顾</w:t>
      </w:r>
      <w:r>
        <w:rPr>
          <w:rFonts w:hint="eastAsia" w:ascii="宋体" w:hAnsi="宋体" w:eastAsia="宋体"/>
          <w:sz w:val="24"/>
        </w:rPr>
        <w:t>节约能源和环境</w:t>
      </w:r>
      <w:r>
        <w:rPr>
          <w:rFonts w:hint="eastAsia" w:ascii="宋体" w:hAnsi="宋体" w:eastAsia="宋体"/>
          <w:sz w:val="24"/>
          <w:lang w:val="en-US" w:eastAsia="zh-CN"/>
        </w:rPr>
        <w:t>保护并举，乌鲁木齐市沙依巴克区电投融和新</w:t>
      </w:r>
      <w:r>
        <w:rPr>
          <w:rFonts w:hint="default" w:ascii="宋体" w:hAnsi="宋体" w:eastAsia="宋体"/>
          <w:sz w:val="24"/>
          <w:lang w:val="en-US" w:eastAsia="zh-CN"/>
        </w:rPr>
        <w:t>能源</w:t>
      </w:r>
      <w:r>
        <w:rPr>
          <w:rFonts w:hint="eastAsia" w:ascii="宋体" w:hAnsi="宋体" w:eastAsia="宋体"/>
          <w:sz w:val="24"/>
          <w:lang w:val="en-US" w:eastAsia="zh-CN"/>
        </w:rPr>
        <w:t>有</w:t>
      </w:r>
      <w:r>
        <w:rPr>
          <w:rFonts w:hint="default" w:ascii="宋体" w:hAnsi="宋体" w:eastAsia="宋体"/>
          <w:sz w:val="24"/>
          <w:lang w:val="en-US" w:eastAsia="zh-CN"/>
        </w:rPr>
        <w:t>限公司</w:t>
      </w:r>
      <w:r>
        <w:rPr>
          <w:rFonts w:hint="eastAsia" w:ascii="宋体" w:hAnsi="宋体" w:eastAsia="宋体"/>
          <w:sz w:val="24"/>
          <w:lang w:val="en-US" w:eastAsia="zh-CN"/>
        </w:rPr>
        <w:t>拟投资56898万元，在乌鲁木齐市沙依巴克区建设电投融和沙依巴克区15万千瓦风</w:t>
      </w:r>
      <w:r>
        <w:rPr>
          <w:rFonts w:hint="eastAsia" w:ascii="宋体" w:hAnsi="宋体" w:eastAsia="宋体" w:cs="宋体"/>
          <w:color w:val="000000" w:themeColor="text1"/>
          <w:sz w:val="24"/>
          <w:lang w:val="en-US" w:eastAsia="zh-CN"/>
          <w14:textFill>
            <w14:solidFill>
              <w14:schemeClr w14:val="tx1"/>
            </w14:solidFill>
          </w14:textFill>
        </w:rPr>
        <w:t>电项目</w:t>
      </w:r>
      <w:r>
        <w:rPr>
          <w:rFonts w:hint="eastAsia" w:ascii="宋体" w:hAnsi="宋体" w:eastAsia="宋体" w:cs="宋体"/>
          <w:color w:val="000000" w:themeColor="text1"/>
          <w:sz w:val="24"/>
          <w:highlight w:val="none"/>
          <w:lang w:val="en-US" w:eastAsia="zh-CN"/>
          <w14:textFill>
            <w14:solidFill>
              <w14:schemeClr w14:val="tx1"/>
            </w14:solidFill>
          </w14:textFill>
        </w:rPr>
        <w:t>(以下简称“本项目”)。本项目风电场区装机容量15万千瓦，项目建成后，考虑综合折减后风电场年</w:t>
      </w:r>
      <w:r>
        <w:rPr>
          <w:rFonts w:hint="eastAsia" w:ascii="宋体" w:hAnsi="宋体" w:eastAsia="宋体" w:cs="宋体"/>
          <w:color w:val="000000" w:themeColor="text1"/>
          <w:sz w:val="24"/>
          <w14:textFill>
            <w14:solidFill>
              <w14:schemeClr w14:val="tx1"/>
            </w14:solidFill>
          </w14:textFill>
        </w:rPr>
        <w:t>均上网电量为</w:t>
      </w:r>
      <w:r>
        <w:rPr>
          <w:rFonts w:hint="eastAsia" w:ascii="宋体" w:hAnsi="宋体" w:eastAsia="宋体" w:cs="宋体"/>
          <w:color w:val="000000" w:themeColor="text1"/>
          <w:sz w:val="24"/>
          <w:lang w:val="en-US" w:eastAsia="zh-CN"/>
          <w14:textFill>
            <w14:solidFill>
              <w14:schemeClr w14:val="tx1"/>
            </w14:solidFill>
          </w14:textFill>
        </w:rPr>
        <w:t>345900</w:t>
      </w:r>
      <w:r>
        <w:rPr>
          <w:rFonts w:hint="eastAsia" w:ascii="宋体" w:hAnsi="宋体" w:eastAsia="宋体" w:cs="宋体"/>
          <w:color w:val="000000" w:themeColor="text1"/>
          <w:sz w:val="24"/>
          <w14:textFill>
            <w14:solidFill>
              <w14:schemeClr w14:val="tx1"/>
            </w14:solidFill>
          </w14:textFill>
        </w:rPr>
        <w:t>MWh</w:t>
      </w:r>
      <w:r>
        <w:rPr>
          <w:rFonts w:hint="eastAsia" w:ascii="宋体" w:hAnsi="宋体" w:eastAsia="宋体" w:cs="宋体"/>
          <w:color w:val="000000" w:themeColor="text1"/>
          <w:sz w:val="24"/>
          <w:lang w:eastAsia="zh-CN"/>
          <w14:textFill>
            <w14:solidFill>
              <w14:schemeClr w14:val="tx1"/>
            </w14:solidFill>
          </w14:textFill>
        </w:rPr>
        <w:t>，</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与燃煤电厂相比，以供电标煤煤耗300.7g/kWh计，每年可节约标准煤约1</w:t>
      </w:r>
      <w:r>
        <w:rPr>
          <w:rFonts w:hint="eastAsia" w:cs="Times New Roman" w:eastAsiaTheme="minorEastAsia"/>
          <w:color w:val="000000" w:themeColor="text1"/>
          <w:sz w:val="24"/>
          <w:highlight w:val="none"/>
          <w:lang w:val="en-US" w:eastAsia="zh-CN"/>
          <w14:textFill>
            <w14:solidFill>
              <w14:schemeClr w14:val="tx1"/>
            </w14:solidFill>
          </w14:textFill>
        </w:rPr>
        <w:t>0</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w:t>
      </w:r>
      <w:r>
        <w:rPr>
          <w:rFonts w:hint="eastAsia" w:cs="Times New Roman" w:eastAsiaTheme="minorEastAsia"/>
          <w:color w:val="000000" w:themeColor="text1"/>
          <w:sz w:val="24"/>
          <w:highlight w:val="none"/>
          <w:lang w:val="en-US" w:eastAsia="zh-CN"/>
          <w14:textFill>
            <w14:solidFill>
              <w14:schemeClr w14:val="tx1"/>
            </w14:solidFill>
          </w14:textFill>
        </w:rPr>
        <w:t>4</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万t，相应每年可减少多种大气污染物的排放，其中减少S0</w:t>
      </w:r>
      <w:r>
        <w:rPr>
          <w:rFonts w:hint="default" w:ascii="Times New Roman" w:hAnsi="Times New Roman" w:cs="Times New Roman" w:eastAsiaTheme="minorEastAsia"/>
          <w:color w:val="000000" w:themeColor="text1"/>
          <w:sz w:val="24"/>
          <w:highlight w:val="none"/>
          <w:vertAlign w:val="subscript"/>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排放量约</w:t>
      </w:r>
      <w:r>
        <w:rPr>
          <w:rFonts w:hint="eastAsia" w:cs="Times New Roman" w:eastAsiaTheme="minorEastAsia"/>
          <w:color w:val="000000" w:themeColor="text1"/>
          <w:sz w:val="24"/>
          <w:highlight w:val="none"/>
          <w:lang w:val="en-US" w:eastAsia="zh-CN"/>
          <w14:textFill>
            <w14:solidFill>
              <w14:schemeClr w14:val="tx1"/>
            </w14:solidFill>
          </w14:textFill>
        </w:rPr>
        <w:t>28.7</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t，氮氧化合物约</w:t>
      </w:r>
      <w:r>
        <w:rPr>
          <w:rFonts w:hint="eastAsia" w:cs="Times New Roman" w:eastAsiaTheme="minorEastAsia"/>
          <w:color w:val="000000" w:themeColor="text1"/>
          <w:sz w:val="24"/>
          <w:highlight w:val="none"/>
          <w:lang w:val="en-US" w:eastAsia="zh-CN"/>
          <w14:textFill>
            <w14:solidFill>
              <w14:schemeClr w14:val="tx1"/>
            </w14:solidFill>
          </w14:textFill>
        </w:rPr>
        <w:t>46</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t，CO</w:t>
      </w:r>
      <w:r>
        <w:rPr>
          <w:rFonts w:hint="default" w:ascii="Times New Roman" w:hAnsi="Times New Roman" w:cs="Times New Roman" w:eastAsiaTheme="minorEastAsia"/>
          <w:color w:val="000000" w:themeColor="text1"/>
          <w:sz w:val="24"/>
          <w:highlight w:val="none"/>
          <w:vertAlign w:val="subscript"/>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排放量约</w:t>
      </w:r>
      <w:r>
        <w:rPr>
          <w:rFonts w:hint="eastAsia" w:cs="Times New Roman" w:eastAsiaTheme="minorEastAsia"/>
          <w:color w:val="000000" w:themeColor="text1"/>
          <w:sz w:val="24"/>
          <w:highlight w:val="none"/>
          <w:lang w:val="en-US" w:eastAsia="zh-CN"/>
          <w14:textFill>
            <w14:solidFill>
              <w14:schemeClr w14:val="tx1"/>
            </w14:solidFill>
          </w14:textFill>
        </w:rPr>
        <w:t>28.5</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万t，还可减少烟尘排放量约</w:t>
      </w:r>
      <w:r>
        <w:rPr>
          <w:rFonts w:hint="eastAsia" w:cs="Times New Roman" w:eastAsiaTheme="minorEastAsia"/>
          <w:color w:val="000000" w:themeColor="text1"/>
          <w:sz w:val="24"/>
          <w:highlight w:val="none"/>
          <w:lang w:val="en-US" w:eastAsia="zh-CN"/>
          <w14:textFill>
            <w14:solidFill>
              <w14:schemeClr w14:val="tx1"/>
            </w14:solidFill>
          </w14:textFill>
        </w:rPr>
        <w:t>5.88</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t。本项目的建设对于保护环境、减少大气污染具有积极的作用，符合清洁生产原则，具有明显的环境和社会效益。</w:t>
      </w:r>
    </w:p>
    <w:p w14:paraId="720D7413">
      <w:pPr>
        <w:keepNext w:val="0"/>
        <w:keepLines w:val="0"/>
        <w:pageBreakBefore w:val="0"/>
        <w:widowControl w:val="0"/>
        <w:kinsoku/>
        <w:wordWrap w:val="0"/>
        <w:overflowPunct/>
        <w:topLinePunct/>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综上所述，</w:t>
      </w:r>
      <w:r>
        <w:rPr>
          <w:rFonts w:hint="eastAsia" w:cs="Times New Roman" w:eastAsiaTheme="minorEastAsia"/>
          <w:color w:val="000000" w:themeColor="text1"/>
          <w:sz w:val="24"/>
          <w:highlight w:val="none"/>
          <w:lang w:val="en-US" w:eastAsia="zh-CN"/>
          <w14:textFill>
            <w14:solidFill>
              <w14:schemeClr w14:val="tx1"/>
            </w14:solidFill>
          </w14:textFill>
        </w:rPr>
        <w:t>本</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项目区域风能</w:t>
      </w:r>
      <w:r>
        <w:rPr>
          <w:rFonts w:hint="eastAsia" w:cs="Times New Roman" w:eastAsiaTheme="minorEastAsia"/>
          <w:color w:val="000000" w:themeColor="text1"/>
          <w:sz w:val="24"/>
          <w:highlight w:val="none"/>
          <w:lang w:val="en-US" w:eastAsia="zh-CN"/>
          <w14:textFill>
            <w14:solidFill>
              <w14:schemeClr w14:val="tx1"/>
            </w14:solidFill>
          </w14:textFill>
        </w:rPr>
        <w:t>资源</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丰富，项目的建设将有利于改善系统电源结构，缓解电力行业较大的环境保护压力，减少区域大气污染物排放量，从而改善空气质量，对于带动地方经济快速发展将起到积极作用。因此，开发拟建项目是十分必要的。</w:t>
      </w:r>
    </w:p>
    <w:p w14:paraId="182469BD">
      <w:pPr>
        <w:pStyle w:val="11"/>
        <w:bidi w:val="0"/>
        <w:outlineLvl w:val="2"/>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bookmarkStart w:id="76" w:name="_Toc5622"/>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1.1.2 项目</w:t>
      </w:r>
      <w:bookmarkEnd w:id="74"/>
      <w:bookmarkEnd w:id="75"/>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建设概况</w:t>
      </w:r>
      <w:bookmarkEnd w:id="76"/>
    </w:p>
    <w:p w14:paraId="058AED9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本项目装机容量</w:t>
      </w:r>
      <w:r>
        <w:rPr>
          <w:rFonts w:hint="eastAsia" w:cs="Times New Roman" w:eastAsiaTheme="minorEastAsia"/>
          <w:color w:val="000000" w:themeColor="text1"/>
          <w:sz w:val="24"/>
          <w:szCs w:val="24"/>
          <w:highlight w:val="none"/>
          <w:lang w:val="en-US" w:eastAsia="zh-CN"/>
          <w14:textFill>
            <w14:solidFill>
              <w14:schemeClr w14:val="tx1"/>
            </w14:solidFill>
          </w14:textFill>
        </w:rPr>
        <w:t>15</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万kW，新建</w:t>
      </w:r>
      <w:r>
        <w:rPr>
          <w:rFonts w:hint="eastAsia" w:cs="Times New Roman" w:eastAsiaTheme="minorEastAsia"/>
          <w:color w:val="000000" w:themeColor="text1"/>
          <w:sz w:val="24"/>
          <w:szCs w:val="24"/>
          <w:highlight w:val="none"/>
          <w:lang w:val="en-US" w:eastAsia="zh-CN"/>
          <w14:textFill>
            <w14:solidFill>
              <w14:schemeClr w14:val="tx1"/>
            </w14:solidFill>
          </w14:textFill>
        </w:rPr>
        <w:t>20台单机容量为7150kW的风力发电机组，</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配套建设1座110kV升压站，</w:t>
      </w:r>
      <w:r>
        <w:rPr>
          <w:rFonts w:hint="eastAsia" w:ascii="宋体" w:hAnsi="宋体" w:eastAsia="宋体"/>
          <w:color w:val="000000" w:themeColor="text1"/>
          <w:sz w:val="24"/>
          <w14:textFill>
            <w14:solidFill>
              <w14:schemeClr w14:val="tx1"/>
            </w14:solidFill>
          </w14:textFill>
        </w:rPr>
        <w:t>以</w:t>
      </w:r>
      <w:r>
        <w:rPr>
          <w:rFonts w:hint="eastAsia" w:ascii="TimesNewRomanPSMT" w:hAnsi="TimesNewRomanPSMT" w:eastAsia="TimesNewRomanPSMT"/>
          <w:color w:val="000000" w:themeColor="text1"/>
          <w:sz w:val="24"/>
          <w14:textFill>
            <w14:solidFill>
              <w14:schemeClr w14:val="tx1"/>
            </w14:solidFill>
          </w14:textFill>
        </w:rPr>
        <w:t>1</w:t>
      </w:r>
      <w:r>
        <w:rPr>
          <w:rFonts w:hint="eastAsia" w:ascii="宋体" w:hAnsi="宋体" w:eastAsia="宋体"/>
          <w:color w:val="000000" w:themeColor="text1"/>
          <w:sz w:val="24"/>
          <w14:textFill>
            <w14:solidFill>
              <w14:schemeClr w14:val="tx1"/>
            </w14:solidFill>
          </w14:textFill>
        </w:rPr>
        <w:t>回</w:t>
      </w:r>
      <w:r>
        <w:rPr>
          <w:rFonts w:hint="eastAsia" w:ascii="TimesNewRomanPSMT" w:hAnsi="TimesNewRomanPSMT" w:eastAsia="TimesNewRomanPSMT"/>
          <w:color w:val="000000" w:themeColor="text1"/>
          <w:sz w:val="24"/>
          <w14:textFill>
            <w14:solidFill>
              <w14:schemeClr w14:val="tx1"/>
            </w14:solidFill>
          </w14:textFill>
        </w:rPr>
        <w:t>110kV</w:t>
      </w:r>
      <w:r>
        <w:rPr>
          <w:rFonts w:hint="eastAsia" w:ascii="宋体" w:hAnsi="宋体" w:eastAsia="宋体"/>
          <w:color w:val="000000" w:themeColor="text1"/>
          <w:sz w:val="24"/>
          <w14:textFill>
            <w14:solidFill>
              <w14:schemeClr w14:val="tx1"/>
            </w14:solidFill>
          </w14:textFill>
        </w:rPr>
        <w:t>线路接至燕南</w:t>
      </w:r>
      <w:r>
        <w:rPr>
          <w:rFonts w:hint="eastAsia" w:ascii="TimesNewRomanPSMT" w:hAnsi="TimesNewRomanPSMT" w:eastAsia="TimesNewRomanPSMT"/>
          <w:color w:val="000000" w:themeColor="text1"/>
          <w:sz w:val="24"/>
          <w14:textFill>
            <w14:solidFill>
              <w14:schemeClr w14:val="tx1"/>
            </w14:solidFill>
          </w14:textFill>
        </w:rPr>
        <w:t>220kV</w:t>
      </w:r>
      <w:r>
        <w:rPr>
          <w:rFonts w:hint="eastAsia" w:ascii="宋体" w:hAnsi="宋体" w:eastAsia="宋体"/>
          <w:color w:val="000000" w:themeColor="text1"/>
          <w:sz w:val="24"/>
          <w14:textFill>
            <w14:solidFill>
              <w14:schemeClr w14:val="tx1"/>
            </w14:solidFill>
          </w14:textFill>
        </w:rPr>
        <w:t>变，送出线路长约</w:t>
      </w:r>
      <w:r>
        <w:rPr>
          <w:rFonts w:hint="eastAsia" w:ascii="TimesNewRomanPSMT" w:hAnsi="TimesNewRomanPSMT" w:eastAsia="TimesNewRomanPSMT"/>
          <w:color w:val="000000" w:themeColor="text1"/>
          <w:sz w:val="24"/>
          <w14:textFill>
            <w14:solidFill>
              <w14:schemeClr w14:val="tx1"/>
            </w14:solidFill>
          </w14:textFill>
        </w:rPr>
        <w:t>8km</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r>
        <w:rPr>
          <w:rFonts w:hint="eastAsia" w:cs="Times New Roman" w:eastAsiaTheme="minorEastAsia"/>
          <w:color w:val="000000" w:themeColor="text1"/>
          <w:sz w:val="24"/>
          <w:szCs w:val="24"/>
          <w:highlight w:val="none"/>
          <w:lang w:val="en-US" w:eastAsia="zh-CN"/>
          <w14:textFill>
            <w14:solidFill>
              <w14:schemeClr w14:val="tx1"/>
            </w14:solidFill>
          </w14:textFill>
        </w:rPr>
        <w:t>110</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kV</w:t>
      </w:r>
      <w:r>
        <w:rPr>
          <w:rFonts w:hint="eastAsia" w:cs="Times New Roman" w:eastAsiaTheme="minorEastAsia"/>
          <w:color w:val="000000" w:themeColor="text1"/>
          <w:sz w:val="24"/>
          <w:szCs w:val="24"/>
          <w:highlight w:val="none"/>
          <w:lang w:val="en-US" w:eastAsia="zh-CN"/>
          <w14:textFill>
            <w14:solidFill>
              <w14:schemeClr w14:val="tx1"/>
            </w14:solidFill>
          </w14:textFill>
        </w:rPr>
        <w:t>升压站及送出线路工程不在本次评价范围内，另行环评</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r>
        <w:rPr>
          <w:rFonts w:hint="eastAsia" w:cs="Times New Roman" w:eastAsiaTheme="minorEastAsia"/>
          <w:color w:val="000000" w:themeColor="text1"/>
          <w:sz w:val="24"/>
          <w:szCs w:val="24"/>
          <w:highlight w:val="none"/>
          <w:lang w:val="en-US" w:eastAsia="zh-CN"/>
          <w14:textFill>
            <w14:solidFill>
              <w14:schemeClr w14:val="tx1"/>
            </w14:solidFill>
          </w14:textFill>
        </w:rPr>
        <w:t>。</w:t>
      </w:r>
    </w:p>
    <w:bookmarkEnd w:id="59"/>
    <w:bookmarkEnd w:id="60"/>
    <w:bookmarkEnd w:id="61"/>
    <w:bookmarkEnd w:id="62"/>
    <w:bookmarkEnd w:id="63"/>
    <w:bookmarkEnd w:id="64"/>
    <w:bookmarkEnd w:id="65"/>
    <w:bookmarkEnd w:id="66"/>
    <w:bookmarkEnd w:id="67"/>
    <w:bookmarkEnd w:id="68"/>
    <w:bookmarkEnd w:id="69"/>
    <w:bookmarkEnd w:id="70"/>
    <w:p w14:paraId="281FC6EE">
      <w:pPr>
        <w:pStyle w:val="11"/>
        <w:bidi w:val="0"/>
        <w:outlineLvl w:val="2"/>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bookmarkStart w:id="77" w:name="_Toc28843"/>
      <w:bookmarkStart w:id="78" w:name="_Toc8937"/>
      <w:bookmarkStart w:id="79" w:name="_Toc469066555"/>
      <w:bookmarkStart w:id="80" w:name="_Toc15889"/>
      <w:bookmarkStart w:id="81" w:name="_Toc10521"/>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1.1.3 项目建设特点</w:t>
      </w:r>
      <w:bookmarkEnd w:id="77"/>
      <w:bookmarkEnd w:id="78"/>
      <w:bookmarkEnd w:id="79"/>
      <w:bookmarkEnd w:id="80"/>
      <w:bookmarkEnd w:id="81"/>
    </w:p>
    <w:p w14:paraId="06777D28">
      <w:pPr>
        <w:keepNext w:val="0"/>
        <w:keepLines w:val="0"/>
        <w:pageBreakBefore w:val="0"/>
        <w:widowControl w:val="0"/>
        <w:kinsoku/>
        <w:wordWrap w:val="0"/>
        <w:overflowPunct/>
        <w:topLinePunct/>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bookmarkStart w:id="82" w:name="_Toc391021099"/>
      <w:bookmarkStart w:id="83" w:name="_Toc313005840"/>
      <w:bookmarkStart w:id="84" w:name="_Toc391021324"/>
      <w:bookmarkStart w:id="85" w:name="_Toc340737459"/>
      <w:bookmarkStart w:id="86" w:name="_Toc391020874"/>
      <w:bookmarkStart w:id="87" w:name="_Toc294859062"/>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本项目国民经济行业类别为电力、热力生产和供应业(D4415 风力发电)。项目建设符合国家产业政策，结合本项目建设情况及现场调查，项目建设特点如下：</w:t>
      </w:r>
    </w:p>
    <w:p w14:paraId="3BFF6346">
      <w:pPr>
        <w:keepNext w:val="0"/>
        <w:keepLines w:val="0"/>
        <w:pageBreakBefore w:val="0"/>
        <w:widowControl w:val="0"/>
        <w:numPr>
          <w:ilvl w:val="0"/>
          <w:numId w:val="0"/>
        </w:numPr>
        <w:kinsoku/>
        <w:wordWrap w:val="0"/>
        <w:overflowPunct/>
        <w:topLinePunct/>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highlight w:val="none"/>
          <w:lang w:val="en-US" w:eastAsia="zh-CN"/>
          <w14:textFill>
            <w14:solidFill>
              <w14:schemeClr w14:val="tx1"/>
            </w14:solidFill>
          </w14:textFill>
        </w:rPr>
      </w:pPr>
      <w:bookmarkStart w:id="88" w:name="_Toc29392"/>
      <w:bookmarkStart w:id="89" w:name="_Toc7295"/>
      <w:bookmarkStart w:id="90" w:name="_Toc4511"/>
      <w:bookmarkStart w:id="91" w:name="_Toc22279"/>
      <w:bookmarkStart w:id="92" w:name="_Toc27264"/>
      <w:r>
        <w:rPr>
          <w:rFonts w:hint="eastAsia" w:ascii="宋体" w:hAnsi="宋体" w:eastAsia="宋体" w:cs="宋体"/>
          <w:color w:val="000000" w:themeColor="text1"/>
          <w:sz w:val="24"/>
          <w:highlight w:val="none"/>
          <w:lang w:val="en-US" w:eastAsia="zh-CN"/>
          <w14:textFill>
            <w14:solidFill>
              <w14:schemeClr w14:val="tx1"/>
            </w14:solidFill>
          </w14:textFill>
        </w:rPr>
        <w:t>(1)本项目运营期中风电场本身无废气、废水产生。</w:t>
      </w:r>
    </w:p>
    <w:p w14:paraId="2CD0FBC7">
      <w:pPr>
        <w:keepNext w:val="0"/>
        <w:keepLines w:val="0"/>
        <w:pageBreakBefore w:val="0"/>
        <w:widowControl w:val="0"/>
        <w:numPr>
          <w:ilvl w:val="0"/>
          <w:numId w:val="0"/>
        </w:numPr>
        <w:kinsoku/>
        <w:wordWrap w:val="0"/>
        <w:overflowPunct/>
        <w:topLinePunct/>
        <w:autoSpaceDE/>
        <w:autoSpaceDN/>
        <w:bidi w:val="0"/>
        <w:adjustRightInd/>
        <w:snapToGrid/>
        <w:spacing w:line="360" w:lineRule="auto"/>
        <w:ind w:firstLine="480" w:firstLineChars="200"/>
        <w:textAlignment w:val="auto"/>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(2)本</w:t>
      </w:r>
      <w:r>
        <w:rPr>
          <w:rFonts w:hint="eastAsia" w:ascii="宋体" w:hAnsi="宋体" w:eastAsia="宋体" w:cs="宋体"/>
          <w:color w:val="000000" w:themeColor="text1"/>
          <w:sz w:val="24"/>
          <w14:textFill>
            <w14:solidFill>
              <w14:schemeClr w14:val="tx1"/>
            </w14:solidFill>
          </w14:textFill>
        </w:rPr>
        <w:t>项目水环境较敏感</w:t>
      </w:r>
      <w:r>
        <w:rPr>
          <w:rFonts w:hint="eastAsia" w:ascii="宋体" w:hAnsi="宋体" w:eastAsia="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z w:val="24"/>
          <w:highlight w:val="none"/>
          <w:lang w:val="en-US" w:eastAsia="zh-CN"/>
          <w14:textFill>
            <w14:solidFill>
              <w14:schemeClr w14:val="tx1"/>
            </w14:solidFill>
          </w14:textFill>
        </w:rPr>
        <w:t>不涉及生态敏感区。</w:t>
      </w:r>
      <w:r>
        <w:rPr>
          <w:rFonts w:hint="eastAsia" w:ascii="宋体" w:hAnsi="宋体" w:eastAsia="宋体" w:cs="宋体"/>
          <w:color w:val="000000" w:themeColor="text1"/>
          <w:sz w:val="24"/>
          <w:lang w:val="en-US" w:eastAsia="zh-CN"/>
          <w14:textFill>
            <w14:solidFill>
              <w14:schemeClr w14:val="tx1"/>
            </w14:solidFill>
          </w14:textFill>
        </w:rPr>
        <w:t>拟建的20</w:t>
      </w:r>
      <w:r>
        <w:rPr>
          <w:rFonts w:hint="eastAsia" w:ascii="宋体" w:hAnsi="宋体" w:eastAsia="宋体" w:cs="宋体"/>
          <w:color w:val="000000" w:themeColor="text1"/>
          <w:sz w:val="24"/>
          <w14:textFill>
            <w14:solidFill>
              <w14:schemeClr w14:val="tx1"/>
            </w14:solidFill>
          </w14:textFill>
        </w:rPr>
        <w:t>台风机中有</w:t>
      </w:r>
      <w:r>
        <w:rPr>
          <w:rFonts w:hint="eastAsia" w:ascii="宋体" w:hAnsi="宋体" w:eastAsia="宋体" w:cs="宋体"/>
          <w:color w:val="000000" w:themeColor="text1"/>
          <w:sz w:val="24"/>
          <w:lang w:val="en-US" w:eastAsia="zh-CN"/>
          <w14:textFill>
            <w14:solidFill>
              <w14:schemeClr w14:val="tx1"/>
            </w14:solidFill>
          </w14:textFill>
        </w:rPr>
        <w:t>3</w:t>
      </w:r>
      <w:r>
        <w:rPr>
          <w:rFonts w:hint="eastAsia" w:ascii="宋体" w:hAnsi="宋体" w:eastAsia="宋体" w:cs="宋体"/>
          <w:color w:val="000000" w:themeColor="text1"/>
          <w:sz w:val="24"/>
          <w14:textFill>
            <w14:solidFill>
              <w14:schemeClr w14:val="tx1"/>
            </w14:solidFill>
          </w14:textFill>
        </w:rPr>
        <w:t>台风机（</w:t>
      </w:r>
      <w:r>
        <w:rPr>
          <w:rFonts w:hint="eastAsia" w:ascii="宋体" w:hAnsi="宋体" w:eastAsia="宋体" w:cs="宋体"/>
          <w:color w:val="000000" w:themeColor="text1"/>
          <w:sz w:val="24"/>
          <w:lang w:val="en-US" w:eastAsia="zh-CN"/>
          <w14:textFill>
            <w14:solidFill>
              <w14:schemeClr w14:val="tx1"/>
            </w14:solidFill>
          </w14:textFill>
        </w:rPr>
        <w:t>H5、H6、H9</w:t>
      </w:r>
      <w:r>
        <w:rPr>
          <w:rFonts w:hint="eastAsia" w:ascii="宋体" w:hAnsi="宋体" w:eastAsia="宋体" w:cs="宋体"/>
          <w:color w:val="000000" w:themeColor="text1"/>
          <w:sz w:val="24"/>
          <w14:textFill>
            <w14:solidFill>
              <w14:schemeClr w14:val="tx1"/>
            </w14:solidFill>
          </w14:textFill>
        </w:rPr>
        <w:t>）用地占用</w:t>
      </w:r>
      <w:r>
        <w:rPr>
          <w:rFonts w:hint="eastAsia" w:ascii="宋体" w:hAnsi="宋体" w:eastAsia="宋体" w:cs="宋体"/>
          <w:color w:val="000000" w:themeColor="text1"/>
          <w:sz w:val="24"/>
          <w:lang w:val="en-US" w:eastAsia="zh-CN"/>
          <w14:textFill>
            <w14:solidFill>
              <w14:schemeClr w14:val="tx1"/>
            </w14:solidFill>
          </w14:textFill>
        </w:rPr>
        <w:t>西山地下饮用水源地二级保护区，3台</w:t>
      </w:r>
      <w:r>
        <w:rPr>
          <w:rFonts w:hint="eastAsia" w:ascii="宋体" w:hAnsi="宋体" w:eastAsia="宋体"/>
          <w:color w:val="000000" w:themeColor="text1"/>
          <w:sz w:val="24"/>
          <w:lang w:val="en-US" w:eastAsia="zh-CN"/>
          <w14:textFill>
            <w14:solidFill>
              <w14:schemeClr w14:val="tx1"/>
            </w14:solidFill>
          </w14:textFill>
        </w:rPr>
        <w:t>风机(H1、H2、H3)用地占用</w:t>
      </w:r>
      <w:r>
        <w:rPr>
          <w:rFonts w:hint="eastAsia" w:ascii="宋体" w:hAnsi="宋体" w:eastAsia="宋体"/>
          <w:color w:val="000000" w:themeColor="text1"/>
          <w:sz w:val="24"/>
          <w14:textFill>
            <w14:solidFill>
              <w14:schemeClr w14:val="tx1"/>
            </w14:solidFill>
          </w14:textFill>
        </w:rPr>
        <w:t>甘河子（含铁路专供）</w:t>
      </w:r>
      <w:r>
        <w:rPr>
          <w:rFonts w:hint="eastAsia" w:ascii="宋体" w:hAnsi="宋体" w:eastAsia="宋体"/>
          <w:color w:val="000000" w:themeColor="text1"/>
          <w:sz w:val="24"/>
          <w:lang w:val="en-US" w:eastAsia="zh-CN"/>
          <w14:textFill>
            <w14:solidFill>
              <w14:schemeClr w14:val="tx1"/>
            </w14:solidFill>
          </w14:textFill>
        </w:rPr>
        <w:t>地下饮用</w:t>
      </w:r>
      <w:r>
        <w:rPr>
          <w:rFonts w:hint="eastAsia" w:ascii="宋体" w:hAnsi="宋体" w:eastAsia="宋体"/>
          <w:color w:val="000000" w:themeColor="text1"/>
          <w:sz w:val="24"/>
          <w14:textFill>
            <w14:solidFill>
              <w14:schemeClr w14:val="tx1"/>
            </w14:solidFill>
          </w14:textFill>
        </w:rPr>
        <w:t>水源地</w:t>
      </w:r>
      <w:r>
        <w:rPr>
          <w:rFonts w:hint="eastAsia" w:ascii="宋体" w:hAnsi="宋体" w:eastAsia="宋体"/>
          <w:color w:val="000000" w:themeColor="text1"/>
          <w:sz w:val="24"/>
          <w:lang w:val="en-US" w:eastAsia="zh-CN"/>
          <w14:textFill>
            <w14:solidFill>
              <w14:schemeClr w14:val="tx1"/>
            </w14:solidFill>
          </w14:textFill>
        </w:rPr>
        <w:t>二级保护区，</w:t>
      </w:r>
      <w:r>
        <w:rPr>
          <w:rFonts w:hint="eastAsia" w:ascii="宋体" w:hAnsi="宋体" w:eastAsia="宋体" w:cs="宋体"/>
          <w:color w:val="000000" w:themeColor="text1"/>
          <w:sz w:val="24"/>
          <w:lang w:val="en-US" w:eastAsia="zh-CN"/>
          <w14:textFill>
            <w14:solidFill>
              <w14:schemeClr w14:val="tx1"/>
            </w14:solidFill>
          </w14:textFill>
        </w:rPr>
        <w:t>7台风机(H4、H7、H8、H10-H13)用地占用乌拉泊、柴西、柴北、西山、甘河子（含铁路专供）准保护区(同时占用二级保护区和准保护区的H3风机计入占用二级保护区风机数量中，不做重复统计)</w:t>
      </w:r>
      <w:r>
        <w:rPr>
          <w:rFonts w:hint="eastAsia" w:ascii="宋体" w:hAnsi="宋体" w:eastAsia="宋体"/>
          <w:color w:val="000000" w:themeColor="text1"/>
          <w:sz w:val="24"/>
          <w:lang w:val="en-US" w:eastAsia="zh-CN"/>
          <w14:textFill>
            <w14:solidFill>
              <w14:schemeClr w14:val="tx1"/>
            </w14:solidFill>
          </w14:textFill>
        </w:rPr>
        <w:t>；</w:t>
      </w:r>
      <w:r>
        <w:rPr>
          <w:rFonts w:hint="eastAsia" w:ascii="宋体" w:hAnsi="宋体" w:eastAsia="宋体"/>
          <w:color w:val="000000" w:themeColor="text1"/>
          <w:sz w:val="24"/>
          <w14:textFill>
            <w14:solidFill>
              <w14:schemeClr w14:val="tx1"/>
            </w14:solidFill>
          </w14:textFill>
        </w:rPr>
        <w:t>项目建设对水源二级保护区的水质可能存在污染风险。</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风电场区</w:t>
      </w:r>
      <w:r>
        <w:rPr>
          <w:rFonts w:hint="eastAsia" w:cs="Times New Roman" w:eastAsiaTheme="minorEastAsia"/>
          <w:color w:val="000000" w:themeColor="text1"/>
          <w:sz w:val="24"/>
          <w:highlight w:val="none"/>
          <w:lang w:val="en-US" w:eastAsia="zh-CN"/>
          <w14:textFill>
            <w14:solidFill>
              <w14:schemeClr w14:val="tx1"/>
            </w14:solidFill>
          </w14:textFill>
        </w:rPr>
        <w:t>运</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营期无生活污水、生活垃圾等污染物产生</w:t>
      </w:r>
      <w:r>
        <w:rPr>
          <w:rFonts w:hint="eastAsia" w:cs="Times New Roman" w:eastAsiaTheme="minorEastAsia"/>
          <w:color w:val="000000" w:themeColor="text1"/>
          <w:sz w:val="24"/>
          <w:highlight w:val="none"/>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highlight w:val="none"/>
          <w:lang w:val="en-US" w:eastAsia="zh-CN"/>
          <w14:textFill>
            <w14:solidFill>
              <w14:schemeClr w14:val="tx1"/>
            </w14:solidFill>
          </w14:textFill>
        </w:rPr>
        <w:t>项目采用永磁风机；箱式变压器均采用干式变压器，无变压器废油产生。</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项目建设对水源保护区的水质可能存在污染风险，在严格落实相应环保措施及风险防范措施后，项目建设对水源保护区影响可接受。项目符合《中华人民共和国水污染防治法》《饮用水水源保护区污染防治管理规定》(2010 年修正本)《集中式饮用水水源环境保护指南(试行)》(环办〔2012〕50号)《乌鲁木齐市饮用水水源保护条例》(2024年1月1日)等水源保护区的相关要求。</w:t>
      </w:r>
    </w:p>
    <w:p w14:paraId="5ACD00D2">
      <w:pPr>
        <w:keepNext w:val="0"/>
        <w:keepLines w:val="0"/>
        <w:pageBreakBefore w:val="0"/>
        <w:widowControl w:val="0"/>
        <w:kinsoku/>
        <w:wordWrap w:val="0"/>
        <w:overflowPunct/>
        <w:topLinePunct/>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bookmarkStart w:id="93" w:name="_Toc29593"/>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综上，本项目评价范围内不涉及生态敏感区，但项目占用</w:t>
      </w:r>
      <w:r>
        <w:rPr>
          <w:rFonts w:hint="eastAsia" w:ascii="宋体" w:hAnsi="宋体" w:eastAsia="宋体" w:cs="宋体"/>
          <w:color w:val="000000" w:themeColor="text1"/>
          <w:sz w:val="24"/>
          <w:lang w:val="en-US" w:eastAsia="zh-CN"/>
          <w14:textFill>
            <w14:solidFill>
              <w14:schemeClr w14:val="tx1"/>
            </w14:solidFill>
          </w14:textFill>
        </w:rPr>
        <w:t>西山地下饮用水源地二级保护区、</w:t>
      </w:r>
      <w:r>
        <w:rPr>
          <w:rFonts w:hint="eastAsia" w:ascii="宋体" w:hAnsi="宋体" w:eastAsia="宋体"/>
          <w:color w:val="000000" w:themeColor="text1"/>
          <w:sz w:val="24"/>
          <w14:textFill>
            <w14:solidFill>
              <w14:schemeClr w14:val="tx1"/>
            </w14:solidFill>
          </w14:textFill>
        </w:rPr>
        <w:t>甘河子（含铁路专供）</w:t>
      </w:r>
      <w:r>
        <w:rPr>
          <w:rFonts w:hint="eastAsia" w:ascii="宋体" w:hAnsi="宋体" w:eastAsia="宋体"/>
          <w:color w:val="000000" w:themeColor="text1"/>
          <w:sz w:val="24"/>
          <w:lang w:val="en-US" w:eastAsia="zh-CN"/>
          <w14:textFill>
            <w14:solidFill>
              <w14:schemeClr w14:val="tx1"/>
            </w14:solidFill>
          </w14:textFill>
        </w:rPr>
        <w:t>地下饮用</w:t>
      </w:r>
      <w:r>
        <w:rPr>
          <w:rFonts w:hint="eastAsia" w:ascii="宋体" w:hAnsi="宋体" w:eastAsia="宋体"/>
          <w:color w:val="000000" w:themeColor="text1"/>
          <w:sz w:val="24"/>
          <w14:textFill>
            <w14:solidFill>
              <w14:schemeClr w14:val="tx1"/>
            </w14:solidFill>
          </w14:textFill>
        </w:rPr>
        <w:t>水源地</w:t>
      </w:r>
      <w:r>
        <w:rPr>
          <w:rFonts w:hint="eastAsia" w:ascii="宋体" w:hAnsi="宋体" w:eastAsia="宋体"/>
          <w:color w:val="000000" w:themeColor="text1"/>
          <w:sz w:val="24"/>
          <w:lang w:val="en-US" w:eastAsia="zh-CN"/>
          <w14:textFill>
            <w14:solidFill>
              <w14:schemeClr w14:val="tx1"/>
            </w14:solidFill>
          </w14:textFill>
        </w:rPr>
        <w:t>二级保护区、</w:t>
      </w:r>
      <w:r>
        <w:rPr>
          <w:rFonts w:hint="eastAsia" w:cs="Times New Roman" w:eastAsiaTheme="minorEastAsia"/>
          <w:color w:val="000000" w:themeColor="text1"/>
          <w:sz w:val="24"/>
          <w:highlight w:val="none"/>
          <w:lang w:val="en-US" w:eastAsia="zh-CN"/>
          <w14:textFill>
            <w14:solidFill>
              <w14:schemeClr w14:val="tx1"/>
            </w14:solidFill>
          </w14:textFill>
        </w:rPr>
        <w:t>乌拉泊、柴西、柴北、西山、甘河子（含铁路专供）准保护区</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，需重点关注项目建设对水源保护区的影响及措施可行性。项目施工扰动地貌，破坏植被，产生水土流失等影响，运营期升压站及输电线路产生电磁及噪声影响，以及项目营运干扰鸟类等动物、造成景观</w:t>
      </w:r>
      <w:r>
        <w:rPr>
          <w:rFonts w:hint="eastAsia" w:cs="Times New Roman" w:eastAsiaTheme="minorEastAsia"/>
          <w:color w:val="000000" w:themeColor="text1"/>
          <w:sz w:val="24"/>
          <w:highlight w:val="none"/>
          <w:lang w:val="en-US" w:eastAsia="zh-CN"/>
          <w14:textFill>
            <w14:solidFill>
              <w14:schemeClr w14:val="tx1"/>
            </w14:solidFill>
          </w14:textFill>
        </w:rPr>
        <w:t>等的</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影响。</w:t>
      </w:r>
    </w:p>
    <w:p w14:paraId="26F8E505">
      <w:pPr>
        <w:pStyle w:val="4"/>
        <w:keepNext/>
        <w:keepLines/>
        <w:pageBreakBefore w:val="0"/>
        <w:widowControl w:val="0"/>
        <w:numPr>
          <w:ilvl w:val="0"/>
          <w:numId w:val="0"/>
        </w:numPr>
        <w:tabs>
          <w:tab w:val="left" w:pos="630"/>
          <w:tab w:val="left" w:pos="3403"/>
        </w:tabs>
        <w:kinsoku/>
        <w:wordWrap w:val="0"/>
        <w:overflowPunct/>
        <w:topLinePunct w:val="0"/>
        <w:autoSpaceDE/>
        <w:autoSpaceDN/>
        <w:bidi w:val="0"/>
        <w:adjustRightInd/>
        <w:snapToGrid/>
        <w:spacing w:before="0" w:beforeLines="0" w:after="0" w:afterLines="0" w:line="360" w:lineRule="auto"/>
        <w:ind w:left="0" w:leftChars="0"/>
        <w:textAlignment w:val="auto"/>
        <w:outlineLvl w:val="1"/>
        <w:rPr>
          <w:rFonts w:hint="default" w:ascii="Times New Roman" w:hAnsi="Times New Roman" w:cs="Times New Roman" w:eastAsiaTheme="minorEastAsia"/>
          <w:color w:val="000000" w:themeColor="text1"/>
          <w:sz w:val="30"/>
          <w:highlight w:val="none"/>
          <w:lang w:val="en-US" w:eastAsia="zh-CN"/>
          <w14:textFill>
            <w14:solidFill>
              <w14:schemeClr w14:val="tx1"/>
            </w14:solidFill>
          </w14:textFill>
        </w:rPr>
      </w:pPr>
      <w:bookmarkStart w:id="94" w:name="_Toc18449"/>
      <w:bookmarkStart w:id="95" w:name="_Toc27408"/>
      <w:bookmarkStart w:id="96" w:name="_Toc6437"/>
      <w:bookmarkStart w:id="97" w:name="_Toc5728"/>
      <w:bookmarkStart w:id="98" w:name="_Toc591"/>
      <w:bookmarkStart w:id="99" w:name="_Toc30521"/>
      <w:bookmarkStart w:id="100" w:name="_Toc26474"/>
      <w:bookmarkStart w:id="101" w:name="_Toc28857"/>
      <w:bookmarkStart w:id="102" w:name="_Toc28107"/>
      <w:r>
        <w:rPr>
          <w:rFonts w:hint="default" w:ascii="Times New Roman" w:hAnsi="Times New Roman" w:cs="Times New Roman" w:eastAsiaTheme="minorEastAsia"/>
          <w:color w:val="000000" w:themeColor="text1"/>
          <w:sz w:val="30"/>
          <w:highlight w:val="none"/>
          <w:lang w:val="en-US" w:eastAsia="zh-CN"/>
          <w14:textFill>
            <w14:solidFill>
              <w14:schemeClr w14:val="tx1"/>
            </w14:solidFill>
          </w14:textFill>
        </w:rPr>
        <w:t>1.3 分析判定相关情况</w:t>
      </w:r>
      <w:bookmarkEnd w:id="94"/>
      <w:bookmarkEnd w:id="95"/>
      <w:bookmarkEnd w:id="96"/>
      <w:bookmarkEnd w:id="97"/>
      <w:bookmarkEnd w:id="98"/>
      <w:bookmarkEnd w:id="99"/>
      <w:bookmarkEnd w:id="100"/>
    </w:p>
    <w:p w14:paraId="198BD1CF">
      <w:pPr>
        <w:keepNext w:val="0"/>
        <w:keepLines w:val="0"/>
        <w:pageBreakBefore w:val="0"/>
        <w:widowControl w:val="0"/>
        <w:kinsoku/>
        <w:wordWrap w:val="0"/>
        <w:overflowPunct/>
        <w:topLinePunct/>
        <w:autoSpaceDE/>
        <w:autoSpaceDN/>
        <w:bidi w:val="0"/>
        <w:adjustRightInd/>
        <w:snapToGrid/>
        <w:spacing w:line="360" w:lineRule="auto"/>
        <w:ind w:left="0" w:leftChars="0" w:firstLine="480" w:firstLineChars="200"/>
        <w:textAlignment w:val="auto"/>
        <w:outlineLvl w:val="9"/>
        <w:rPr>
          <w:rFonts w:hint="default" w:ascii="Times New Roman" w:hAnsi="Times New Roman" w:cs="Times New Roman" w:eastAsiaTheme="minorEastAsia"/>
          <w:color w:val="FF0000"/>
          <w:sz w:val="24"/>
          <w:highlight w:val="none"/>
          <w:lang w:val="en-US" w:eastAsia="zh-CN"/>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本项目为风力发电工程，不属于《产业结构调整指导目录(2024年本)》(国家发展和改革委员会令第7号)中规定的“鼓励类”“限制类”及“淘汰类”，视为允许类项目，符合国家产业政策。</w:t>
      </w:r>
    </w:p>
    <w:p w14:paraId="448C47BF">
      <w:pPr>
        <w:keepNext w:val="0"/>
        <w:keepLines w:val="0"/>
        <w:pageBreakBefore w:val="0"/>
        <w:widowControl w:val="0"/>
        <w:numPr>
          <w:ilvl w:val="0"/>
          <w:numId w:val="0"/>
        </w:numPr>
        <w:kinsoku/>
        <w:wordWrap/>
        <w:overflowPunct/>
        <w:topLinePunct/>
        <w:autoSpaceDE/>
        <w:autoSpaceDN/>
        <w:bidi w:val="0"/>
        <w:adjustRightInd w:val="0"/>
        <w:snapToGrid w:val="0"/>
        <w:spacing w:line="360" w:lineRule="auto"/>
        <w:ind w:leftChars="0" w:firstLine="480" w:firstLineChars="200"/>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本项目拟建的20台风机中13台风机分别</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占用</w:t>
      </w:r>
      <w:r>
        <w:rPr>
          <w:rFonts w:hint="eastAsia" w:ascii="宋体" w:hAnsi="宋体" w:eastAsia="宋体" w:cs="宋体"/>
          <w:color w:val="000000" w:themeColor="text1"/>
          <w:sz w:val="24"/>
          <w:lang w:val="en-US" w:eastAsia="zh-CN"/>
          <w14:textFill>
            <w14:solidFill>
              <w14:schemeClr w14:val="tx1"/>
            </w14:solidFill>
          </w14:textFill>
        </w:rPr>
        <w:t>西山地下饮用水源地二级保护区、</w:t>
      </w:r>
      <w:r>
        <w:rPr>
          <w:rFonts w:hint="eastAsia" w:ascii="宋体" w:hAnsi="宋体" w:eastAsia="宋体"/>
          <w:color w:val="000000" w:themeColor="text1"/>
          <w:sz w:val="24"/>
          <w14:textFill>
            <w14:solidFill>
              <w14:schemeClr w14:val="tx1"/>
            </w14:solidFill>
          </w14:textFill>
        </w:rPr>
        <w:t>甘河子（含铁路专供）</w:t>
      </w:r>
      <w:r>
        <w:rPr>
          <w:rFonts w:hint="eastAsia" w:ascii="宋体" w:hAnsi="宋体" w:eastAsia="宋体"/>
          <w:color w:val="000000" w:themeColor="text1"/>
          <w:sz w:val="24"/>
          <w:lang w:val="en-US" w:eastAsia="zh-CN"/>
          <w14:textFill>
            <w14:solidFill>
              <w14:schemeClr w14:val="tx1"/>
            </w14:solidFill>
          </w14:textFill>
        </w:rPr>
        <w:t>地下饮用</w:t>
      </w:r>
      <w:r>
        <w:rPr>
          <w:rFonts w:hint="eastAsia" w:ascii="宋体" w:hAnsi="宋体" w:eastAsia="宋体"/>
          <w:color w:val="000000" w:themeColor="text1"/>
          <w:sz w:val="24"/>
          <w14:textFill>
            <w14:solidFill>
              <w14:schemeClr w14:val="tx1"/>
            </w14:solidFill>
          </w14:textFill>
        </w:rPr>
        <w:t>水源地</w:t>
      </w:r>
      <w:r>
        <w:rPr>
          <w:rFonts w:hint="eastAsia" w:ascii="宋体" w:hAnsi="宋体" w:eastAsia="宋体"/>
          <w:color w:val="000000" w:themeColor="text1"/>
          <w:sz w:val="24"/>
          <w:lang w:val="en-US" w:eastAsia="zh-CN"/>
          <w14:textFill>
            <w14:solidFill>
              <w14:schemeClr w14:val="tx1"/>
            </w14:solidFill>
          </w14:textFill>
        </w:rPr>
        <w:t>二级保护区、</w:t>
      </w:r>
      <w:r>
        <w:rPr>
          <w:rFonts w:hint="eastAsia" w:cs="Times New Roman" w:eastAsiaTheme="minorEastAsia"/>
          <w:color w:val="000000" w:themeColor="text1"/>
          <w:sz w:val="24"/>
          <w:highlight w:val="none"/>
          <w:lang w:val="en-US" w:eastAsia="zh-CN"/>
          <w14:textFill>
            <w14:solidFill>
              <w14:schemeClr w14:val="tx1"/>
            </w14:solidFill>
          </w14:textFill>
        </w:rPr>
        <w:t>乌拉泊、柴西、柴北、西山、甘河子（含铁路专供）准保护区</w:t>
      </w:r>
      <w:r>
        <w:rPr>
          <w:rFonts w:hint="eastAsia" w:ascii="宋体" w:hAnsi="宋体" w:eastAsia="宋体" w:cs="宋体"/>
          <w:color w:val="000000" w:themeColor="text1"/>
          <w:sz w:val="24"/>
          <w:szCs w:val="24"/>
          <w:highlight w:val="none"/>
          <w:lang w:val="en-US" w:eastAsia="zh-CN"/>
          <w14:textFill>
            <w14:solidFill>
              <w14:schemeClr w14:val="tx1"/>
            </w14:solidFill>
          </w14:textFill>
        </w:rPr>
        <w:t>。项目箱式变压器均使用干式变压器，无变压器废油。项目选址符合《中华人民共和国水污染防治法》《饮用水水源保护区污染防治管理规定》(2010年修正本)《集中式饮用水水源环境保护指南(试行)》(环办〔2012〕50号)</w:t>
      </w: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《新疆维吾尔自治区实施&lt;中华人民共和国水污染防治法&gt;办法》(2023年6月1日)</w:t>
      </w:r>
      <w:r>
        <w:rPr>
          <w:rFonts w:hint="eastAsia" w:ascii="宋体" w:hAnsi="宋体" w:eastAsia="宋体" w:cs="宋体"/>
          <w:color w:val="000000" w:themeColor="text1"/>
          <w:sz w:val="24"/>
          <w:szCs w:val="24"/>
          <w:highlight w:val="none"/>
          <w:lang w:val="en-US" w:eastAsia="zh-CN"/>
          <w14:textFill>
            <w14:solidFill>
              <w14:schemeClr w14:val="tx1"/>
            </w14:solidFill>
          </w14:textFill>
        </w:rPr>
        <w:t>《乌鲁木齐市饮用水水源保护条例》(2024年1月1日)等水源保护区的相关要求。</w:t>
      </w:r>
    </w:p>
    <w:p w14:paraId="17D2E71B">
      <w:pPr>
        <w:keepNext w:val="0"/>
        <w:keepLines w:val="0"/>
        <w:pageBreakBefore w:val="0"/>
        <w:widowControl w:val="0"/>
        <w:kinsoku/>
        <w:wordWrap w:val="0"/>
        <w:overflowPunct/>
        <w:topLinePunct/>
        <w:autoSpaceDE/>
        <w:autoSpaceDN/>
        <w:bidi w:val="0"/>
        <w:adjustRightInd/>
        <w:snapToGrid w:val="0"/>
        <w:spacing w:line="360" w:lineRule="auto"/>
        <w:ind w:left="0" w:leftChars="0" w:firstLine="480" w:firstLineChars="200"/>
        <w:textAlignment w:val="auto"/>
        <w:outlineLvl w:val="9"/>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本项目符合《乌鲁木齐市生态环境分区管控动态更新成果(2023)》，符合《新疆维吾尔自治区“十四五”电力发展规划》《乌鲁木齐市生态环境保护“十四五”规划》等相关行业、环保规划。</w:t>
      </w:r>
    </w:p>
    <w:p w14:paraId="0CBE3735">
      <w:pPr>
        <w:keepNext w:val="0"/>
        <w:keepLines w:val="0"/>
        <w:pageBreakBefore w:val="0"/>
        <w:widowControl w:val="0"/>
        <w:kinsoku/>
        <w:wordWrap w:val="0"/>
        <w:overflowPunct/>
        <w:topLinePunct/>
        <w:autoSpaceDE/>
        <w:autoSpaceDN/>
        <w:bidi w:val="0"/>
        <w:adjustRightInd/>
        <w:snapToGrid w:val="0"/>
        <w:spacing w:line="360" w:lineRule="auto"/>
        <w:ind w:left="0" w:leftChars="0" w:firstLine="480" w:firstLineChars="200"/>
        <w:textAlignment w:val="auto"/>
        <w:outlineLvl w:val="9"/>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综上，项目建设符合行业环境准入条件，符合现行环境保护规划政策、法规要求。</w:t>
      </w:r>
    </w:p>
    <w:p w14:paraId="2E660617">
      <w:pPr>
        <w:pStyle w:val="4"/>
        <w:pageBreakBefore w:val="0"/>
        <w:widowControl w:val="0"/>
        <w:numPr>
          <w:ilvl w:val="0"/>
          <w:numId w:val="0"/>
        </w:numPr>
        <w:tabs>
          <w:tab w:val="left" w:pos="630"/>
          <w:tab w:val="left" w:pos="3403"/>
        </w:tabs>
        <w:kinsoku/>
        <w:wordWrap w:val="0"/>
        <w:overflowPunct/>
        <w:topLinePunct w:val="0"/>
        <w:autoSpaceDE/>
        <w:autoSpaceDN/>
        <w:bidi w:val="0"/>
        <w:adjustRightInd/>
        <w:snapToGrid w:val="0"/>
        <w:spacing w:beforeLines="0" w:after="0" w:afterLines="0" w:line="360" w:lineRule="auto"/>
        <w:ind w:leftChars="0"/>
        <w:textAlignment w:val="auto"/>
        <w:outlineLvl w:val="1"/>
        <w:rPr>
          <w:rFonts w:hint="default" w:ascii="Times New Roman" w:hAnsi="Times New Roman" w:cs="Times New Roman" w:eastAsiaTheme="minorEastAsia"/>
          <w:color w:val="000000" w:themeColor="text1"/>
          <w:sz w:val="30"/>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30"/>
          <w:highlight w:val="none"/>
          <w:lang w:val="en-US" w:eastAsia="zh-CN"/>
          <w14:textFill>
            <w14:solidFill>
              <w14:schemeClr w14:val="tx1"/>
            </w14:solidFill>
          </w14:textFill>
        </w:rPr>
        <w:t>1.2 评价工作过程</w:t>
      </w:r>
      <w:bookmarkEnd w:id="88"/>
      <w:bookmarkEnd w:id="89"/>
      <w:bookmarkEnd w:id="90"/>
      <w:bookmarkEnd w:id="91"/>
      <w:bookmarkEnd w:id="92"/>
      <w:bookmarkEnd w:id="93"/>
      <w:bookmarkEnd w:id="101"/>
      <w:bookmarkEnd w:id="102"/>
    </w:p>
    <w:p w14:paraId="134C3B98">
      <w:pPr>
        <w:keepNext w:val="0"/>
        <w:keepLines w:val="0"/>
        <w:pageBreakBefore w:val="0"/>
        <w:widowControl w:val="0"/>
        <w:kinsoku/>
        <w:wordWrap/>
        <w:overflowPunct w:val="0"/>
        <w:topLinePunct/>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根据《中华人民共和国环境保护法》（2015年1月1日）《中华人民共和国环境影响评价法》（2018年修）《建设项目环境保护管理条例》（2017年10月1日），本项目需开展建设项目环境影响评价工作。本项目</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属于风力发电项目</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项目类别属于</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《建设项目环境影响评价分类管理名录》（2021版）中的“四十一、电力、热力生产和供应业90陆上风力发电4415。本</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项目</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涉及水源地二级保护区</w:t>
      </w:r>
      <w:r>
        <w:rPr>
          <w:rFonts w:hint="eastAsia" w:eastAsia="宋体" w:cs="Times New Roman"/>
          <w:color w:val="000000" w:themeColor="text1"/>
          <w:sz w:val="24"/>
          <w:szCs w:val="24"/>
          <w:highlight w:val="none"/>
          <w:lang w:val="en-US" w:eastAsia="zh-CN"/>
          <w14:textFill>
            <w14:solidFill>
              <w14:schemeClr w14:val="tx1"/>
            </w14:solidFill>
          </w14:textFill>
        </w:rPr>
        <w:t>和准保护区，</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且风电场装机容量1</w:t>
      </w:r>
      <w:r>
        <w:rPr>
          <w:rFonts w:hint="eastAsia" w:cs="Times New Roman"/>
          <w:color w:val="000000" w:themeColor="text1"/>
          <w:sz w:val="24"/>
          <w:szCs w:val="24"/>
          <w:highlight w:val="none"/>
          <w:lang w:val="en-US" w:eastAsia="zh-CN"/>
          <w14:textFill>
            <w14:solidFill>
              <w14:schemeClr w14:val="tx1"/>
            </w14:solidFill>
          </w14:textFill>
        </w:rPr>
        <w:t>5</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万千瓦，根据</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《建设项目环境影响评价分类管理名录》（2021版）</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涉及环境敏感区的总装机容量5万千瓦及以上的陆上风力发电环评类别为报告书，因此，本项目需编制环境影响报告书。</w:t>
      </w:r>
    </w:p>
    <w:p w14:paraId="4CE46022">
      <w:pPr>
        <w:keepNext w:val="0"/>
        <w:keepLines w:val="0"/>
        <w:pageBreakBefore w:val="0"/>
        <w:widowControl w:val="0"/>
        <w:kinsoku/>
        <w:wordWrap/>
        <w:overflowPunct w:val="0"/>
        <w:topLinePunct/>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202</w:t>
      </w:r>
      <w:r>
        <w:rPr>
          <w:rFonts w:hint="eastAsia" w:ascii="Times New Roman" w:hAnsi="Times New Roman" w:cs="Times New Roman" w:eastAsiaTheme="minorEastAsia"/>
          <w:color w:val="000000" w:themeColor="text1"/>
          <w:sz w:val="24"/>
          <w:highlight w:val="none"/>
          <w:lang w:val="en-US" w:eastAsia="zh-CN"/>
          <w14:textFill>
            <w14:solidFill>
              <w14:schemeClr w14:val="tx1"/>
            </w14:solidFill>
          </w14:textFill>
        </w:rPr>
        <w:t>5</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年</w:t>
      </w:r>
      <w:r>
        <w:rPr>
          <w:rFonts w:hint="eastAsia" w:ascii="Times New Roman" w:hAnsi="Times New Roman" w:cs="Times New Roman" w:eastAsiaTheme="minorEastAsia"/>
          <w:color w:val="000000" w:themeColor="text1"/>
          <w:sz w:val="24"/>
          <w:highlight w:val="none"/>
          <w:lang w:val="en-US" w:eastAsia="zh-CN"/>
          <w14:textFill>
            <w14:solidFill>
              <w14:schemeClr w14:val="tx1"/>
            </w14:solidFill>
          </w14:textFill>
        </w:rPr>
        <w:t>7</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月，</w:t>
      </w:r>
      <w:r>
        <w:rPr>
          <w:rFonts w:hint="eastAsia" w:ascii="Times New Roman" w:hAnsi="Times New Roman" w:cs="Times New Roman" w:eastAsiaTheme="minorEastAsia"/>
          <w:color w:val="000000" w:themeColor="text1"/>
          <w:sz w:val="24"/>
          <w:highlight w:val="none"/>
          <w:lang w:val="en-US" w:eastAsia="zh-CN"/>
          <w14:textFill>
            <w14:solidFill>
              <w14:schemeClr w14:val="tx1"/>
            </w14:solidFill>
          </w14:textFill>
        </w:rPr>
        <w:t>乌鲁木齐市沙依巴克区电投融和新</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能源</w:t>
      </w:r>
      <w:r>
        <w:rPr>
          <w:rFonts w:hint="eastAsia" w:ascii="Times New Roman" w:hAnsi="Times New Roman" w:cs="Times New Roman" w:eastAsiaTheme="minorEastAsia"/>
          <w:color w:val="000000" w:themeColor="text1"/>
          <w:sz w:val="24"/>
          <w:highlight w:val="none"/>
          <w:lang w:val="en-US" w:eastAsia="zh-CN"/>
          <w14:textFill>
            <w14:solidFill>
              <w14:schemeClr w14:val="tx1"/>
            </w14:solidFill>
          </w14:textFill>
        </w:rPr>
        <w:t>有</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限公司委托</w:t>
      </w:r>
      <w:r>
        <w:rPr>
          <w:rFonts w:hint="eastAsia" w:ascii="Times New Roman" w:hAnsi="Times New Roman" w:cs="Times New Roman" w:eastAsiaTheme="minorEastAsia"/>
          <w:color w:val="000000" w:themeColor="text1"/>
          <w:sz w:val="24"/>
          <w:highlight w:val="none"/>
          <w:lang w:val="en-US" w:eastAsia="zh-CN"/>
          <w14:textFill>
            <w14:solidFill>
              <w14:schemeClr w14:val="tx1"/>
            </w14:solidFill>
          </w14:textFill>
        </w:rPr>
        <w:t>新疆众智安环工程咨询服务有限公司</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以下简称“我公司”)开展本项目环境影响评价工作。我公司接受环评任务后，成立该项目的环评小组，对项目认真分析研究，收集相关资料。在此基础上，依据有关环评技术导则进行环境影响评价，编制完成本项目环境影响报告书。</w:t>
      </w:r>
    </w:p>
    <w:p w14:paraId="4BB6EF38">
      <w:pPr>
        <w:pageBreakBefore w:val="0"/>
        <w:widowControl w:val="0"/>
        <w:tabs>
          <w:tab w:val="left" w:pos="945"/>
        </w:tabs>
        <w:kinsoku/>
        <w:wordWrap/>
        <w:overflowPunct/>
        <w:topLinePunct w:val="0"/>
        <w:bidi w:val="0"/>
        <w:spacing w:before="0" w:after="0" w:line="360" w:lineRule="auto"/>
        <w:ind w:left="0" w:leftChars="0" w:firstLine="0" w:firstLineChars="0"/>
        <w:jc w:val="center"/>
        <w:textAlignment w:val="auto"/>
        <w:rPr>
          <w:rFonts w:hint="default" w:ascii="Times New Roman" w:hAnsi="Times New Roman" w:cs="Times New Roman" w:eastAsiaTheme="minorEastAsia"/>
          <w:bCs/>
          <w:color w:val="FF0000"/>
          <w:szCs w:val="24"/>
          <w:highlight w:val="none"/>
        </w:rPr>
      </w:pPr>
      <w:r>
        <w:rPr>
          <w:rFonts w:hint="default" w:ascii="Times New Roman" w:hAnsi="Times New Roman" w:cs="Times New Roman" w:eastAsiaTheme="minorEastAsia"/>
          <w:color w:val="FF0000"/>
          <w:highlight w:val="none"/>
        </w:rPr>
        <w:drawing>
          <wp:inline distT="0" distB="0" distL="114300" distR="114300">
            <wp:extent cx="5730240" cy="5492115"/>
            <wp:effectExtent l="0" t="0" r="3810" b="13335"/>
            <wp:docPr id="87" name="图片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278"/>
                    <pic:cNvPicPr>
                      <a:picLocks noChangeAspect="1"/>
                    </pic:cNvPicPr>
                  </pic:nvPicPr>
                  <pic:blipFill>
                    <a:blip r:embed="rId24"/>
                    <a:stretch>
                      <a:fillRect/>
                    </a:stretch>
                  </pic:blipFill>
                  <pic:spPr>
                    <a:xfrm>
                      <a:off x="0" y="0"/>
                      <a:ext cx="5730240" cy="5492115"/>
                    </a:xfrm>
                    <a:prstGeom prst="rect">
                      <a:avLst/>
                    </a:prstGeom>
                    <a:noFill/>
                    <a:ln>
                      <a:noFill/>
                    </a:ln>
                  </pic:spPr>
                </pic:pic>
              </a:graphicData>
            </a:graphic>
          </wp:inline>
        </w:drawing>
      </w:r>
    </w:p>
    <w:p w14:paraId="45E8C1AE">
      <w:pPr>
        <w:spacing w:line="360" w:lineRule="auto"/>
        <w:ind w:left="0" w:leftChars="0"/>
        <w:jc w:val="center"/>
        <w:rPr>
          <w:rFonts w:hint="default" w:ascii="Times New Roman" w:hAnsi="Times New Roman" w:cs="Times New Roman" w:eastAsiaTheme="minorEastAsia"/>
          <w:b/>
          <w:color w:val="000000" w:themeColor="text1"/>
          <w:kern w:val="2"/>
          <w:sz w:val="24"/>
          <w:szCs w:val="24"/>
          <w:highlight w:val="none"/>
          <w:lang w:bidi="ar-SA"/>
          <w14:textFill>
            <w14:solidFill>
              <w14:schemeClr w14:val="tx1"/>
            </w14:solidFill>
          </w14:textFill>
        </w:rPr>
      </w:pPr>
      <w:r>
        <w:rPr>
          <w:rFonts w:hint="default" w:ascii="Times New Roman" w:hAnsi="Times New Roman" w:cs="Times New Roman" w:eastAsiaTheme="minorEastAsia"/>
          <w:b/>
          <w:color w:val="000000" w:themeColor="text1"/>
          <w:kern w:val="2"/>
          <w:sz w:val="24"/>
          <w:szCs w:val="24"/>
          <w:highlight w:val="none"/>
          <w:lang w:bidi="ar-SA"/>
          <w14:textFill>
            <w14:solidFill>
              <w14:schemeClr w14:val="tx1"/>
            </w14:solidFill>
          </w14:textFill>
        </w:rPr>
        <w:t>图1</w:t>
      </w:r>
      <w:r>
        <w:rPr>
          <w:rFonts w:hint="default" w:ascii="Times New Roman" w:hAnsi="Times New Roman" w:cs="Times New Roman" w:eastAsiaTheme="minorEastAsia"/>
          <w:b/>
          <w:color w:val="000000" w:themeColor="text1"/>
          <w:kern w:val="2"/>
          <w:sz w:val="24"/>
          <w:szCs w:val="24"/>
          <w:highlight w:val="none"/>
          <w:lang w:val="en-US" w:eastAsia="zh-CN" w:bidi="ar-SA"/>
          <w14:textFill>
            <w14:solidFill>
              <w14:schemeClr w14:val="tx1"/>
            </w14:solidFill>
          </w14:textFill>
        </w:rPr>
        <w:t>.2</w:t>
      </w:r>
      <w:r>
        <w:rPr>
          <w:rFonts w:hint="default" w:ascii="Times New Roman" w:hAnsi="Times New Roman" w:cs="Times New Roman" w:eastAsiaTheme="minorEastAsia"/>
          <w:b/>
          <w:color w:val="000000" w:themeColor="text1"/>
          <w:kern w:val="2"/>
          <w:sz w:val="24"/>
          <w:szCs w:val="24"/>
          <w:highlight w:val="none"/>
          <w:lang w:bidi="ar-SA"/>
          <w14:textFill>
            <w14:solidFill>
              <w14:schemeClr w14:val="tx1"/>
            </w14:solidFill>
          </w14:textFill>
        </w:rPr>
        <w:t>-1    环境影响评价工作程序图</w:t>
      </w:r>
    </w:p>
    <w:p w14:paraId="38EFDBFE">
      <w:pPr>
        <w:pStyle w:val="8"/>
        <w:keepNext w:val="0"/>
        <w:keepLines w:val="0"/>
        <w:pageBreakBefore w:val="0"/>
        <w:widowControl w:val="0"/>
        <w:kinsoku/>
        <w:wordWrap/>
        <w:overflowPunct/>
        <w:topLinePunct w:val="0"/>
        <w:autoSpaceDE/>
        <w:autoSpaceDN/>
        <w:bidi w:val="0"/>
        <w:adjustRightInd/>
        <w:snapToGrid w:val="0"/>
        <w:spacing w:line="360" w:lineRule="auto"/>
        <w:ind w:left="0" w:leftChars="0"/>
        <w:textAlignment w:val="auto"/>
        <w:rPr>
          <w:rFonts w:hint="default" w:ascii="Times New Roman" w:hAnsi="Times New Roman" w:cs="Times New Roman" w:eastAsiaTheme="minorEastAsia"/>
          <w:color w:val="FF0000"/>
          <w:highlight w:val="none"/>
        </w:rPr>
      </w:pPr>
    </w:p>
    <w:bookmarkEnd w:id="82"/>
    <w:bookmarkEnd w:id="83"/>
    <w:bookmarkEnd w:id="84"/>
    <w:bookmarkEnd w:id="85"/>
    <w:bookmarkEnd w:id="86"/>
    <w:bookmarkEnd w:id="87"/>
    <w:p w14:paraId="5017EF09">
      <w:pPr>
        <w:pStyle w:val="4"/>
        <w:keepNext/>
        <w:keepLines/>
        <w:pageBreakBefore w:val="0"/>
        <w:widowControl w:val="0"/>
        <w:numPr>
          <w:ilvl w:val="0"/>
          <w:numId w:val="0"/>
        </w:numPr>
        <w:tabs>
          <w:tab w:val="left" w:pos="630"/>
          <w:tab w:val="left" w:pos="3403"/>
        </w:tabs>
        <w:kinsoku/>
        <w:wordWrap w:val="0"/>
        <w:overflowPunct/>
        <w:topLinePunct w:val="0"/>
        <w:autoSpaceDE/>
        <w:autoSpaceDN/>
        <w:bidi w:val="0"/>
        <w:adjustRightInd/>
        <w:snapToGrid w:val="0"/>
        <w:spacing w:beforeLines="0" w:after="0" w:afterLines="0" w:line="360" w:lineRule="auto"/>
        <w:ind w:left="0" w:leftChars="0"/>
        <w:textAlignment w:val="auto"/>
        <w:outlineLvl w:val="1"/>
        <w:rPr>
          <w:rFonts w:hint="default" w:ascii="Times New Roman" w:hAnsi="Times New Roman" w:cs="Times New Roman" w:eastAsiaTheme="minorEastAsia"/>
          <w:color w:val="000000" w:themeColor="text1"/>
          <w:sz w:val="30"/>
          <w:highlight w:val="none"/>
          <w:lang w:val="en-US" w:eastAsia="zh-CN"/>
          <w14:textFill>
            <w14:solidFill>
              <w14:schemeClr w14:val="tx1"/>
            </w14:solidFill>
          </w14:textFill>
        </w:rPr>
      </w:pPr>
      <w:bookmarkStart w:id="103" w:name="_Toc7660"/>
      <w:bookmarkStart w:id="104" w:name="_Toc2675"/>
      <w:bookmarkStart w:id="105" w:name="_Toc23806"/>
      <w:bookmarkStart w:id="106" w:name="_Toc19398"/>
      <w:bookmarkStart w:id="107" w:name="_Toc26476"/>
      <w:bookmarkStart w:id="108" w:name="_Toc10074"/>
      <w:bookmarkStart w:id="109" w:name="_Toc15667"/>
      <w:bookmarkStart w:id="110" w:name="_Toc29878"/>
      <w:r>
        <w:rPr>
          <w:rFonts w:hint="default" w:ascii="Times New Roman" w:hAnsi="Times New Roman" w:cs="Times New Roman" w:eastAsiaTheme="minorEastAsia"/>
          <w:color w:val="000000" w:themeColor="text1"/>
          <w:sz w:val="30"/>
          <w:highlight w:val="none"/>
          <w:lang w:val="en-US" w:eastAsia="zh-CN"/>
          <w14:textFill>
            <w14:solidFill>
              <w14:schemeClr w14:val="tx1"/>
            </w14:solidFill>
          </w14:textFill>
        </w:rPr>
        <w:t>1.4 关注的主要环境问题</w:t>
      </w:r>
      <w:bookmarkEnd w:id="103"/>
      <w:bookmarkEnd w:id="104"/>
      <w:bookmarkEnd w:id="105"/>
      <w:bookmarkEnd w:id="106"/>
      <w:bookmarkEnd w:id="107"/>
      <w:bookmarkEnd w:id="108"/>
      <w:bookmarkEnd w:id="109"/>
      <w:bookmarkEnd w:id="110"/>
    </w:p>
    <w:p w14:paraId="0BB9A94A">
      <w:pPr>
        <w:keepNext w:val="0"/>
        <w:keepLines w:val="0"/>
        <w:pageBreakBefore w:val="0"/>
        <w:widowControl w:val="0"/>
        <w:kinsoku/>
        <w:wordWrap w:val="0"/>
        <w:overflowPunct/>
        <w:topLinePunct/>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本项目占用土地利用类型为天然牧草地</w:t>
      </w:r>
      <w:r>
        <w:rPr>
          <w:rFonts w:hint="eastAsia" w:cs="Times New Roman" w:eastAsiaTheme="minorEastAsia"/>
          <w:color w:val="000000" w:themeColor="text1"/>
          <w:sz w:val="24"/>
          <w:highlight w:val="none"/>
          <w:lang w:val="en-US" w:eastAsia="zh-CN"/>
          <w14:textFill>
            <w14:solidFill>
              <w14:schemeClr w14:val="tx1"/>
            </w14:solidFill>
          </w14:textFill>
        </w:rPr>
        <w:t>、其他草地、水浇地、其他林地、采矿用地</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。本项目涉及的环境敏感区为</w:t>
      </w:r>
      <w:r>
        <w:rPr>
          <w:rFonts w:hint="eastAsia" w:ascii="宋体" w:hAnsi="宋体" w:eastAsia="宋体" w:cs="宋体"/>
          <w:color w:val="000000" w:themeColor="text1"/>
          <w:sz w:val="24"/>
          <w:lang w:val="en-US" w:eastAsia="zh-CN"/>
          <w14:textFill>
            <w14:solidFill>
              <w14:schemeClr w14:val="tx1"/>
            </w14:solidFill>
          </w14:textFill>
        </w:rPr>
        <w:t>西山地下饮用水源地二级保护区、</w:t>
      </w:r>
      <w:r>
        <w:rPr>
          <w:rFonts w:hint="eastAsia" w:ascii="宋体" w:hAnsi="宋体" w:eastAsia="宋体"/>
          <w:color w:val="000000" w:themeColor="text1"/>
          <w:sz w:val="24"/>
          <w14:textFill>
            <w14:solidFill>
              <w14:schemeClr w14:val="tx1"/>
            </w14:solidFill>
          </w14:textFill>
        </w:rPr>
        <w:t>甘河子（含铁路专供）</w:t>
      </w:r>
      <w:r>
        <w:rPr>
          <w:rFonts w:hint="eastAsia" w:ascii="宋体" w:hAnsi="宋体" w:eastAsia="宋体"/>
          <w:color w:val="000000" w:themeColor="text1"/>
          <w:sz w:val="24"/>
          <w:lang w:val="en-US" w:eastAsia="zh-CN"/>
          <w14:textFill>
            <w14:solidFill>
              <w14:schemeClr w14:val="tx1"/>
            </w14:solidFill>
          </w14:textFill>
        </w:rPr>
        <w:t>地下饮用</w:t>
      </w:r>
      <w:r>
        <w:rPr>
          <w:rFonts w:hint="eastAsia" w:ascii="宋体" w:hAnsi="宋体" w:eastAsia="宋体"/>
          <w:color w:val="000000" w:themeColor="text1"/>
          <w:sz w:val="24"/>
          <w14:textFill>
            <w14:solidFill>
              <w14:schemeClr w14:val="tx1"/>
            </w14:solidFill>
          </w14:textFill>
        </w:rPr>
        <w:t>水源地</w:t>
      </w:r>
      <w:r>
        <w:rPr>
          <w:rFonts w:hint="eastAsia" w:ascii="宋体" w:hAnsi="宋体" w:eastAsia="宋体"/>
          <w:color w:val="000000" w:themeColor="text1"/>
          <w:sz w:val="24"/>
          <w:lang w:val="en-US" w:eastAsia="zh-CN"/>
          <w14:textFill>
            <w14:solidFill>
              <w14:schemeClr w14:val="tx1"/>
            </w14:solidFill>
          </w14:textFill>
        </w:rPr>
        <w:t>二级保护区、</w:t>
      </w:r>
      <w:r>
        <w:rPr>
          <w:rFonts w:hint="eastAsia" w:cs="Times New Roman" w:eastAsiaTheme="minorEastAsia"/>
          <w:color w:val="000000" w:themeColor="text1"/>
          <w:sz w:val="24"/>
          <w:highlight w:val="none"/>
          <w:lang w:val="en-US" w:eastAsia="zh-CN"/>
          <w14:textFill>
            <w14:solidFill>
              <w14:schemeClr w14:val="tx1"/>
            </w14:solidFill>
          </w14:textFill>
        </w:rPr>
        <w:t>乌拉泊、柴西、柴北、西山、甘河子（含铁路专供）准保护区</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。拟建项目用地范围不涉及自然保护区、风景名胜区、历史文化遗迹等其他需要保护的生态敏感区，项目建设不会对区域生态环境造成显著影响。</w:t>
      </w:r>
    </w:p>
    <w:p w14:paraId="1F59657B">
      <w:pPr>
        <w:keepNext w:val="0"/>
        <w:keepLines w:val="0"/>
        <w:pageBreakBefore w:val="0"/>
        <w:widowControl w:val="0"/>
        <w:kinsoku/>
        <w:wordWrap w:val="0"/>
        <w:overflowPunct/>
        <w:topLinePunct/>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本项目主要环境影响为项目施工期产生的废水、废气、噪声、固体废物以及生态扰动对区域环境的影响和项目运营期废水、固体废物、噪声、工频电场、工频磁场对环境的影响，尤其是对饮用水水源地二级保护区</w:t>
      </w:r>
      <w:r>
        <w:rPr>
          <w:rFonts w:hint="eastAsia" w:cs="Times New Roman" w:eastAsiaTheme="minorEastAsia"/>
          <w:color w:val="000000" w:themeColor="text1"/>
          <w:sz w:val="24"/>
          <w:highlight w:val="none"/>
          <w:lang w:val="en-US" w:eastAsia="zh-CN"/>
          <w14:textFill>
            <w14:solidFill>
              <w14:schemeClr w14:val="tx1"/>
            </w14:solidFill>
          </w14:textFill>
        </w:rPr>
        <w:t>和准保护区</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的影响。</w:t>
      </w:r>
    </w:p>
    <w:p w14:paraId="1BD6EB38">
      <w:pPr>
        <w:keepNext w:val="0"/>
        <w:keepLines w:val="0"/>
        <w:pageBreakBefore w:val="0"/>
        <w:widowControl w:val="0"/>
        <w:kinsoku/>
        <w:wordWrap w:val="0"/>
        <w:overflowPunct/>
        <w:topLinePunct/>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bookmarkStart w:id="111" w:name="_Toc8368"/>
      <w:bookmarkStart w:id="112" w:name="_Toc340737462"/>
      <w:bookmarkStart w:id="113" w:name="_Toc391021102"/>
      <w:bookmarkStart w:id="114" w:name="_Toc16719"/>
      <w:bookmarkStart w:id="115" w:name="_Toc391020877"/>
      <w:bookmarkStart w:id="116" w:name="_Toc12372"/>
      <w:bookmarkStart w:id="117" w:name="_Toc391021327"/>
      <w:bookmarkStart w:id="118" w:name="_Toc16176"/>
      <w:bookmarkStart w:id="119" w:name="_Toc29232"/>
      <w:bookmarkStart w:id="120" w:name="_Toc8152"/>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项目的选址环境合理性、对水源保护区的环境影响及其恢复措施、对区域生态环境影响及其恢复措施是本次评价的工作重点。根据本项目建设特点和所在区域环境特征，本次评价工作中关注的主要环境影响有：项目建设对饮用水水源地的水质影响，对项目用地范围的植被、野生动物、鸟类(特别是候鸟)、自然生态系统、景观、生物多样性影响趋势，特别是鸟类生境、生物学特性和碰撞伤亡影响，进一步分析项目选址环境合理性及其环境可行性，并提出针对性防治措施；施工期各项污染物产生以及污染防治措施、施工过程中产生的生态环境问题以及生态恢复措施、项目运营过程可能发生的风险对区域环境产生的影响。另外，项目建成后，重点关注风机噪声、固体废物处置及环境风险影响。</w:t>
      </w:r>
    </w:p>
    <w:p w14:paraId="7DF9E6A3">
      <w:pPr>
        <w:pStyle w:val="4"/>
        <w:keepNext/>
        <w:keepLines/>
        <w:pageBreakBefore w:val="0"/>
        <w:widowControl w:val="0"/>
        <w:kinsoku/>
        <w:wordWrap/>
        <w:overflowPunct/>
        <w:topLinePunct w:val="0"/>
        <w:autoSpaceDE/>
        <w:autoSpaceDN/>
        <w:bidi w:val="0"/>
        <w:adjustRightInd/>
        <w:snapToGrid w:val="0"/>
        <w:spacing w:beforeLines="0" w:after="0" w:afterLines="0" w:line="360" w:lineRule="auto"/>
        <w:ind w:left="0" w:leftChars="0"/>
        <w:textAlignment w:val="auto"/>
        <w:outlineLvl w:val="1"/>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bookmarkStart w:id="121" w:name="_Toc12686"/>
      <w:bookmarkStart w:id="122" w:name="_Toc3758"/>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1.5 主要评价结论</w:t>
      </w:r>
      <w:bookmarkEnd w:id="111"/>
      <w:bookmarkEnd w:id="112"/>
      <w:bookmarkEnd w:id="113"/>
      <w:bookmarkEnd w:id="114"/>
      <w:bookmarkEnd w:id="115"/>
      <w:bookmarkEnd w:id="116"/>
      <w:bookmarkEnd w:id="117"/>
      <w:bookmarkEnd w:id="118"/>
      <w:bookmarkEnd w:id="119"/>
      <w:bookmarkEnd w:id="120"/>
      <w:bookmarkEnd w:id="121"/>
      <w:bookmarkEnd w:id="122"/>
    </w:p>
    <w:p w14:paraId="6B0204A9">
      <w:pPr>
        <w:keepNext w:val="0"/>
        <w:keepLines w:val="0"/>
        <w:pageBreakBefore w:val="0"/>
        <w:widowControl w:val="0"/>
        <w:kinsoku/>
        <w:wordWrap w:val="0"/>
        <w:overflowPunct/>
        <w:topLinePunct/>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本项目符合国家产业政策，选址选线符合</w:t>
      </w:r>
      <w:r>
        <w:rPr>
          <w:rFonts w:hint="eastAsia" w:cs="Times New Roman" w:eastAsiaTheme="minorEastAsia"/>
          <w:color w:val="000000" w:themeColor="text1"/>
          <w:sz w:val="24"/>
          <w:highlight w:val="none"/>
          <w:lang w:val="en-US" w:eastAsia="zh-CN"/>
          <w14:textFill>
            <w14:solidFill>
              <w14:schemeClr w14:val="tx1"/>
            </w14:solidFill>
          </w14:textFill>
        </w:rPr>
        <w:t>生态环境分区</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管控要求，满足相关法律法规要求；项目施工所产生的废水、废气、噪声和固体废物等不利影响属短期影响，施工期、运营期严格按照本次评价提出的各项污染防治措施，严禁在水源二级保护区内排污。</w:t>
      </w:r>
    </w:p>
    <w:p w14:paraId="79C07F86">
      <w:pPr>
        <w:keepNext w:val="0"/>
        <w:keepLines w:val="0"/>
        <w:pageBreakBefore w:val="0"/>
        <w:widowControl w:val="0"/>
        <w:kinsoku/>
        <w:wordWrap w:val="0"/>
        <w:overflowPunct/>
        <w:topLinePunct/>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在认真落实各项生态保护措施和相应的污染治理措施后，本项目对区域生态系统及环境的影响可以控制在可接受的水平；公众参与期间未收到群众反馈意见。在落实并保证以上条件实施的前提下，从环保角度分析，该项目的建设是可行的。</w:t>
      </w:r>
      <w:bookmarkStart w:id="123" w:name="_Toc391021329"/>
      <w:bookmarkStart w:id="124" w:name="_Toc340737464"/>
      <w:bookmarkStart w:id="125" w:name="_Toc391020879"/>
      <w:bookmarkStart w:id="126" w:name="_Toc391021104"/>
      <w:bookmarkStart w:id="127" w:name="_Toc313005843"/>
    </w:p>
    <w:p w14:paraId="46869A68">
      <w:pPr>
        <w:pStyle w:val="100"/>
        <w:pageBreakBefore w:val="0"/>
        <w:widowControl w:val="0"/>
        <w:kinsoku/>
        <w:overflowPunct/>
        <w:autoSpaceDE/>
        <w:autoSpaceDN/>
        <w:bidi w:val="0"/>
        <w:adjustRightInd/>
        <w:snapToGrid w:val="0"/>
        <w:spacing w:line="360" w:lineRule="auto"/>
        <w:textAlignment w:val="auto"/>
        <w:rPr>
          <w:rFonts w:hint="default" w:ascii="Times New Roman" w:hAnsi="Times New Roman" w:cs="Times New Roman" w:eastAsiaTheme="minorEastAsia"/>
          <w:color w:val="FF0000"/>
          <w:sz w:val="24"/>
          <w:highlight w:val="none"/>
          <w:lang w:val="en-US" w:eastAsia="zh-CN"/>
        </w:rPr>
      </w:pPr>
    </w:p>
    <w:p w14:paraId="3068196A">
      <w:pPr>
        <w:pStyle w:val="100"/>
        <w:rPr>
          <w:rFonts w:hint="default" w:ascii="Times New Roman" w:hAnsi="Times New Roman" w:cs="Times New Roman" w:eastAsiaTheme="minorEastAsia"/>
          <w:color w:val="FF0000"/>
          <w:sz w:val="24"/>
          <w:highlight w:val="none"/>
          <w:lang w:val="en-US" w:eastAsia="zh-CN"/>
        </w:rPr>
        <w:sectPr>
          <w:headerReference r:id="rId8" w:type="default"/>
          <w:footerReference r:id="rId9" w:type="default"/>
          <w:pgSz w:w="11906" w:h="16838"/>
          <w:pgMar w:top="1418" w:right="1361" w:bottom="1418" w:left="1587" w:header="1134" w:footer="992" w:gutter="0"/>
          <w:pgBorders>
            <w:top w:val="none" w:sz="0" w:space="0"/>
            <w:left w:val="none" w:sz="0" w:space="0"/>
            <w:bottom w:val="none" w:sz="0" w:space="0"/>
            <w:right w:val="none" w:sz="0" w:space="0"/>
          </w:pgBorders>
          <w:pgNumType w:fmt="decimal" w:start="1"/>
          <w:cols w:space="720" w:num="1"/>
          <w:docGrid w:type="lines" w:linePitch="312" w:charSpace="0"/>
        </w:sectPr>
      </w:pPr>
    </w:p>
    <w:p w14:paraId="2B9BBDAE">
      <w:pPr>
        <w:pStyle w:val="3"/>
        <w:keepNext/>
        <w:keepLines/>
        <w:pageBreakBefore w:val="0"/>
        <w:widowControl w:val="0"/>
        <w:numPr>
          <w:ilvl w:val="0"/>
          <w:numId w:val="0"/>
        </w:numPr>
        <w:tabs>
          <w:tab w:val="left" w:pos="525"/>
        </w:tabs>
        <w:kinsoku/>
        <w:wordWrap w:val="0"/>
        <w:overflowPunct/>
        <w:topLinePunct w:val="0"/>
        <w:autoSpaceDE/>
        <w:autoSpaceDN/>
        <w:bidi w:val="0"/>
        <w:adjustRightInd/>
        <w:snapToGrid/>
        <w:spacing w:before="0" w:beforeLines="0" w:after="0" w:afterLines="0" w:line="360" w:lineRule="auto"/>
        <w:ind w:left="0" w:leftChars="0"/>
        <w:textAlignment w:val="auto"/>
        <w:outlineLvl w:val="0"/>
        <w:rPr>
          <w:rFonts w:hint="default" w:ascii="Times New Roman" w:hAnsi="Times New Roman" w:cs="Times New Roman" w:eastAsiaTheme="minorEastAsia"/>
          <w:color w:val="000000" w:themeColor="text1"/>
          <w:sz w:val="32"/>
          <w:highlight w:val="none"/>
          <w:lang w:val="en-US" w:eastAsia="zh-CN"/>
          <w14:textFill>
            <w14:solidFill>
              <w14:schemeClr w14:val="tx1"/>
            </w14:solidFill>
          </w14:textFill>
        </w:rPr>
      </w:pPr>
      <w:bookmarkStart w:id="128" w:name="_Toc11623"/>
      <w:bookmarkStart w:id="129" w:name="_Toc31037"/>
      <w:bookmarkStart w:id="130" w:name="_Toc14124"/>
      <w:bookmarkStart w:id="131" w:name="_Toc27335"/>
      <w:bookmarkStart w:id="132" w:name="_Toc2621"/>
      <w:bookmarkStart w:id="133" w:name="_Toc26453"/>
      <w:bookmarkStart w:id="134" w:name="_Toc3365"/>
      <w:bookmarkStart w:id="135" w:name="_Toc4619"/>
      <w:r>
        <w:rPr>
          <w:rFonts w:hint="default" w:ascii="Times New Roman" w:hAnsi="Times New Roman" w:cs="Times New Roman" w:eastAsiaTheme="minorEastAsia"/>
          <w:color w:val="000000" w:themeColor="text1"/>
          <w:sz w:val="32"/>
          <w:highlight w:val="none"/>
          <w:lang w:val="en-US" w:eastAsia="zh-CN"/>
          <w14:textFill>
            <w14:solidFill>
              <w14:schemeClr w14:val="tx1"/>
            </w14:solidFill>
          </w14:textFill>
        </w:rPr>
        <w:t>2 总则</w:t>
      </w:r>
      <w:bookmarkEnd w:id="123"/>
      <w:bookmarkEnd w:id="124"/>
      <w:bookmarkEnd w:id="125"/>
      <w:bookmarkEnd w:id="126"/>
      <w:bookmarkEnd w:id="127"/>
      <w:bookmarkEnd w:id="128"/>
      <w:bookmarkEnd w:id="129"/>
      <w:bookmarkEnd w:id="130"/>
      <w:bookmarkEnd w:id="131"/>
      <w:bookmarkEnd w:id="132"/>
      <w:bookmarkEnd w:id="133"/>
      <w:bookmarkEnd w:id="134"/>
      <w:bookmarkEnd w:id="135"/>
    </w:p>
    <w:p w14:paraId="3B8B0168">
      <w:pPr>
        <w:pStyle w:val="4"/>
        <w:keepNext/>
        <w:keepLines/>
        <w:pageBreakBefore w:val="0"/>
        <w:widowControl w:val="0"/>
        <w:numPr>
          <w:ilvl w:val="0"/>
          <w:numId w:val="0"/>
        </w:numPr>
        <w:tabs>
          <w:tab w:val="left" w:pos="630"/>
          <w:tab w:val="left" w:pos="3403"/>
        </w:tabs>
        <w:kinsoku/>
        <w:wordWrap w:val="0"/>
        <w:overflowPunct/>
        <w:topLinePunct w:val="0"/>
        <w:autoSpaceDE/>
        <w:autoSpaceDN/>
        <w:bidi w:val="0"/>
        <w:adjustRightInd/>
        <w:snapToGrid/>
        <w:spacing w:before="0" w:beforeLines="0" w:after="0" w:afterLines="0" w:line="360" w:lineRule="auto"/>
        <w:ind w:left="0" w:leftChars="0"/>
        <w:textAlignment w:val="auto"/>
        <w:outlineLvl w:val="1"/>
        <w:rPr>
          <w:rFonts w:hint="default" w:ascii="Times New Roman" w:hAnsi="Times New Roman" w:cs="Times New Roman" w:eastAsiaTheme="minorEastAsia"/>
          <w:color w:val="000000" w:themeColor="text1"/>
          <w:sz w:val="30"/>
          <w:highlight w:val="none"/>
          <w:lang w:val="en-US" w:eastAsia="zh-CN"/>
          <w14:textFill>
            <w14:solidFill>
              <w14:schemeClr w14:val="tx1"/>
            </w14:solidFill>
          </w14:textFill>
        </w:rPr>
      </w:pPr>
      <w:bookmarkStart w:id="136" w:name="_Toc1947"/>
      <w:bookmarkStart w:id="137" w:name="_Toc1142"/>
      <w:bookmarkStart w:id="138" w:name="_Toc27596"/>
      <w:r>
        <w:rPr>
          <w:rFonts w:hint="default" w:ascii="Times New Roman" w:hAnsi="Times New Roman" w:cs="Times New Roman" w:eastAsiaTheme="minorEastAsia"/>
          <w:color w:val="000000" w:themeColor="text1"/>
          <w:sz w:val="30"/>
          <w:highlight w:val="none"/>
          <w:lang w:val="en-US" w:eastAsia="zh-CN"/>
          <w14:textFill>
            <w14:solidFill>
              <w14:schemeClr w14:val="tx1"/>
            </w14:solidFill>
          </w14:textFill>
        </w:rPr>
        <w:t>2.1 评价原则和目的</w:t>
      </w:r>
      <w:bookmarkEnd w:id="136"/>
      <w:bookmarkEnd w:id="137"/>
      <w:bookmarkEnd w:id="138"/>
    </w:p>
    <w:p w14:paraId="46EC494B">
      <w:pPr>
        <w:pStyle w:val="11"/>
        <w:bidi w:val="0"/>
        <w:ind w:left="0"/>
        <w:outlineLvl w:val="2"/>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bookmarkStart w:id="139" w:name="_Toc19438"/>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2.1.1 评价原则</w:t>
      </w:r>
      <w:bookmarkEnd w:id="139"/>
    </w:p>
    <w:p w14:paraId="4B3C263C">
      <w:pPr>
        <w:keepNext w:val="0"/>
        <w:keepLines w:val="0"/>
        <w:pageBreakBefore w:val="0"/>
        <w:widowControl w:val="0"/>
        <w:kinsoku/>
        <w:wordWrap w:val="0"/>
        <w:overflowPunct/>
        <w:topLinePunct/>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突出环境影响评价的源头预防作用，坚持保护和改善环境质量。</w:t>
      </w:r>
    </w:p>
    <w:p w14:paraId="34861C65">
      <w:pPr>
        <w:keepNext w:val="0"/>
        <w:keepLines w:val="0"/>
        <w:pageBreakBefore w:val="0"/>
        <w:widowControl w:val="0"/>
        <w:kinsoku/>
        <w:wordWrap w:val="0"/>
        <w:overflowPunct/>
        <w:topLinePunct/>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(1)依法评价</w:t>
      </w:r>
    </w:p>
    <w:p w14:paraId="1B8BD545">
      <w:pPr>
        <w:keepNext w:val="0"/>
        <w:keepLines w:val="0"/>
        <w:pageBreakBefore w:val="0"/>
        <w:widowControl w:val="0"/>
        <w:kinsoku/>
        <w:wordWrap w:val="0"/>
        <w:overflowPunct/>
        <w:topLinePunct/>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贯彻执行我国环境保护相关法律法规、标准、政策和规划等，优化项目建设，服务环境管理。</w:t>
      </w:r>
    </w:p>
    <w:p w14:paraId="1A896345">
      <w:pPr>
        <w:keepNext w:val="0"/>
        <w:keepLines w:val="0"/>
        <w:pageBreakBefore w:val="0"/>
        <w:widowControl w:val="0"/>
        <w:kinsoku/>
        <w:wordWrap w:val="0"/>
        <w:overflowPunct/>
        <w:topLinePunct/>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(2)科学评价</w:t>
      </w:r>
    </w:p>
    <w:p w14:paraId="39CB3A4B">
      <w:pPr>
        <w:keepNext w:val="0"/>
        <w:keepLines w:val="0"/>
        <w:pageBreakBefore w:val="0"/>
        <w:widowControl w:val="0"/>
        <w:kinsoku/>
        <w:wordWrap w:val="0"/>
        <w:overflowPunct/>
        <w:topLinePunct/>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规范环境影响评价方法，科学分析项目建设对环境质量的影响。</w:t>
      </w:r>
    </w:p>
    <w:p w14:paraId="7BE93402">
      <w:pPr>
        <w:keepNext w:val="0"/>
        <w:keepLines w:val="0"/>
        <w:pageBreakBefore w:val="0"/>
        <w:widowControl w:val="0"/>
        <w:kinsoku/>
        <w:wordWrap w:val="0"/>
        <w:overflowPunct/>
        <w:topLinePunct/>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(3)突出重点</w:t>
      </w:r>
    </w:p>
    <w:p w14:paraId="31DD883F">
      <w:pPr>
        <w:keepNext w:val="0"/>
        <w:keepLines w:val="0"/>
        <w:pageBreakBefore w:val="0"/>
        <w:widowControl w:val="0"/>
        <w:kinsoku/>
        <w:wordWrap w:val="0"/>
        <w:overflowPunct/>
        <w:topLinePunct/>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根据建设项目的工程内容及其特点，明确与环境要素间的作用效应关系，充分利用符合时效的数据资料及成果，对建设项目主要环境影响予以重点分析和评价。</w:t>
      </w:r>
    </w:p>
    <w:p w14:paraId="4FEF9D49">
      <w:pPr>
        <w:pStyle w:val="11"/>
        <w:bidi w:val="0"/>
        <w:ind w:left="0"/>
        <w:outlineLvl w:val="2"/>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bookmarkStart w:id="140" w:name="_Toc6990"/>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2.1.2 评价目的</w:t>
      </w:r>
      <w:bookmarkEnd w:id="140"/>
    </w:p>
    <w:p w14:paraId="52EE9C20">
      <w:pPr>
        <w:keepNext w:val="0"/>
        <w:keepLines w:val="0"/>
        <w:pageBreakBefore w:val="0"/>
        <w:widowControl w:val="0"/>
        <w:kinsoku/>
        <w:wordWrap w:val="0"/>
        <w:overflowPunct/>
        <w:topLinePunct/>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通过本次评价工作主要达到以下目的：</w:t>
      </w:r>
    </w:p>
    <w:p w14:paraId="7283116E">
      <w:pPr>
        <w:keepNext w:val="0"/>
        <w:keepLines w:val="0"/>
        <w:pageBreakBefore w:val="0"/>
        <w:widowControl w:val="0"/>
        <w:kinsoku/>
        <w:wordWrap w:val="0"/>
        <w:overflowPunct/>
        <w:topLinePunct/>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(1)通过现场调查、资料收集及环境监测，了解项目所在地自然环境、环境质量现状以及存在的主要环境问题。</w:t>
      </w:r>
    </w:p>
    <w:p w14:paraId="5B636ACF">
      <w:pPr>
        <w:keepNext w:val="0"/>
        <w:keepLines w:val="0"/>
        <w:pageBreakBefore w:val="0"/>
        <w:widowControl w:val="0"/>
        <w:kinsoku/>
        <w:wordWrap w:val="0"/>
        <w:overflowPunct/>
        <w:topLinePunct/>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(2)对项目区域的生态、大气、水、声环境等环境质量现状进行调查与评价，调查项目区域内的环境敏感区及环境保护目标。</w:t>
      </w:r>
    </w:p>
    <w:p w14:paraId="2670E6A9">
      <w:pPr>
        <w:keepNext w:val="0"/>
        <w:keepLines w:val="0"/>
        <w:pageBreakBefore w:val="0"/>
        <w:widowControl w:val="0"/>
        <w:kinsoku/>
        <w:wordWrap w:val="0"/>
        <w:overflowPunct/>
        <w:topLinePunct/>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(3)通过对项目在施工期、运营期可能带来的各种环境影响进行定性和定量分析、预测，评价其影响程度及范围；在此基础上提出切实可行的环保措施和防治对策，使项目的建设带来的环境负面影响得以有效控制。</w:t>
      </w:r>
    </w:p>
    <w:p w14:paraId="377EA9FC">
      <w:pPr>
        <w:keepNext w:val="0"/>
        <w:keepLines w:val="0"/>
        <w:pageBreakBefore w:val="0"/>
        <w:widowControl w:val="0"/>
        <w:kinsoku/>
        <w:wordWrap w:val="0"/>
        <w:overflowPunct/>
        <w:topLinePunct/>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(4)为项目施工期和营运期环境管理和污染控制提供依据和指导，使项目建设满足国家有关建设项目环境保护法律法规和地方环境规划要求。</w:t>
      </w:r>
    </w:p>
    <w:p w14:paraId="67CCB250">
      <w:pPr>
        <w:pStyle w:val="4"/>
        <w:pageBreakBefore w:val="0"/>
        <w:widowControl w:val="0"/>
        <w:numPr>
          <w:ilvl w:val="0"/>
          <w:numId w:val="0"/>
        </w:numPr>
        <w:tabs>
          <w:tab w:val="left" w:pos="630"/>
          <w:tab w:val="left" w:pos="3403"/>
        </w:tabs>
        <w:kinsoku/>
        <w:wordWrap w:val="0"/>
        <w:overflowPunct/>
        <w:topLinePunct w:val="0"/>
        <w:autoSpaceDE/>
        <w:autoSpaceDN/>
        <w:bidi w:val="0"/>
        <w:adjustRightInd/>
        <w:snapToGrid/>
        <w:spacing w:before="0" w:beforeLines="0" w:after="0" w:afterLines="0" w:line="360" w:lineRule="auto"/>
        <w:outlineLvl w:val="1"/>
        <w:rPr>
          <w:rFonts w:hint="default" w:ascii="Times New Roman" w:hAnsi="Times New Roman" w:cs="Times New Roman" w:eastAsiaTheme="minorEastAsia"/>
          <w:color w:val="000000" w:themeColor="text1"/>
          <w:sz w:val="30"/>
          <w:highlight w:val="none"/>
          <w:lang w:val="en-US" w:eastAsia="zh-CN"/>
          <w14:textFill>
            <w14:solidFill>
              <w14:schemeClr w14:val="tx1"/>
            </w14:solidFill>
          </w14:textFill>
        </w:rPr>
      </w:pPr>
      <w:bookmarkStart w:id="141" w:name="_Toc32119"/>
      <w:bookmarkStart w:id="142" w:name="_Toc294859066"/>
      <w:bookmarkStart w:id="143" w:name="_Toc340737466"/>
      <w:bookmarkStart w:id="144" w:name="_Toc19302"/>
      <w:bookmarkStart w:id="145" w:name="_Toc12688"/>
      <w:bookmarkStart w:id="146" w:name="_Toc391021331"/>
      <w:bookmarkStart w:id="147" w:name="_Toc225668516"/>
      <w:bookmarkStart w:id="148" w:name="_Toc30213"/>
      <w:bookmarkStart w:id="149" w:name="_Toc391020881"/>
      <w:bookmarkStart w:id="150" w:name="_Toc26161"/>
      <w:bookmarkStart w:id="151" w:name="_Toc22587"/>
      <w:bookmarkStart w:id="152" w:name="_Toc19472"/>
      <w:bookmarkStart w:id="153" w:name="_Toc20106"/>
      <w:bookmarkStart w:id="154" w:name="_Toc391021106"/>
      <w:bookmarkStart w:id="155" w:name="_Toc313005845"/>
      <w:r>
        <w:rPr>
          <w:rFonts w:hint="default" w:ascii="Times New Roman" w:hAnsi="Times New Roman" w:cs="Times New Roman" w:eastAsiaTheme="minorEastAsia"/>
          <w:color w:val="000000" w:themeColor="text1"/>
          <w:sz w:val="30"/>
          <w:highlight w:val="none"/>
          <w:lang w:val="en-US" w:eastAsia="zh-CN"/>
          <w14:textFill>
            <w14:solidFill>
              <w14:schemeClr w14:val="tx1"/>
            </w14:solidFill>
          </w14:textFill>
        </w:rPr>
        <w:t>2.2 编制依据</w:t>
      </w:r>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14:paraId="270ED0F3">
      <w:pPr>
        <w:pStyle w:val="11"/>
        <w:bidi w:val="0"/>
        <w:ind w:left="0"/>
        <w:outlineLvl w:val="2"/>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bookmarkStart w:id="156" w:name="_Toc340737467"/>
      <w:bookmarkStart w:id="157" w:name="_Toc7376"/>
      <w:bookmarkStart w:id="158" w:name="_Toc391021107"/>
      <w:bookmarkStart w:id="159" w:name="_Toc18334"/>
      <w:bookmarkStart w:id="160" w:name="_Toc313005846"/>
      <w:bookmarkStart w:id="161" w:name="_Toc225668517"/>
      <w:bookmarkStart w:id="162" w:name="_Toc28578"/>
      <w:bookmarkStart w:id="163" w:name="_Toc391020882"/>
      <w:bookmarkStart w:id="164" w:name="_Toc294859067"/>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2.2.1 法律法规</w:t>
      </w:r>
      <w:bookmarkEnd w:id="156"/>
      <w:bookmarkEnd w:id="157"/>
      <w:bookmarkEnd w:id="158"/>
      <w:bookmarkEnd w:id="159"/>
      <w:bookmarkEnd w:id="160"/>
      <w:bookmarkEnd w:id="161"/>
      <w:bookmarkEnd w:id="162"/>
      <w:bookmarkEnd w:id="163"/>
      <w:bookmarkEnd w:id="164"/>
    </w:p>
    <w:p w14:paraId="487C2135">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14:textFill>
            <w14:solidFill>
              <w14:schemeClr w14:val="tx1"/>
            </w14:solidFill>
          </w14:textFill>
        </w:rPr>
        <w:t>(1)《中华人民共和国环境保护法》(2014年4月24日修订，2015年1月1日起施行</w:t>
      </w:r>
      <w:r>
        <w:rPr>
          <w:rFonts w:hint="default" w:ascii="Times New Roman" w:hAnsi="Times New Roman" w:cs="Times New Roman" w:eastAsiaTheme="minorEastAsia"/>
          <w:snapToGrid w:val="0"/>
          <w:color w:val="000000" w:themeColor="text1"/>
          <w:sz w:val="24"/>
          <w:highlight w:val="none"/>
          <w:lang w:eastAsia="zh-CN"/>
          <w14:textFill>
            <w14:solidFill>
              <w14:schemeClr w14:val="tx1"/>
            </w14:solidFill>
          </w14:textFill>
        </w:rPr>
        <w:t>)</w:t>
      </w:r>
      <w:r>
        <w:rPr>
          <w:rFonts w:hint="default" w:ascii="Times New Roman" w:hAnsi="Times New Roman" w:cs="Times New Roman" w:eastAsiaTheme="minorEastAsia"/>
          <w:snapToGrid w:val="0"/>
          <w:color w:val="000000" w:themeColor="text1"/>
          <w:sz w:val="24"/>
          <w:highlight w:val="none"/>
          <w14:textFill>
            <w14:solidFill>
              <w14:schemeClr w14:val="tx1"/>
            </w14:solidFill>
          </w14:textFill>
        </w:rPr>
        <w:t>；</w:t>
      </w:r>
    </w:p>
    <w:p w14:paraId="5525FDA6">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14:textFill>
            <w14:solidFill>
              <w14:schemeClr w14:val="tx1"/>
            </w14:solidFill>
          </w14:textFill>
        </w:rPr>
        <w:t>(2)《中华人民共和国环境影响评价法》(</w:t>
      </w:r>
      <w:r>
        <w:rPr>
          <w:rFonts w:hint="default" w:ascii="Times New Roman" w:hAnsi="Times New Roman" w:cs="Times New Roman" w:eastAsiaTheme="minorEastAsia"/>
          <w:color w:val="000000" w:themeColor="text1"/>
          <w:sz w:val="24"/>
          <w:highlight w:val="none"/>
          <w14:textFill>
            <w14:solidFill>
              <w14:schemeClr w14:val="tx1"/>
            </w14:solidFill>
          </w14:textFill>
        </w:rPr>
        <w:t>2018年12月29日起修订版实施</w:t>
      </w:r>
      <w: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t>)</w:t>
      </w:r>
      <w:r>
        <w:rPr>
          <w:rFonts w:hint="default" w:ascii="Times New Roman" w:hAnsi="Times New Roman" w:cs="Times New Roman" w:eastAsiaTheme="minorEastAsia"/>
          <w:snapToGrid w:val="0"/>
          <w:color w:val="000000" w:themeColor="text1"/>
          <w:sz w:val="24"/>
          <w:highlight w:val="none"/>
          <w14:textFill>
            <w14:solidFill>
              <w14:schemeClr w14:val="tx1"/>
            </w14:solidFill>
          </w14:textFill>
        </w:rPr>
        <w:t>；</w:t>
      </w:r>
    </w:p>
    <w:p w14:paraId="5405363F">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14:textFill>
            <w14:solidFill>
              <w14:schemeClr w14:val="tx1"/>
            </w14:solidFill>
          </w14:textFill>
        </w:rPr>
        <w:t>(3)《中华人民共和国水污染防治法》</w:t>
      </w:r>
      <w:r>
        <w:rPr>
          <w:rFonts w:hint="default" w:ascii="Times New Roman" w:hAnsi="Times New Roman" w:cs="Times New Roman" w:eastAsiaTheme="minorEastAsia"/>
          <w:color w:val="000000" w:themeColor="text1"/>
          <w:sz w:val="24"/>
          <w:highlight w:val="none"/>
          <w14:textFill>
            <w14:solidFill>
              <w14:schemeClr w14:val="tx1"/>
            </w14:solidFill>
          </w14:textFill>
        </w:rPr>
        <w:t>(2017年6月27日修订，2018年1月1日起施行</w:t>
      </w:r>
      <w: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 w:val="24"/>
          <w:highlight w:val="none"/>
          <w14:textFill>
            <w14:solidFill>
              <w14:schemeClr w14:val="tx1"/>
            </w14:solidFill>
          </w14:textFill>
        </w:rPr>
        <w:t>；</w:t>
      </w:r>
    </w:p>
    <w:p w14:paraId="7DF54C26">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14:textFill>
            <w14:solidFill>
              <w14:schemeClr w14:val="tx1"/>
            </w14:solidFill>
          </w14:textFill>
        </w:rPr>
        <w:t>(4)《中华人民共和国噪声污染防治法》(20</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22</w:t>
      </w:r>
      <w:r>
        <w:rPr>
          <w:rFonts w:hint="default" w:ascii="Times New Roman" w:hAnsi="Times New Roman" w:cs="Times New Roman" w:eastAsiaTheme="minorEastAsia"/>
          <w:snapToGrid w:val="0"/>
          <w:color w:val="000000" w:themeColor="text1"/>
          <w:sz w:val="24"/>
          <w:highlight w:val="none"/>
          <w14:textFill>
            <w14:solidFill>
              <w14:schemeClr w14:val="tx1"/>
            </w14:solidFill>
          </w14:textFill>
        </w:rPr>
        <w:t>年</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6</w:t>
      </w:r>
      <w:r>
        <w:rPr>
          <w:rFonts w:hint="default" w:ascii="Times New Roman" w:hAnsi="Times New Roman" w:cs="Times New Roman" w:eastAsiaTheme="minorEastAsia"/>
          <w:snapToGrid w:val="0"/>
          <w:color w:val="000000" w:themeColor="text1"/>
          <w:sz w:val="24"/>
          <w:highlight w:val="none"/>
          <w14:textFill>
            <w14:solidFill>
              <w14:schemeClr w14:val="tx1"/>
            </w14:solidFill>
          </w14:textFill>
        </w:rPr>
        <w:t>月</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5</w:t>
      </w:r>
      <w:r>
        <w:rPr>
          <w:rFonts w:hint="default" w:ascii="Times New Roman" w:hAnsi="Times New Roman" w:cs="Times New Roman" w:eastAsiaTheme="minorEastAsia"/>
          <w:snapToGrid w:val="0"/>
          <w:color w:val="000000" w:themeColor="text1"/>
          <w:sz w:val="24"/>
          <w:highlight w:val="none"/>
          <w14:textFill>
            <w14:solidFill>
              <w14:schemeClr w14:val="tx1"/>
            </w14:solidFill>
          </w14:textFill>
        </w:rPr>
        <w:t>日起修订版实施</w:t>
      </w:r>
      <w:r>
        <w:rPr>
          <w:rFonts w:hint="default" w:ascii="Times New Roman" w:hAnsi="Times New Roman" w:cs="Times New Roman" w:eastAsiaTheme="minorEastAsia"/>
          <w:snapToGrid w:val="0"/>
          <w:color w:val="000000" w:themeColor="text1"/>
          <w:sz w:val="24"/>
          <w:highlight w:val="none"/>
          <w:lang w:eastAsia="zh-CN"/>
          <w14:textFill>
            <w14:solidFill>
              <w14:schemeClr w14:val="tx1"/>
            </w14:solidFill>
          </w14:textFill>
        </w:rPr>
        <w:t>)</w:t>
      </w:r>
      <w:r>
        <w:rPr>
          <w:rFonts w:hint="default" w:ascii="Times New Roman" w:hAnsi="Times New Roman" w:cs="Times New Roman" w:eastAsiaTheme="minorEastAsia"/>
          <w:snapToGrid w:val="0"/>
          <w:color w:val="000000" w:themeColor="text1"/>
          <w:sz w:val="24"/>
          <w:highlight w:val="none"/>
          <w14:textFill>
            <w14:solidFill>
              <w14:schemeClr w14:val="tx1"/>
            </w14:solidFill>
          </w14:textFill>
        </w:rPr>
        <w:t>；</w:t>
      </w:r>
    </w:p>
    <w:p w14:paraId="11A8884D">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14:textFill>
            <w14:solidFill>
              <w14:schemeClr w14:val="tx1"/>
            </w14:solidFill>
          </w14:textFill>
        </w:rPr>
        <w:t>(5)《中华人民共和国大气污染防治法》(</w:t>
      </w:r>
      <w:r>
        <w:rPr>
          <w:rFonts w:hint="default" w:ascii="Times New Roman" w:hAnsi="Times New Roman" w:cs="Times New Roman" w:eastAsiaTheme="minorEastAsia"/>
          <w:color w:val="000000" w:themeColor="text1"/>
          <w:sz w:val="24"/>
          <w:highlight w:val="none"/>
          <w14:textFill>
            <w14:solidFill>
              <w14:schemeClr w14:val="tx1"/>
            </w14:solidFill>
          </w14:textFill>
        </w:rPr>
        <w:t>2018年10月26日修订并施行</w:t>
      </w:r>
      <w: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t>)</w:t>
      </w:r>
      <w:r>
        <w:rPr>
          <w:rFonts w:hint="default" w:ascii="Times New Roman" w:hAnsi="Times New Roman" w:cs="Times New Roman" w:eastAsiaTheme="minorEastAsia"/>
          <w:snapToGrid w:val="0"/>
          <w:color w:val="000000" w:themeColor="text1"/>
          <w:sz w:val="24"/>
          <w:highlight w:val="none"/>
          <w14:textFill>
            <w14:solidFill>
              <w14:schemeClr w14:val="tx1"/>
            </w14:solidFill>
          </w14:textFill>
        </w:rPr>
        <w:t>；</w:t>
      </w:r>
    </w:p>
    <w:p w14:paraId="01812F36">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14:textFill>
            <w14:solidFill>
              <w14:schemeClr w14:val="tx1"/>
            </w14:solidFill>
          </w14:textFill>
        </w:rPr>
        <w:t>(6)《中华人民共和国固体废物污染环境防治法》(2020年9月1日修订</w:t>
      </w:r>
      <w:r>
        <w:rPr>
          <w:rFonts w:hint="default" w:ascii="Times New Roman" w:hAnsi="Times New Roman" w:cs="Times New Roman" w:eastAsiaTheme="minorEastAsia"/>
          <w:color w:val="000000" w:themeColor="text1"/>
          <w:spacing w:val="-8"/>
          <w:sz w:val="24"/>
          <w:highlight w:val="none"/>
          <w14:textFill>
            <w14:solidFill>
              <w14:schemeClr w14:val="tx1"/>
            </w14:solidFill>
          </w14:textFill>
        </w:rPr>
        <w:t>并实施</w:t>
      </w:r>
      <w:r>
        <w:rPr>
          <w:rFonts w:hint="default" w:ascii="Times New Roman" w:hAnsi="Times New Roman" w:cs="Times New Roman" w:eastAsiaTheme="minorEastAsia"/>
          <w:color w:val="000000" w:themeColor="text1"/>
          <w:spacing w:val="-8"/>
          <w:sz w:val="24"/>
          <w:highlight w:val="none"/>
          <w:lang w:eastAsia="zh-CN"/>
          <w14:textFill>
            <w14:solidFill>
              <w14:schemeClr w14:val="tx1"/>
            </w14:solidFill>
          </w14:textFill>
        </w:rPr>
        <w:t>)</w:t>
      </w:r>
      <w:r>
        <w:rPr>
          <w:rFonts w:hint="default" w:ascii="Times New Roman" w:hAnsi="Times New Roman" w:cs="Times New Roman" w:eastAsiaTheme="minorEastAsia"/>
          <w:snapToGrid w:val="0"/>
          <w:color w:val="000000" w:themeColor="text1"/>
          <w:sz w:val="24"/>
          <w:highlight w:val="none"/>
          <w14:textFill>
            <w14:solidFill>
              <w14:schemeClr w14:val="tx1"/>
            </w14:solidFill>
          </w14:textFill>
        </w:rPr>
        <w:t>；</w:t>
      </w:r>
    </w:p>
    <w:p w14:paraId="501B92AC">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14:textFill>
            <w14:solidFill>
              <w14:schemeClr w14:val="tx1"/>
            </w14:solidFill>
          </w14:textFill>
        </w:rPr>
        <w:t>(7)《中华人民共和国水土保持法》(2011年3月1日起修订版施行</w:t>
      </w:r>
      <w:r>
        <w:rPr>
          <w:rFonts w:hint="default" w:ascii="Times New Roman" w:hAnsi="Times New Roman" w:cs="Times New Roman" w:eastAsiaTheme="minorEastAsia"/>
          <w:snapToGrid w:val="0"/>
          <w:color w:val="000000" w:themeColor="text1"/>
          <w:sz w:val="24"/>
          <w:highlight w:val="none"/>
          <w:lang w:eastAsia="zh-CN"/>
          <w14:textFill>
            <w14:solidFill>
              <w14:schemeClr w14:val="tx1"/>
            </w14:solidFill>
          </w14:textFill>
        </w:rPr>
        <w:t>)</w:t>
      </w:r>
      <w:r>
        <w:rPr>
          <w:rFonts w:hint="default" w:ascii="Times New Roman" w:hAnsi="Times New Roman" w:cs="Times New Roman" w:eastAsiaTheme="minorEastAsia"/>
          <w:snapToGrid w:val="0"/>
          <w:color w:val="000000" w:themeColor="text1"/>
          <w:sz w:val="24"/>
          <w:highlight w:val="none"/>
          <w14:textFill>
            <w14:solidFill>
              <w14:schemeClr w14:val="tx1"/>
            </w14:solidFill>
          </w14:textFill>
        </w:rPr>
        <w:t>；</w:t>
      </w:r>
    </w:p>
    <w:p w14:paraId="35D32B7A">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14:textFill>
            <w14:solidFill>
              <w14:schemeClr w14:val="tx1"/>
            </w14:solidFill>
          </w14:textFill>
        </w:rPr>
        <w:t>(8)《中华人民共和国野生动物保护法》(</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2022</w:t>
      </w:r>
      <w:r>
        <w:rPr>
          <w:rFonts w:hint="default" w:ascii="Times New Roman" w:hAnsi="Times New Roman" w:cs="Times New Roman" w:eastAsiaTheme="minorEastAsia"/>
          <w:color w:val="000000" w:themeColor="text1"/>
          <w:sz w:val="24"/>
          <w:highlight w:val="none"/>
          <w14:textFill>
            <w14:solidFill>
              <w14:schemeClr w14:val="tx1"/>
            </w14:solidFill>
          </w14:textFill>
        </w:rPr>
        <w:t>年1</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highlight w:val="none"/>
          <w14:textFill>
            <w14:solidFill>
              <w14:schemeClr w14:val="tx1"/>
            </w14:solidFill>
          </w14:textFill>
        </w:rPr>
        <w:t>月</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30</w:t>
      </w:r>
      <w:r>
        <w:rPr>
          <w:rFonts w:hint="default" w:ascii="Times New Roman" w:hAnsi="Times New Roman" w:cs="Times New Roman" w:eastAsiaTheme="minorEastAsia"/>
          <w:color w:val="000000" w:themeColor="text1"/>
          <w:sz w:val="24"/>
          <w:highlight w:val="none"/>
          <w14:textFill>
            <w14:solidFill>
              <w14:schemeClr w14:val="tx1"/>
            </w14:solidFill>
          </w14:textFill>
        </w:rPr>
        <w:t>日</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起修订版</w:t>
      </w:r>
      <w:r>
        <w:rPr>
          <w:rFonts w:hint="default" w:ascii="Times New Roman" w:hAnsi="Times New Roman" w:cs="Times New Roman" w:eastAsiaTheme="minorEastAsia"/>
          <w:color w:val="000000" w:themeColor="text1"/>
          <w:sz w:val="24"/>
          <w:highlight w:val="none"/>
          <w14:textFill>
            <w14:solidFill>
              <w14:schemeClr w14:val="tx1"/>
            </w14:solidFill>
          </w14:textFill>
        </w:rPr>
        <w:t>施行</w:t>
      </w:r>
      <w: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t>)</w:t>
      </w:r>
      <w:r>
        <w:rPr>
          <w:rFonts w:hint="default" w:ascii="Times New Roman" w:hAnsi="Times New Roman" w:cs="Times New Roman" w:eastAsiaTheme="minorEastAsia"/>
          <w:snapToGrid w:val="0"/>
          <w:color w:val="000000" w:themeColor="text1"/>
          <w:sz w:val="24"/>
          <w:highlight w:val="none"/>
          <w14:textFill>
            <w14:solidFill>
              <w14:schemeClr w14:val="tx1"/>
            </w14:solidFill>
          </w14:textFill>
        </w:rPr>
        <w:t>；</w:t>
      </w:r>
    </w:p>
    <w:p w14:paraId="4672B70F">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14:textFill>
            <w14:solidFill>
              <w14:schemeClr w14:val="tx1"/>
            </w14:solidFill>
          </w14:textFill>
        </w:rPr>
        <w:t>(</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9</w:t>
      </w:r>
      <w:r>
        <w:rPr>
          <w:rFonts w:hint="default" w:ascii="Times New Roman" w:hAnsi="Times New Roman" w:cs="Times New Roman" w:eastAsiaTheme="minorEastAsia"/>
          <w:snapToGrid w:val="0"/>
          <w:color w:val="000000" w:themeColor="text1"/>
          <w:sz w:val="24"/>
          <w:highlight w:val="none"/>
          <w14:textFill>
            <w14:solidFill>
              <w14:schemeClr w14:val="tx1"/>
            </w14:solidFill>
          </w14:textFill>
        </w:rPr>
        <w:t>)《中华人民共和国土地管理法》(</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2020</w:t>
      </w:r>
      <w:r>
        <w:rPr>
          <w:rFonts w:hint="default" w:ascii="Times New Roman" w:hAnsi="Times New Roman" w:cs="Times New Roman" w:eastAsiaTheme="minorEastAsia"/>
          <w:snapToGrid w:val="0"/>
          <w:color w:val="000000" w:themeColor="text1"/>
          <w:sz w:val="24"/>
          <w:highlight w:val="none"/>
          <w14:textFill>
            <w14:solidFill>
              <w14:schemeClr w14:val="tx1"/>
            </w14:solidFill>
          </w14:textFill>
        </w:rPr>
        <w:t>年</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1</w:t>
      </w:r>
      <w:r>
        <w:rPr>
          <w:rFonts w:hint="default" w:ascii="Times New Roman" w:hAnsi="Times New Roman" w:cs="Times New Roman" w:eastAsiaTheme="minorEastAsia"/>
          <w:snapToGrid w:val="0"/>
          <w:color w:val="000000" w:themeColor="text1"/>
          <w:sz w:val="24"/>
          <w:highlight w:val="none"/>
          <w14:textFill>
            <w14:solidFill>
              <w14:schemeClr w14:val="tx1"/>
            </w14:solidFill>
          </w14:textFill>
        </w:rPr>
        <w:t>月</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1</w:t>
      </w:r>
      <w:r>
        <w:rPr>
          <w:rFonts w:hint="default" w:ascii="Times New Roman" w:hAnsi="Times New Roman" w:cs="Times New Roman" w:eastAsiaTheme="minorEastAsia"/>
          <w:snapToGrid w:val="0"/>
          <w:color w:val="000000" w:themeColor="text1"/>
          <w:sz w:val="24"/>
          <w:highlight w:val="none"/>
          <w14:textFill>
            <w14:solidFill>
              <w14:schemeClr w14:val="tx1"/>
            </w14:solidFill>
          </w14:textFill>
        </w:rPr>
        <w:t>日起</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修订</w:t>
      </w:r>
      <w:r>
        <w:rPr>
          <w:rFonts w:hint="default" w:ascii="Times New Roman" w:hAnsi="Times New Roman" w:cs="Times New Roman" w:eastAsiaTheme="minorEastAsia"/>
          <w:snapToGrid w:val="0"/>
          <w:color w:val="000000" w:themeColor="text1"/>
          <w:sz w:val="24"/>
          <w:highlight w:val="none"/>
          <w14:textFill>
            <w14:solidFill>
              <w14:schemeClr w14:val="tx1"/>
            </w14:solidFill>
          </w14:textFill>
        </w:rPr>
        <w:t>版施行</w:t>
      </w:r>
      <w:r>
        <w:rPr>
          <w:rFonts w:hint="default" w:ascii="Times New Roman" w:hAnsi="Times New Roman" w:cs="Times New Roman" w:eastAsiaTheme="minorEastAsia"/>
          <w:snapToGrid w:val="0"/>
          <w:color w:val="000000" w:themeColor="text1"/>
          <w:sz w:val="24"/>
          <w:highlight w:val="none"/>
          <w:lang w:eastAsia="zh-CN"/>
          <w14:textFill>
            <w14:solidFill>
              <w14:schemeClr w14:val="tx1"/>
            </w14:solidFill>
          </w14:textFill>
        </w:rPr>
        <w:t>)</w:t>
      </w:r>
      <w:r>
        <w:rPr>
          <w:rFonts w:hint="default" w:ascii="Times New Roman" w:hAnsi="Times New Roman" w:cs="Times New Roman" w:eastAsiaTheme="minorEastAsia"/>
          <w:snapToGrid w:val="0"/>
          <w:color w:val="000000" w:themeColor="text1"/>
          <w:sz w:val="24"/>
          <w:highlight w:val="none"/>
          <w14:textFill>
            <w14:solidFill>
              <w14:schemeClr w14:val="tx1"/>
            </w14:solidFill>
          </w14:textFill>
        </w:rPr>
        <w:t>；</w:t>
      </w:r>
    </w:p>
    <w:p w14:paraId="0C1375BC">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14:textFill>
            <w14:solidFill>
              <w14:schemeClr w14:val="tx1"/>
            </w14:solidFill>
          </w14:textFill>
        </w:rPr>
        <w:t>(</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10</w:t>
      </w:r>
      <w:r>
        <w:rPr>
          <w:rFonts w:hint="default" w:ascii="Times New Roman" w:hAnsi="Times New Roman" w:cs="Times New Roman" w:eastAsiaTheme="minorEastAsia"/>
          <w:snapToGrid w:val="0"/>
          <w:color w:val="000000" w:themeColor="text1"/>
          <w:sz w:val="24"/>
          <w:highlight w:val="none"/>
          <w14:textFill>
            <w14:solidFill>
              <w14:schemeClr w14:val="tx1"/>
            </w14:solidFill>
          </w14:textFill>
        </w:rPr>
        <w:t>)《中华人民共和国土壤污染防治法》</w:t>
      </w:r>
      <w:r>
        <w:rPr>
          <w:rFonts w:hint="default" w:ascii="Times New Roman" w:hAnsi="Times New Roman" w:cs="Times New Roman" w:eastAsiaTheme="minorEastAsia"/>
          <w:snapToGrid w:val="0"/>
          <w:color w:val="000000" w:themeColor="text1"/>
          <w:sz w:val="24"/>
          <w:highlight w:val="none"/>
          <w:lang w:eastAsia="zh-CN"/>
          <w14:textFill>
            <w14:solidFill>
              <w14:schemeClr w14:val="tx1"/>
            </w14:solidFill>
          </w14:textFill>
        </w:rPr>
        <w:t>（</w:t>
      </w:r>
      <w:r>
        <w:rPr>
          <w:rFonts w:hint="default" w:ascii="Times New Roman" w:hAnsi="Times New Roman" w:cs="Times New Roman" w:eastAsiaTheme="minorEastAsia"/>
          <w:snapToGrid w:val="0"/>
          <w:color w:val="000000" w:themeColor="text1"/>
          <w:sz w:val="24"/>
          <w:highlight w:val="none"/>
          <w14:textFill>
            <w14:solidFill>
              <w14:schemeClr w14:val="tx1"/>
            </w14:solidFill>
          </w14:textFill>
        </w:rPr>
        <w:t>2018年8月31</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日</w:t>
      </w:r>
      <w:r>
        <w:rPr>
          <w:rFonts w:hint="default" w:ascii="Times New Roman" w:hAnsi="Times New Roman" w:cs="Times New Roman" w:eastAsiaTheme="minorEastAsia"/>
          <w:snapToGrid w:val="0"/>
          <w:color w:val="000000" w:themeColor="text1"/>
          <w:sz w:val="24"/>
          <w:highlight w:val="none"/>
          <w14:textFill>
            <w14:solidFill>
              <w14:schemeClr w14:val="tx1"/>
            </w14:solidFill>
          </w14:textFill>
        </w:rPr>
        <w:t>审议通过，2019年1月1</w:t>
      </w:r>
      <w:r>
        <w:rPr>
          <w:rFonts w:hint="default" w:ascii="Times New Roman" w:hAnsi="Times New Roman" w:cs="Times New Roman" w:eastAsiaTheme="minorEastAsia"/>
          <w:snapToGrid w:val="0"/>
          <w:color w:val="000000" w:themeColor="text1"/>
          <w:sz w:val="24"/>
          <w:highlight w:val="none"/>
          <w:lang w:eastAsia="zh-CN"/>
          <w14:textFill>
            <w14:solidFill>
              <w14:schemeClr w14:val="tx1"/>
            </w14:solidFill>
          </w14:textFill>
        </w:rPr>
        <w:t>日</w:t>
      </w:r>
      <w:r>
        <w:rPr>
          <w:rFonts w:hint="default" w:ascii="Times New Roman" w:hAnsi="Times New Roman" w:cs="Times New Roman" w:eastAsiaTheme="minorEastAsia"/>
          <w:snapToGrid w:val="0"/>
          <w:color w:val="000000" w:themeColor="text1"/>
          <w:sz w:val="24"/>
          <w:highlight w:val="none"/>
          <w14:textFill>
            <w14:solidFill>
              <w14:schemeClr w14:val="tx1"/>
            </w14:solidFill>
          </w14:textFill>
        </w:rPr>
        <w:t>起施行</w:t>
      </w:r>
      <w:r>
        <w:rPr>
          <w:rFonts w:hint="default" w:ascii="Times New Roman" w:hAnsi="Times New Roman" w:cs="Times New Roman" w:eastAsiaTheme="minorEastAsia"/>
          <w:snapToGrid w:val="0"/>
          <w:color w:val="000000" w:themeColor="text1"/>
          <w:sz w:val="24"/>
          <w:highlight w:val="none"/>
          <w:lang w:eastAsia="zh-CN"/>
          <w14:textFill>
            <w14:solidFill>
              <w14:schemeClr w14:val="tx1"/>
            </w14:solidFill>
          </w14:textFill>
        </w:rPr>
        <w:t>）</w:t>
      </w:r>
      <w:r>
        <w:rPr>
          <w:rFonts w:hint="default" w:ascii="Times New Roman" w:hAnsi="Times New Roman" w:cs="Times New Roman" w:eastAsiaTheme="minorEastAsia"/>
          <w:snapToGrid w:val="0"/>
          <w:color w:val="000000" w:themeColor="text1"/>
          <w:sz w:val="24"/>
          <w:highlight w:val="none"/>
          <w14:textFill>
            <w14:solidFill>
              <w14:schemeClr w14:val="tx1"/>
            </w14:solidFill>
          </w14:textFill>
        </w:rPr>
        <w:t>；</w:t>
      </w:r>
    </w:p>
    <w:p w14:paraId="48055A35">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14:textFill>
            <w14:solidFill>
              <w14:schemeClr w14:val="tx1"/>
            </w14:solidFill>
          </w14:textFill>
        </w:rPr>
        <w:t>(1</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1</w:t>
      </w:r>
      <w:r>
        <w:rPr>
          <w:rFonts w:hint="default" w:ascii="Times New Roman" w:hAnsi="Times New Roman" w:cs="Times New Roman" w:eastAsiaTheme="minorEastAsia"/>
          <w:snapToGrid w:val="0"/>
          <w:color w:val="000000" w:themeColor="text1"/>
          <w:sz w:val="24"/>
          <w:highlight w:val="none"/>
          <w14:textFill>
            <w14:solidFill>
              <w14:schemeClr w14:val="tx1"/>
            </w14:solidFill>
          </w14:textFill>
        </w:rPr>
        <w:t>)《中华人民共和国草原法》</w:t>
      </w:r>
      <w:r>
        <w:rPr>
          <w:rFonts w:hint="eastAsia" w:ascii="Times New Roman" w:hAnsi="Times New Roman" w:cs="Times New Roman" w:eastAsiaTheme="minorEastAsia"/>
          <w:snapToGrid w:val="0"/>
          <w:color w:val="000000" w:themeColor="text1"/>
          <w:sz w:val="24"/>
          <w:highlight w:val="none"/>
          <w:lang w:eastAsia="zh-CN"/>
          <w14:textFill>
            <w14:solidFill>
              <w14:schemeClr w14:val="tx1"/>
            </w14:solidFill>
          </w14:textFill>
        </w:rPr>
        <w:t>（第十三届</w:t>
      </w:r>
      <w:r>
        <w:rPr>
          <w:rFonts w:hint="default" w:ascii="Times New Roman" w:hAnsi="Times New Roman" w:cs="Times New Roman" w:eastAsiaTheme="minorEastAsia"/>
          <w:snapToGrid w:val="0"/>
          <w:color w:val="000000" w:themeColor="text1"/>
          <w:sz w:val="24"/>
          <w:highlight w:val="none"/>
          <w14:textFill>
            <w14:solidFill>
              <w14:schemeClr w14:val="tx1"/>
            </w14:solidFill>
          </w14:textFill>
        </w:rPr>
        <w:t>人大第28次会议，2021.04.29修订</w:t>
      </w:r>
      <w:r>
        <w:rPr>
          <w:rFonts w:hint="default" w:ascii="Times New Roman" w:hAnsi="Times New Roman" w:cs="Times New Roman" w:eastAsiaTheme="minorEastAsia"/>
          <w:snapToGrid w:val="0"/>
          <w:color w:val="000000" w:themeColor="text1"/>
          <w:sz w:val="24"/>
          <w:highlight w:val="none"/>
          <w:lang w:eastAsia="zh-CN"/>
          <w14:textFill>
            <w14:solidFill>
              <w14:schemeClr w14:val="tx1"/>
            </w14:solidFill>
          </w14:textFill>
        </w:rPr>
        <w:t>）</w:t>
      </w:r>
      <w:r>
        <w:rPr>
          <w:rFonts w:hint="default" w:ascii="Times New Roman" w:hAnsi="Times New Roman" w:cs="Times New Roman" w:eastAsiaTheme="minorEastAsia"/>
          <w:snapToGrid w:val="0"/>
          <w:color w:val="000000" w:themeColor="text1"/>
          <w:sz w:val="24"/>
          <w:highlight w:val="none"/>
          <w14:textFill>
            <w14:solidFill>
              <w14:schemeClr w14:val="tx1"/>
            </w14:solidFill>
          </w14:textFill>
        </w:rPr>
        <w:t>；</w:t>
      </w:r>
    </w:p>
    <w:p w14:paraId="17844CCE">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14:textFill>
            <w14:solidFill>
              <w14:schemeClr w14:val="tx1"/>
            </w14:solidFill>
          </w14:textFill>
        </w:rPr>
        <w:t>(1</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2</w:t>
      </w:r>
      <w:r>
        <w:rPr>
          <w:rFonts w:hint="default" w:ascii="Times New Roman" w:hAnsi="Times New Roman" w:cs="Times New Roman" w:eastAsiaTheme="minorEastAsia"/>
          <w:snapToGrid w:val="0"/>
          <w:color w:val="000000" w:themeColor="text1"/>
          <w:sz w:val="24"/>
          <w:highlight w:val="none"/>
          <w14:textFill>
            <w14:solidFill>
              <w14:schemeClr w14:val="tx1"/>
            </w14:solidFill>
          </w14:textFill>
        </w:rPr>
        <w:t>)《中华人民共和国防沙治沙法》</w:t>
      </w:r>
      <w:r>
        <w:rPr>
          <w:rFonts w:hint="eastAsia" w:ascii="Times New Roman" w:hAnsi="Times New Roman" w:cs="Times New Roman" w:eastAsiaTheme="minorEastAsia"/>
          <w:snapToGrid w:val="0"/>
          <w:color w:val="000000" w:themeColor="text1"/>
          <w:sz w:val="24"/>
          <w:highlight w:val="none"/>
          <w:lang w:eastAsia="zh-CN"/>
          <w14:textFill>
            <w14:solidFill>
              <w14:schemeClr w14:val="tx1"/>
            </w14:solidFill>
          </w14:textFill>
        </w:rPr>
        <w:t>（第十三届</w:t>
      </w:r>
      <w:r>
        <w:rPr>
          <w:rFonts w:hint="default" w:ascii="Times New Roman" w:hAnsi="Times New Roman" w:cs="Times New Roman" w:eastAsiaTheme="minorEastAsia"/>
          <w:snapToGrid w:val="0"/>
          <w:color w:val="000000" w:themeColor="text1"/>
          <w:sz w:val="24"/>
          <w:highlight w:val="none"/>
          <w14:textFill>
            <w14:solidFill>
              <w14:schemeClr w14:val="tx1"/>
            </w14:solidFill>
          </w14:textFill>
        </w:rPr>
        <w:t>人大第6次会议，2018.10.26修订</w:t>
      </w:r>
      <w:r>
        <w:rPr>
          <w:rFonts w:hint="default" w:ascii="Times New Roman" w:hAnsi="Times New Roman" w:cs="Times New Roman" w:eastAsiaTheme="minorEastAsia"/>
          <w:snapToGrid w:val="0"/>
          <w:color w:val="000000" w:themeColor="text1"/>
          <w:sz w:val="24"/>
          <w:highlight w:val="none"/>
          <w:lang w:eastAsia="zh-CN"/>
          <w14:textFill>
            <w14:solidFill>
              <w14:schemeClr w14:val="tx1"/>
            </w14:solidFill>
          </w14:textFill>
        </w:rPr>
        <w:t>）</w:t>
      </w:r>
      <w:r>
        <w:rPr>
          <w:rFonts w:hint="default" w:ascii="Times New Roman" w:hAnsi="Times New Roman" w:cs="Times New Roman" w:eastAsiaTheme="minorEastAsia"/>
          <w:snapToGrid w:val="0"/>
          <w:color w:val="000000" w:themeColor="text1"/>
          <w:sz w:val="24"/>
          <w:highlight w:val="none"/>
          <w14:textFill>
            <w14:solidFill>
              <w14:schemeClr w14:val="tx1"/>
            </w14:solidFill>
          </w14:textFill>
        </w:rPr>
        <w:t>；</w:t>
      </w:r>
    </w:p>
    <w:p w14:paraId="55580487">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14:textFill>
            <w14:solidFill>
              <w14:schemeClr w14:val="tx1"/>
            </w14:solidFill>
          </w14:textFill>
        </w:rPr>
        <w:t>(</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13</w:t>
      </w:r>
      <w:r>
        <w:rPr>
          <w:rFonts w:hint="default" w:ascii="Times New Roman" w:hAnsi="Times New Roman" w:cs="Times New Roman" w:eastAsiaTheme="minorEastAsia"/>
          <w:snapToGrid w:val="0"/>
          <w:color w:val="000000" w:themeColor="text1"/>
          <w:sz w:val="24"/>
          <w:highlight w:val="none"/>
          <w14:textFill>
            <w14:solidFill>
              <w14:schemeClr w14:val="tx1"/>
            </w14:solidFill>
          </w14:textFill>
        </w:rPr>
        <w:t>)</w:t>
      </w:r>
      <w:r>
        <w:rPr>
          <w:rFonts w:hint="default" w:ascii="Times New Roman" w:hAnsi="Times New Roman" w:cs="Times New Roman" w:eastAsiaTheme="minorEastAsia"/>
          <w:snapToGrid w:val="0"/>
          <w:color w:val="000000" w:themeColor="text1"/>
          <w:spacing w:val="-4"/>
          <w:sz w:val="24"/>
          <w:highlight w:val="none"/>
          <w14:textFill>
            <w14:solidFill>
              <w14:schemeClr w14:val="tx1"/>
            </w14:solidFill>
          </w14:textFill>
        </w:rPr>
        <w:t>《建设项目环境保护管理条例》</w:t>
      </w:r>
      <w:r>
        <w:rPr>
          <w:rFonts w:hint="default" w:ascii="Times New Roman" w:hAnsi="Times New Roman" w:cs="Times New Roman" w:eastAsiaTheme="minorEastAsia"/>
          <w:snapToGrid w:val="0"/>
          <w:color w:val="000000" w:themeColor="text1"/>
          <w:spacing w:val="-4"/>
          <w:sz w:val="24"/>
          <w:highlight w:val="none"/>
          <w:lang w:eastAsia="zh-CN"/>
          <w14:textFill>
            <w14:solidFill>
              <w14:schemeClr w14:val="tx1"/>
            </w14:solidFill>
          </w14:textFill>
        </w:rPr>
        <w:t>（</w:t>
      </w:r>
      <w:r>
        <w:rPr>
          <w:rFonts w:hint="default" w:ascii="Times New Roman" w:hAnsi="Times New Roman" w:cs="Times New Roman" w:eastAsiaTheme="minorEastAsia"/>
          <w:snapToGrid w:val="0"/>
          <w:color w:val="000000" w:themeColor="text1"/>
          <w:spacing w:val="-4"/>
          <w:sz w:val="24"/>
          <w:highlight w:val="none"/>
          <w14:textFill>
            <w14:solidFill>
              <w14:schemeClr w14:val="tx1"/>
            </w14:solidFill>
          </w14:textFill>
        </w:rPr>
        <w:t>国务院令第682号</w:t>
      </w:r>
      <w:r>
        <w:rPr>
          <w:rFonts w:hint="default" w:ascii="Times New Roman" w:hAnsi="Times New Roman" w:cs="Times New Roman" w:eastAsiaTheme="minorEastAsia"/>
          <w:snapToGrid w:val="0"/>
          <w:color w:val="000000" w:themeColor="text1"/>
          <w:spacing w:val="-4"/>
          <w:sz w:val="24"/>
          <w:highlight w:val="none"/>
          <w:lang w:eastAsia="zh-CN"/>
          <w14:textFill>
            <w14:solidFill>
              <w14:schemeClr w14:val="tx1"/>
            </w14:solidFill>
          </w14:textFill>
        </w:rPr>
        <w:t>，</w:t>
      </w:r>
      <w:r>
        <w:rPr>
          <w:rFonts w:hint="default" w:ascii="Times New Roman" w:hAnsi="Times New Roman" w:cs="Times New Roman" w:eastAsiaTheme="minorEastAsia"/>
          <w:snapToGrid w:val="0"/>
          <w:color w:val="000000" w:themeColor="text1"/>
          <w:spacing w:val="-4"/>
          <w:sz w:val="24"/>
          <w:highlight w:val="none"/>
          <w14:textFill>
            <w14:solidFill>
              <w14:schemeClr w14:val="tx1"/>
            </w14:solidFill>
          </w14:textFill>
        </w:rPr>
        <w:t>2017年10月1日起施行</w:t>
      </w:r>
      <w:r>
        <w:rPr>
          <w:rFonts w:hint="default" w:ascii="Times New Roman" w:hAnsi="Times New Roman" w:cs="Times New Roman" w:eastAsiaTheme="minorEastAsia"/>
          <w:snapToGrid w:val="0"/>
          <w:color w:val="000000" w:themeColor="text1"/>
          <w:spacing w:val="-4"/>
          <w:sz w:val="24"/>
          <w:highlight w:val="none"/>
          <w:lang w:eastAsia="zh-CN"/>
          <w14:textFill>
            <w14:solidFill>
              <w14:schemeClr w14:val="tx1"/>
            </w14:solidFill>
          </w14:textFill>
        </w:rPr>
        <w:t>)。</w:t>
      </w:r>
    </w:p>
    <w:p w14:paraId="1BA81C32">
      <w:pPr>
        <w:pStyle w:val="11"/>
        <w:bidi w:val="0"/>
        <w:ind w:left="0"/>
        <w:outlineLvl w:val="2"/>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2.2.2 部委规章</w:t>
      </w:r>
    </w:p>
    <w:p w14:paraId="51F49ED9">
      <w:pPr>
        <w:keepNext w:val="0"/>
        <w:keepLines w:val="0"/>
        <w:pageBreakBefore w:val="0"/>
        <w:widowControl w:val="0"/>
        <w:kinsoku/>
        <w:wordWrap w:val="0"/>
        <w:overflowPunct/>
        <w:topLinePunct/>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14:textFill>
            <w14:solidFill>
              <w14:schemeClr w14:val="tx1"/>
            </w14:solidFill>
          </w14:textFill>
        </w:rPr>
        <w:t>(</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1)《产业结构调整指导目录(2024年本)》(中华人民共和国国家发展和改革委员会令第7号，2023年12月27日)；</w:t>
      </w:r>
    </w:p>
    <w:p w14:paraId="7E6912A9">
      <w:pPr>
        <w:keepNext w:val="0"/>
        <w:keepLines w:val="0"/>
        <w:pageBreakBefore w:val="0"/>
        <w:widowControl w:val="0"/>
        <w:kinsoku/>
        <w:wordWrap w:val="0"/>
        <w:overflowPunct/>
        <w:topLinePunct/>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(2)《建设项目环境影响评价分类管理名录(2021年版)》(生态环境部令2020年第16号)；</w:t>
      </w:r>
    </w:p>
    <w:p w14:paraId="77DCE4EB">
      <w:pPr>
        <w:keepNext w:val="0"/>
        <w:keepLines w:val="0"/>
        <w:pageBreakBefore w:val="0"/>
        <w:widowControl w:val="0"/>
        <w:kinsoku/>
        <w:wordWrap w:val="0"/>
        <w:overflowPunct/>
        <w:topLinePunct/>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(3)《环境影响评价公众参与办法》(生态环境部 部令第4号，自2019年1月1日起施行)；</w:t>
      </w:r>
    </w:p>
    <w:p w14:paraId="7B8E32DE">
      <w:pPr>
        <w:keepNext w:val="0"/>
        <w:keepLines w:val="0"/>
        <w:pageBreakBefore w:val="0"/>
        <w:widowControl w:val="0"/>
        <w:kinsoku/>
        <w:wordWrap w:val="0"/>
        <w:overflowPunct/>
        <w:topLinePunct/>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(4)《关于发布〈环境影响评价公众参与办法〉配套文件的公告》(生态环境部公告2018年第48号)；</w:t>
      </w:r>
    </w:p>
    <w:p w14:paraId="648AD0B8">
      <w:pPr>
        <w:keepNext w:val="0"/>
        <w:keepLines w:val="0"/>
        <w:pageBreakBefore w:val="0"/>
        <w:widowControl w:val="0"/>
        <w:kinsoku/>
        <w:wordWrap w:val="0"/>
        <w:overflowPunct/>
        <w:topLinePunct/>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(5)《关于划定并严守生态保护红线的若干意见》(中共中央办公厅、国务院办公厅，2017年2月印发)；</w:t>
      </w:r>
    </w:p>
    <w:p w14:paraId="0D5D273A">
      <w:pPr>
        <w:keepNext w:val="0"/>
        <w:keepLines w:val="0"/>
        <w:pageBreakBefore w:val="0"/>
        <w:widowControl w:val="0"/>
        <w:kinsoku/>
        <w:wordWrap w:val="0"/>
        <w:overflowPunct/>
        <w:topLinePunct/>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(6)《关于在国土空间规划中统筹划定落实三条控制线的指导意见》(中共中央办公厅、国务院办公厅，2019年11月印发)；</w:t>
      </w:r>
    </w:p>
    <w:p w14:paraId="62566D3F">
      <w:pPr>
        <w:keepNext w:val="0"/>
        <w:keepLines w:val="0"/>
        <w:pageBreakBefore w:val="0"/>
        <w:widowControl w:val="0"/>
        <w:kinsoku/>
        <w:wordWrap w:val="0"/>
        <w:overflowPunct/>
        <w:topLinePunct/>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(7)</w:t>
      </w:r>
      <w:r>
        <w:rPr>
          <w:rFonts w:hint="eastAsia" w:ascii="Times New Roman" w:hAnsi="Times New Roman" w:cs="Times New Roman" w:eastAsiaTheme="minorEastAsia"/>
          <w:color w:val="000000" w:themeColor="text1"/>
          <w:sz w:val="24"/>
          <w:highlight w:val="none"/>
          <w:lang w:val="en-US" w:eastAsia="zh-CN"/>
          <w14:textFill>
            <w14:solidFill>
              <w14:schemeClr w14:val="tx1"/>
            </w14:solidFill>
          </w14:textFill>
        </w:rPr>
        <w:t>《国家危险废物名录(2025年版)》(</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2024年11月26日生态环境部、国家发展和改革委员会、公安部、交通运输部、国家卫生健康委员会令第36号公布，自2025年1月1日起施行</w:t>
      </w:r>
      <w:r>
        <w:rPr>
          <w:rFonts w:hint="eastAsia" w:ascii="Times New Roman" w:hAnsi="Times New Roman" w:cs="Times New Roman" w:eastAsiaTheme="minorEastAsia"/>
          <w:color w:val="000000" w:themeColor="text1"/>
          <w:sz w:val="24"/>
          <w:highlight w:val="none"/>
          <w:lang w:val="en-US" w:eastAsia="zh-CN"/>
          <w14:textFill>
            <w14:solidFill>
              <w14:schemeClr w14:val="tx1"/>
            </w14:solidFill>
          </w14:textFill>
        </w:rPr>
        <w:t>)；</w:t>
      </w:r>
    </w:p>
    <w:p w14:paraId="1529E2D9">
      <w:pPr>
        <w:keepNext w:val="0"/>
        <w:keepLines w:val="0"/>
        <w:pageBreakBefore w:val="0"/>
        <w:widowControl w:val="0"/>
        <w:kinsoku/>
        <w:wordWrap w:val="0"/>
        <w:overflowPunct/>
        <w:topLinePunct/>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(8)《危险废物转移管理办法》(部令23号，2022年1月1日起施行)；</w:t>
      </w:r>
    </w:p>
    <w:p w14:paraId="7EF2545F">
      <w:pPr>
        <w:keepNext w:val="0"/>
        <w:keepLines w:val="0"/>
        <w:pageBreakBefore w:val="0"/>
        <w:widowControl w:val="0"/>
        <w:kinsoku/>
        <w:wordWrap w:val="0"/>
        <w:overflowPunct/>
        <w:topLinePunct/>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(9)《国家重点保护野生动物名录》(2021年2月5日起施行)；</w:t>
      </w:r>
    </w:p>
    <w:p w14:paraId="08E4A7B2">
      <w:pPr>
        <w:keepNext w:val="0"/>
        <w:keepLines w:val="0"/>
        <w:pageBreakBefore w:val="0"/>
        <w:widowControl w:val="0"/>
        <w:kinsoku/>
        <w:wordWrap w:val="0"/>
        <w:overflowPunct/>
        <w:topLinePunct/>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(10)《国家重点保护野生植物名录》(2021年8月7日起施行)；</w:t>
      </w:r>
    </w:p>
    <w:p w14:paraId="6FE79887">
      <w:pPr>
        <w:keepNext w:val="0"/>
        <w:keepLines w:val="0"/>
        <w:pageBreakBefore w:val="0"/>
        <w:widowControl w:val="0"/>
        <w:kinsoku/>
        <w:wordWrap w:val="0"/>
        <w:overflowPunct/>
        <w:topLinePunct/>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(11)《关于加强生态保护红线管理的通知(试行)》(自然资发〔2022〕142号，自然资源部、生态环境部、国家林业和草原局印发)；</w:t>
      </w:r>
    </w:p>
    <w:p w14:paraId="382ACD49">
      <w:pPr>
        <w:keepNext w:val="0"/>
        <w:keepLines w:val="0"/>
        <w:pageBreakBefore w:val="0"/>
        <w:widowControl w:val="0"/>
        <w:kinsoku/>
        <w:wordWrap w:val="0"/>
        <w:overflowPunct/>
        <w:topLinePunct/>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(12)《饮用水水源保护区污染防治管理规定》(2010年修正本)；</w:t>
      </w:r>
    </w:p>
    <w:p w14:paraId="27BECD2D">
      <w:pPr>
        <w:pStyle w:val="8"/>
        <w:keepNext w:val="0"/>
        <w:keepLines w:val="0"/>
        <w:pageBreakBefore w:val="0"/>
        <w:widowControl w:val="0"/>
        <w:kinsoku/>
        <w:overflowPunct/>
        <w:autoSpaceDE/>
        <w:autoSpaceDN/>
        <w:bidi w:val="0"/>
        <w:adjustRightInd/>
        <w:snapToGrid/>
        <w:spacing w:after="0" w:afterLines="0" w:line="360" w:lineRule="auto"/>
        <w:ind w:left="0" w:leftChars="0"/>
        <w:textAlignment w:val="auto"/>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t>(13)《集中式饮用水水源环境保护指南(试行)》(环办〔2012〕50号，2010年12月22日起施行)；</w:t>
      </w:r>
    </w:p>
    <w:p w14:paraId="52E815E5">
      <w:pPr>
        <w:pStyle w:val="8"/>
        <w:keepNext w:val="0"/>
        <w:keepLines w:val="0"/>
        <w:pageBreakBefore w:val="0"/>
        <w:widowControl w:val="0"/>
        <w:kinsoku/>
        <w:overflowPunct/>
        <w:autoSpaceDE/>
        <w:autoSpaceDN/>
        <w:bidi w:val="0"/>
        <w:adjustRightInd/>
        <w:snapToGrid/>
        <w:spacing w:after="0" w:afterLines="0" w:line="360" w:lineRule="auto"/>
        <w:ind w:left="0" w:leftChars="0"/>
        <w:textAlignment w:val="auto"/>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t>(14)</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《风电场工程建设用地和环境保护管理暂行办法》（发改能源〔2005〕1511号，2005年8月9日）；</w:t>
      </w:r>
    </w:p>
    <w:p w14:paraId="70B9588E">
      <w:pPr>
        <w:pStyle w:val="8"/>
        <w:keepNext w:val="0"/>
        <w:keepLines w:val="0"/>
        <w:pageBreakBefore w:val="0"/>
        <w:widowControl w:val="0"/>
        <w:kinsoku/>
        <w:overflowPunct/>
        <w:autoSpaceDE/>
        <w:autoSpaceDN/>
        <w:bidi w:val="0"/>
        <w:adjustRightInd/>
        <w:snapToGrid/>
        <w:spacing w:after="0" w:afterLines="0" w:line="360" w:lineRule="auto"/>
        <w:ind w:left="0" w:leftChars="0"/>
        <w:textAlignment w:val="auto"/>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t>(15)</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《风电场场址选择技术规定》（国家能源局，2015年12月13日）。</w:t>
      </w:r>
    </w:p>
    <w:p w14:paraId="2D957812">
      <w:pPr>
        <w:pStyle w:val="11"/>
        <w:bidi w:val="0"/>
        <w:ind w:left="0"/>
        <w:outlineLvl w:val="2"/>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2.2.3 地方性法规及规划</w:t>
      </w:r>
    </w:p>
    <w:p w14:paraId="0A9225F0">
      <w:pPr>
        <w:keepNext w:val="0"/>
        <w:keepLines w:val="0"/>
        <w:pageBreakBefore w:val="0"/>
        <w:widowControl w:val="0"/>
        <w:kinsoku/>
        <w:wordWrap w:val="0"/>
        <w:overflowPunct/>
        <w:topLinePunct/>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(1)《新疆维吾尔自治区国民经济和社会发展第十四个五年规划和2035年远景目标纲要》；</w:t>
      </w:r>
    </w:p>
    <w:p w14:paraId="2A9FFAC4">
      <w:pPr>
        <w:keepNext w:val="0"/>
        <w:keepLines w:val="0"/>
        <w:pageBreakBefore w:val="0"/>
        <w:widowControl w:val="0"/>
        <w:kinsoku/>
        <w:wordWrap w:val="0"/>
        <w:overflowPunct/>
        <w:topLinePunct/>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(2)《乌鲁木齐市国民经济和社会发展第十四个五年规划和2035年远景目标纲要》；</w:t>
      </w:r>
    </w:p>
    <w:p w14:paraId="7830FD59">
      <w:pPr>
        <w:keepNext w:val="0"/>
        <w:keepLines w:val="0"/>
        <w:pageBreakBefore w:val="0"/>
        <w:widowControl w:val="0"/>
        <w:kinsoku/>
        <w:wordWrap w:val="0"/>
        <w:overflowPunct/>
        <w:topLinePunct/>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highlight w:val="none"/>
          <w14:textFill>
            <w14:solidFill>
              <w14:schemeClr w14:val="tx1"/>
            </w14:solidFill>
          </w14:textFill>
        </w:rPr>
        <w:t>《新疆维吾尔自治区重点保护野生动物名录》</w:t>
      </w:r>
      <w: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 w:val="24"/>
          <w:highlight w:val="none"/>
          <w14:textFill>
            <w14:solidFill>
              <w14:schemeClr w14:val="tx1"/>
            </w14:solidFill>
          </w14:textFill>
        </w:rPr>
        <w:t>修订</w:t>
      </w:r>
      <w: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 w:val="24"/>
          <w:highlight w:val="none"/>
          <w14:textFill>
            <w14:solidFill>
              <w14:schemeClr w14:val="tx1"/>
            </w14:solidFill>
          </w14:textFill>
        </w:rPr>
        <w:t>新疆维吾尔自治区人民政府办公厅，新政发〔2022〕75号，2022.9.18</w:t>
      </w:r>
      <w: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w:t>
      </w:r>
    </w:p>
    <w:p w14:paraId="342C9804">
      <w:pPr>
        <w:keepNext w:val="0"/>
        <w:keepLines w:val="0"/>
        <w:pageBreakBefore w:val="0"/>
        <w:widowControl w:val="0"/>
        <w:kinsoku/>
        <w:wordWrap w:val="0"/>
        <w:overflowPunct/>
        <w:topLinePunct/>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(4)《新疆维吾尔自治区重点保护野生植物名录》(新政发〔2023〕63号)，2023年12月29日；</w:t>
      </w:r>
    </w:p>
    <w:p w14:paraId="13BE4AC3">
      <w:pPr>
        <w:keepNext w:val="0"/>
        <w:keepLines w:val="0"/>
        <w:pageBreakBefore w:val="0"/>
        <w:widowControl w:val="0"/>
        <w:kinsoku/>
        <w:wordWrap w:val="0"/>
        <w:overflowPunct/>
        <w:topLinePunct/>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(5)《新疆维吾尔自治区野生植物保护条例》(2018年9月21日，新疆维吾尔自治区十三届人民代表大会常务委员会第六次会议审议第二次修正)；</w:t>
      </w:r>
    </w:p>
    <w:p w14:paraId="58ED39E3">
      <w:pPr>
        <w:keepNext w:val="0"/>
        <w:keepLines w:val="0"/>
        <w:pageBreakBefore w:val="0"/>
        <w:widowControl w:val="0"/>
        <w:kinsoku/>
        <w:wordWrap w:val="0"/>
        <w:overflowPunct/>
        <w:topLinePunct/>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(6)《新疆维吾尔自治区环境保护条例》(2018年9月21日，新疆维吾尔自治区十三届人民代表大会常务委员会第六次会议审议第二次修正)；</w:t>
      </w:r>
    </w:p>
    <w:p w14:paraId="7CB12C46">
      <w:pPr>
        <w:keepNext w:val="0"/>
        <w:keepLines w:val="0"/>
        <w:pageBreakBefore w:val="0"/>
        <w:widowControl w:val="0"/>
        <w:kinsoku/>
        <w:wordWrap w:val="0"/>
        <w:overflowPunct/>
        <w:topLinePunct/>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(7)《新疆维吾尔自治区生态功能区划》(2003年)；</w:t>
      </w:r>
    </w:p>
    <w:p w14:paraId="2A41910E">
      <w:pPr>
        <w:keepNext w:val="0"/>
        <w:keepLines w:val="0"/>
        <w:pageBreakBefore w:val="0"/>
        <w:widowControl w:val="0"/>
        <w:kinsoku/>
        <w:wordWrap w:val="0"/>
        <w:overflowPunct/>
        <w:topLinePunct/>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(8)《新疆生态环境保护“十四五”规划》(自治区党委自治区人民政府印发，2021年12月24日)；</w:t>
      </w:r>
    </w:p>
    <w:p w14:paraId="566D8B37">
      <w:pPr>
        <w:keepNext w:val="0"/>
        <w:keepLines w:val="0"/>
        <w:pageBreakBefore w:val="0"/>
        <w:widowControl w:val="0"/>
        <w:kinsoku/>
        <w:wordWrap w:val="0"/>
        <w:overflowPunct/>
        <w:topLinePunct/>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(9)《乌鲁木齐市生态环境保护“十四五”规划》(乌鲁木齐市生态环境局编制，2022年4月11日)；</w:t>
      </w:r>
    </w:p>
    <w:p w14:paraId="7E2A5FA2">
      <w:pPr>
        <w:keepNext w:val="0"/>
        <w:keepLines w:val="0"/>
        <w:pageBreakBefore w:val="0"/>
        <w:widowControl w:val="0"/>
        <w:kinsoku/>
        <w:wordWrap w:val="0"/>
        <w:overflowPunct/>
        <w:topLinePunct/>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(10)《新疆维吾尔自治区“三线一单”生态环境分区管控方案》(新政发〔2021〕18号)；</w:t>
      </w:r>
    </w:p>
    <w:p w14:paraId="739D0062">
      <w:pPr>
        <w:keepNext w:val="0"/>
        <w:keepLines w:val="0"/>
        <w:pageBreakBefore w:val="0"/>
        <w:widowControl w:val="0"/>
        <w:kinsoku/>
        <w:wordWrap w:val="0"/>
        <w:overflowPunct/>
        <w:topLinePunct/>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(1</w:t>
      </w:r>
      <w:r>
        <w:rPr>
          <w:rFonts w:hint="eastAsia" w:ascii="Times New Roman" w:hAnsi="Times New Roman" w:cs="Times New Roman" w:eastAsiaTheme="minorEastAsia"/>
          <w:color w:val="000000" w:themeColor="text1"/>
          <w:sz w:val="24"/>
          <w:highlight w:val="none"/>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)《关于印发〈新疆维吾尔自治区生态环境分区管控方案动态更新成果〉的通知》(新环环发〔2024〕157号</w:t>
      </w:r>
      <w:r>
        <w:rPr>
          <w:rFonts w:hint="eastAsia" w:ascii="Times New Roman" w:hAnsi="Times New Roman" w:cs="Times New Roman" w:eastAsiaTheme="minorEastAsia"/>
          <w:color w:val="000000" w:themeColor="text1"/>
          <w:sz w:val="24"/>
          <w:highlight w:val="none"/>
          <w:lang w:val="en-US" w:eastAsia="zh-CN"/>
          <w14:textFill>
            <w14:solidFill>
              <w14:schemeClr w14:val="tx1"/>
            </w14:solidFill>
          </w14:textFill>
        </w:rPr>
        <w:t>，2024年11月15日</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highlight w:val="none"/>
          <w:lang w:val="en-US" w:eastAsia="zh-CN"/>
          <w14:textFill>
            <w14:solidFill>
              <w14:schemeClr w14:val="tx1"/>
            </w14:solidFill>
          </w14:textFill>
        </w:rPr>
        <w:t>；</w:t>
      </w:r>
    </w:p>
    <w:p w14:paraId="3F0D0E4D">
      <w:pPr>
        <w:keepNext w:val="0"/>
        <w:keepLines w:val="0"/>
        <w:pageBreakBefore w:val="0"/>
        <w:widowControl w:val="0"/>
        <w:kinsoku/>
        <w:wordWrap w:val="0"/>
        <w:overflowPunct/>
        <w:topLinePunct/>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(1</w:t>
      </w:r>
      <w:r>
        <w:rPr>
          <w:rFonts w:hint="eastAsia" w:ascii="Times New Roman" w:hAnsi="Times New Roman" w:cs="Times New Roman" w:eastAsiaTheme="minorEastAsia"/>
          <w:color w:val="000000" w:themeColor="text1"/>
          <w:sz w:val="24"/>
          <w:highlight w:val="none"/>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highlight w:val="none"/>
          <w:lang w:val="en-US" w:eastAsia="zh-CN"/>
          <w14:textFill>
            <w14:solidFill>
              <w14:schemeClr w14:val="tx1"/>
            </w14:solidFill>
          </w14:textFill>
        </w:rPr>
        <w:t>《关于印发&lt;新疆维吾尔自治区七大片区“三线一单”生态环境分区管控要求&gt;(2021年版)的通知》(新环环评发〔2021〕162号，2021年7月26日)；</w:t>
      </w:r>
    </w:p>
    <w:p w14:paraId="31E1CC97">
      <w:pPr>
        <w:keepNext w:val="0"/>
        <w:keepLines w:val="0"/>
        <w:pageBreakBefore w:val="0"/>
        <w:widowControl w:val="0"/>
        <w:kinsoku/>
        <w:wordWrap w:val="0"/>
        <w:overflowPunct/>
        <w:topLinePunct/>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(1</w:t>
      </w:r>
      <w:r>
        <w:rPr>
          <w:rFonts w:hint="eastAsia" w:cs="Times New Roman" w:eastAsiaTheme="minorEastAsia"/>
          <w:color w:val="000000" w:themeColor="text1"/>
          <w:sz w:val="24"/>
          <w:highlight w:val="none"/>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)《乌鲁木齐</w:t>
      </w:r>
      <w:bookmarkStart w:id="575" w:name="_GoBack"/>
      <w:bookmarkEnd w:id="575"/>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市生态环境分区管控动态更新成果(2023)》(2024年5月27日)；</w:t>
      </w:r>
    </w:p>
    <w:p w14:paraId="405D3CDF">
      <w:pPr>
        <w:keepNext w:val="0"/>
        <w:keepLines w:val="0"/>
        <w:pageBreakBefore w:val="0"/>
        <w:widowControl w:val="0"/>
        <w:kinsoku/>
        <w:wordWrap w:val="0"/>
        <w:overflowPunct/>
        <w:topLinePunct/>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(1</w:t>
      </w:r>
      <w:r>
        <w:rPr>
          <w:rFonts w:hint="eastAsia" w:cs="Times New Roman" w:eastAsiaTheme="minorEastAsia"/>
          <w:color w:val="000000" w:themeColor="text1"/>
          <w:sz w:val="24"/>
          <w:highlight w:val="none"/>
          <w:lang w:val="en-US" w:eastAsia="zh-CN"/>
          <w14:textFill>
            <w14:solidFill>
              <w14:schemeClr w14:val="tx1"/>
            </w14:solidFill>
          </w14:textFill>
        </w:rPr>
        <w:t>4</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)《关于深入打好污染防治攻坚战的实施方案》(新疆维吾尔自治区</w:t>
      </w:r>
      <w:r>
        <w:rPr>
          <w:rFonts w:hint="default" w:ascii="Times New Roman" w:hAnsi="Times New Roman" w:cs="Times New Roman" w:eastAsiaTheme="minorEastAsia"/>
          <w:color w:val="000000" w:themeColor="text1"/>
          <w:kern w:val="0"/>
          <w:sz w:val="24"/>
          <w:szCs w:val="24"/>
          <w:highlight w:val="none"/>
          <w:lang w:val="en-US" w:eastAsia="zh-CN" w:bidi="ar"/>
          <w14:textFill>
            <w14:solidFill>
              <w14:schemeClr w14:val="tx1"/>
            </w14:solidFill>
          </w14:textFill>
        </w:rPr>
        <w:t>党委、</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新疆维吾尔自治区</w:t>
      </w:r>
      <w:r>
        <w:rPr>
          <w:rFonts w:hint="default" w:ascii="Times New Roman" w:hAnsi="Times New Roman" w:cs="Times New Roman" w:eastAsiaTheme="minorEastAsia"/>
          <w:color w:val="000000" w:themeColor="text1"/>
          <w:kern w:val="0"/>
          <w:sz w:val="24"/>
          <w:szCs w:val="24"/>
          <w:highlight w:val="none"/>
          <w:lang w:val="en-US" w:eastAsia="zh-CN" w:bidi="ar"/>
          <w14:textFill>
            <w14:solidFill>
              <w14:schemeClr w14:val="tx1"/>
            </w14:solidFill>
          </w14:textFill>
        </w:rPr>
        <w:t>人民政府，2022年)；</w:t>
      </w:r>
    </w:p>
    <w:p w14:paraId="49466008">
      <w:pPr>
        <w:keepNext w:val="0"/>
        <w:keepLines w:val="0"/>
        <w:pageBreakBefore w:val="0"/>
        <w:widowControl w:val="0"/>
        <w:kinsoku/>
        <w:wordWrap w:val="0"/>
        <w:overflowPunct/>
        <w:topLinePunct/>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(1</w:t>
      </w:r>
      <w:r>
        <w:rPr>
          <w:rFonts w:hint="eastAsia" w:ascii="Times New Roman" w:hAnsi="Times New Roman" w:cs="Times New Roman" w:eastAsiaTheme="minorEastAsia"/>
          <w:color w:val="000000" w:themeColor="text1"/>
          <w:sz w:val="24"/>
          <w:highlight w:val="none"/>
          <w:lang w:val="en-US" w:eastAsia="zh-CN"/>
          <w14:textFill>
            <w14:solidFill>
              <w14:schemeClr w14:val="tx1"/>
            </w14:solidFill>
          </w14:textFill>
        </w:rPr>
        <w:t>5</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)《新疆维吾尔自治区“十四五”电力发展规划》；</w:t>
      </w:r>
    </w:p>
    <w:p w14:paraId="2EB7E836">
      <w:pPr>
        <w:keepNext w:val="0"/>
        <w:keepLines w:val="0"/>
        <w:pageBreakBefore w:val="0"/>
        <w:widowControl w:val="0"/>
        <w:kinsoku/>
        <w:wordWrap w:val="0"/>
        <w:overflowPunct/>
        <w:topLinePunct/>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t>(1</w:t>
      </w:r>
      <w:r>
        <w:rPr>
          <w:rFonts w:hint="eastAsia" w:cs="Times New Roman" w:eastAsiaTheme="minorEastAsia"/>
          <w:color w:val="000000" w:themeColor="text1"/>
          <w:kern w:val="0"/>
          <w:sz w:val="24"/>
          <w:highlight w:val="none"/>
          <w:lang w:val="en-US" w:eastAsia="zh-CN"/>
          <w14:textFill>
            <w14:solidFill>
              <w14:schemeClr w14:val="tx1"/>
            </w14:solidFill>
          </w14:textFill>
        </w:rPr>
        <w:t>6</w:t>
      </w:r>
      <w:r>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《关于建立新能源开发管理工作机制的通知》（</w:t>
      </w:r>
      <w:r>
        <w:rPr>
          <w:rFonts w:hint="eastAsia" w:ascii="Times New Roman" w:hAnsi="Times New Roman" w:cs="Times New Roman" w:eastAsiaTheme="minorEastAsia"/>
          <w:color w:val="000000" w:themeColor="text1"/>
          <w:sz w:val="24"/>
          <w:highlight w:val="none"/>
          <w:lang w:val="en-US" w:eastAsia="zh-CN"/>
          <w14:textFill>
            <w14:solidFill>
              <w14:schemeClr w14:val="tx1"/>
            </w14:solidFill>
          </w14:textFill>
        </w:rPr>
        <w:t>新疆维吾尔自治区</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发改委等五部门，2022年7月4日）；</w:t>
      </w:r>
    </w:p>
    <w:p w14:paraId="490C216D">
      <w:pPr>
        <w:keepNext w:val="0"/>
        <w:keepLines w:val="0"/>
        <w:pageBreakBefore w:val="0"/>
        <w:widowControl w:val="0"/>
        <w:kinsoku/>
        <w:wordWrap w:val="0"/>
        <w:overflowPunct/>
        <w:topLinePunct/>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t>（1</w:t>
      </w:r>
      <w:r>
        <w:rPr>
          <w:rFonts w:hint="eastAsia" w:cs="Times New Roman" w:eastAsiaTheme="minorEastAsia"/>
          <w:color w:val="000000" w:themeColor="text1"/>
          <w:kern w:val="0"/>
          <w:sz w:val="24"/>
          <w:highlight w:val="none"/>
          <w:lang w:val="en-US" w:eastAsia="zh-CN"/>
          <w14:textFill>
            <w14:solidFill>
              <w14:schemeClr w14:val="tx1"/>
            </w14:solidFill>
          </w14:textFill>
        </w:rPr>
        <w:t>7</w:t>
      </w:r>
      <w:r>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t>）《新疆维吾尔自治区实施&lt;中华人民共和国水污染防治法&gt;办法》(2023年6月1日)</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w:t>
      </w:r>
    </w:p>
    <w:p w14:paraId="59E4C97D">
      <w:pPr>
        <w:keepNext w:val="0"/>
        <w:keepLines w:val="0"/>
        <w:pageBreakBefore w:val="0"/>
        <w:widowControl w:val="0"/>
        <w:kinsoku/>
        <w:wordWrap w:val="0"/>
        <w:overflowPunct/>
        <w:topLinePunct/>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(1</w:t>
      </w:r>
      <w:r>
        <w:rPr>
          <w:rFonts w:hint="eastAsia" w:cs="Times New Roman" w:eastAsiaTheme="minorEastAsia"/>
          <w:color w:val="000000" w:themeColor="text1"/>
          <w:sz w:val="24"/>
          <w:highlight w:val="none"/>
          <w:lang w:val="en-US" w:eastAsia="zh-CN"/>
          <w14:textFill>
            <w14:solidFill>
              <w14:schemeClr w14:val="tx1"/>
            </w14:solidFill>
          </w14:textFill>
        </w:rPr>
        <w:t>8</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)《乌鲁木齐市饮用水水源保护区管理条例》(2002年3月29日)；</w:t>
      </w:r>
    </w:p>
    <w:p w14:paraId="2075827E">
      <w:pPr>
        <w:keepNext w:val="0"/>
        <w:keepLines w:val="0"/>
        <w:pageBreakBefore w:val="0"/>
        <w:widowControl w:val="0"/>
        <w:kinsoku/>
        <w:wordWrap w:val="0"/>
        <w:overflowPunct/>
        <w:topLinePunct/>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（1</w:t>
      </w:r>
      <w:r>
        <w:rPr>
          <w:rFonts w:hint="eastAsia" w:cs="Times New Roman" w:eastAsiaTheme="minorEastAsia"/>
          <w:color w:val="000000" w:themeColor="text1"/>
          <w:sz w:val="24"/>
          <w:highlight w:val="none"/>
          <w:lang w:val="en-US" w:eastAsia="zh-CN"/>
          <w14:textFill>
            <w14:solidFill>
              <w14:schemeClr w14:val="tx1"/>
            </w14:solidFill>
          </w14:textFill>
        </w:rPr>
        <w:t>9</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）《乌鲁木齐饮用水水源保护区调整划分技术报告》（2022年6月）；</w:t>
      </w:r>
    </w:p>
    <w:p w14:paraId="0E8C0FDA">
      <w:pPr>
        <w:keepNext w:val="0"/>
        <w:keepLines w:val="0"/>
        <w:pageBreakBefore w:val="0"/>
        <w:widowControl w:val="0"/>
        <w:kinsoku/>
        <w:wordWrap w:val="0"/>
        <w:overflowPunct/>
        <w:topLinePunct/>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w:t>
      </w:r>
      <w:r>
        <w:rPr>
          <w:rFonts w:hint="eastAsia" w:cs="Times New Roman" w:eastAsiaTheme="minorEastAsia"/>
          <w:color w:val="000000" w:themeColor="text1"/>
          <w:sz w:val="24"/>
          <w:highlight w:val="none"/>
          <w:lang w:val="en-US" w:eastAsia="zh-CN"/>
          <w14:textFill>
            <w14:solidFill>
              <w14:schemeClr w14:val="tx1"/>
            </w14:solidFill>
          </w14:textFill>
        </w:rPr>
        <w:t>20</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)《乌鲁木齐市饮用水水源保护条例》(2024年1月1日)。</w:t>
      </w:r>
    </w:p>
    <w:p w14:paraId="62D54AC9">
      <w:pPr>
        <w:pStyle w:val="11"/>
        <w:bidi w:val="0"/>
        <w:ind w:left="0"/>
        <w:outlineLvl w:val="2"/>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2.2.4 国家与地方环境标准</w:t>
      </w:r>
    </w:p>
    <w:p w14:paraId="06DD8DC2">
      <w:pPr>
        <w:keepNext w:val="0"/>
        <w:keepLines w:val="0"/>
        <w:pageBreakBefore w:val="0"/>
        <w:widowControl w:val="0"/>
        <w:kinsoku/>
        <w:wordWrap w:val="0"/>
        <w:overflowPunct/>
        <w:topLinePunct/>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(1)《声环境质量标准》(GB3096-2008)；</w:t>
      </w:r>
    </w:p>
    <w:p w14:paraId="5667A7BD">
      <w:pPr>
        <w:spacing w:beforeLines="0" w:afterLines="0"/>
        <w:ind w:left="0" w:leftChars="0" w:firstLine="480" w:firstLineChars="200"/>
        <w:jc w:val="left"/>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(2)</w:t>
      </w:r>
      <w:r>
        <w:rPr>
          <w:rFonts w:hint="eastAsia" w:ascii="宋体" w:hAnsi="宋体" w:eastAsia="宋体"/>
          <w:sz w:val="24"/>
        </w:rPr>
        <w:t>《风力发电场噪声限值及测量方法》（</w:t>
      </w:r>
      <w:r>
        <w:rPr>
          <w:rFonts w:hint="eastAsia" w:ascii="TimesNewRomanPSMT" w:hAnsi="TimesNewRomanPSMT" w:eastAsia="TimesNewRomanPSMT"/>
          <w:sz w:val="24"/>
        </w:rPr>
        <w:t>DL/T1084-2021</w:t>
      </w:r>
      <w:r>
        <w:rPr>
          <w:rFonts w:hint="eastAsia" w:ascii="宋体" w:hAnsi="宋体" w:eastAsia="宋体"/>
          <w:sz w:val="24"/>
        </w:rPr>
        <w:t>）</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w:t>
      </w:r>
    </w:p>
    <w:p w14:paraId="7A509E07">
      <w:pPr>
        <w:keepNext w:val="0"/>
        <w:keepLines w:val="0"/>
        <w:pageBreakBefore w:val="0"/>
        <w:widowControl w:val="0"/>
        <w:kinsoku/>
        <w:wordWrap w:val="0"/>
        <w:overflowPunct/>
        <w:topLinePunct/>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(3)《农村生活污水处理排放标准》(DB65 4275-2019)；</w:t>
      </w:r>
    </w:p>
    <w:p w14:paraId="5BD63C69">
      <w:pPr>
        <w:keepNext w:val="0"/>
        <w:keepLines w:val="0"/>
        <w:pageBreakBefore w:val="0"/>
        <w:widowControl w:val="0"/>
        <w:kinsoku/>
        <w:wordWrap w:val="0"/>
        <w:overflowPunct/>
        <w:topLinePunct/>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(4)《建筑施工场界环境噪声排放标准》(GB12523-2011)；</w:t>
      </w:r>
    </w:p>
    <w:p w14:paraId="10E3ADB0">
      <w:pPr>
        <w:keepNext w:val="0"/>
        <w:keepLines w:val="0"/>
        <w:pageBreakBefore w:val="0"/>
        <w:widowControl w:val="0"/>
        <w:kinsoku/>
        <w:wordWrap w:val="0"/>
        <w:overflowPunct/>
        <w:topLinePunct/>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(5)《危险废物贮存污染控制标准》(GB18597-2023)；</w:t>
      </w:r>
    </w:p>
    <w:p w14:paraId="48734E14">
      <w:pPr>
        <w:keepNext w:val="0"/>
        <w:keepLines w:val="0"/>
        <w:pageBreakBefore w:val="0"/>
        <w:widowControl w:val="0"/>
        <w:kinsoku/>
        <w:wordWrap w:val="0"/>
        <w:overflowPunct/>
        <w:topLinePunct/>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(6)《环境空气质量标准》(GB3095-2012)及其修改单；</w:t>
      </w:r>
    </w:p>
    <w:p w14:paraId="44206F82">
      <w:pPr>
        <w:keepNext w:val="0"/>
        <w:keepLines w:val="0"/>
        <w:pageBreakBefore w:val="0"/>
        <w:widowControl w:val="0"/>
        <w:kinsoku/>
        <w:wordWrap w:val="0"/>
        <w:overflowPunct/>
        <w:topLinePunct/>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(7)《地表水环境质量标准》(GB3838-2002)；</w:t>
      </w:r>
    </w:p>
    <w:p w14:paraId="4BF185A6">
      <w:pPr>
        <w:keepNext w:val="0"/>
        <w:keepLines w:val="0"/>
        <w:pageBreakBefore w:val="0"/>
        <w:widowControl w:val="0"/>
        <w:kinsoku/>
        <w:wordWrap w:val="0"/>
        <w:overflowPunct/>
        <w:topLinePunct/>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(8)《地下水质量标准》(GB/T14848-2017)。</w:t>
      </w:r>
    </w:p>
    <w:p w14:paraId="16FF3415">
      <w:pPr>
        <w:pStyle w:val="11"/>
        <w:bidi w:val="0"/>
        <w:ind w:left="0"/>
        <w:outlineLvl w:val="2"/>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2.2.5 评价技术导则</w:t>
      </w:r>
    </w:p>
    <w:p w14:paraId="6FCBBDF1">
      <w:pPr>
        <w:keepNext w:val="0"/>
        <w:keepLines w:val="0"/>
        <w:pageBreakBefore w:val="0"/>
        <w:widowControl w:val="0"/>
        <w:kinsoku/>
        <w:wordWrap w:val="0"/>
        <w:overflowPunct/>
        <w:topLinePunct/>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(1)《建设项目环境影响评价技术导则 总纲》(HJ2.1-2016)；</w:t>
      </w:r>
    </w:p>
    <w:p w14:paraId="6D92073F">
      <w:pPr>
        <w:keepNext w:val="0"/>
        <w:keepLines w:val="0"/>
        <w:pageBreakBefore w:val="0"/>
        <w:widowControl w:val="0"/>
        <w:kinsoku/>
        <w:wordWrap w:val="0"/>
        <w:overflowPunct/>
        <w:topLinePunct/>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(2)《环境影响评价技术导则 生态影响》(HJ19-2022)；</w:t>
      </w:r>
    </w:p>
    <w:p w14:paraId="20F9B73E">
      <w:pPr>
        <w:keepNext w:val="0"/>
        <w:keepLines w:val="0"/>
        <w:pageBreakBefore w:val="0"/>
        <w:widowControl w:val="0"/>
        <w:kinsoku/>
        <w:wordWrap w:val="0"/>
        <w:overflowPunct/>
        <w:topLinePunct/>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(3)《环境影响评价技术导则 地表水环境》(HJ2.3-2018)；</w:t>
      </w:r>
    </w:p>
    <w:p w14:paraId="7D18B438">
      <w:pPr>
        <w:keepNext w:val="0"/>
        <w:keepLines w:val="0"/>
        <w:pageBreakBefore w:val="0"/>
        <w:widowControl w:val="0"/>
        <w:kinsoku/>
        <w:wordWrap w:val="0"/>
        <w:overflowPunct/>
        <w:topLinePunct/>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(4)《环境影响评价技术导则 地下水环境》(HJ610-2016)；</w:t>
      </w:r>
    </w:p>
    <w:p w14:paraId="7ACEF0E2">
      <w:pPr>
        <w:keepNext w:val="0"/>
        <w:keepLines w:val="0"/>
        <w:pageBreakBefore w:val="0"/>
        <w:widowControl w:val="0"/>
        <w:kinsoku/>
        <w:wordWrap w:val="0"/>
        <w:overflowPunct/>
        <w:topLinePunct/>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(5)《环境影响评价技术导则 声环境》(HJ2.4-2021)；</w:t>
      </w:r>
    </w:p>
    <w:p w14:paraId="5F4238D7">
      <w:pPr>
        <w:keepNext w:val="0"/>
        <w:keepLines w:val="0"/>
        <w:pageBreakBefore w:val="0"/>
        <w:widowControl w:val="0"/>
        <w:kinsoku/>
        <w:wordWrap w:val="0"/>
        <w:overflowPunct/>
        <w:topLinePunct/>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(6)《环境影响评价技术导则 大气环境》(HJ22-2018)；</w:t>
      </w:r>
    </w:p>
    <w:p w14:paraId="0C2F0BD0">
      <w:pPr>
        <w:keepNext w:val="0"/>
        <w:keepLines w:val="0"/>
        <w:pageBreakBefore w:val="0"/>
        <w:widowControl w:val="0"/>
        <w:kinsoku/>
        <w:wordWrap w:val="0"/>
        <w:overflowPunct/>
        <w:topLinePunct/>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(7)《环境影响评价技术导则 土壤环境(试行)》(HJ964-2018)；</w:t>
      </w:r>
    </w:p>
    <w:p w14:paraId="7B3A08E5">
      <w:pPr>
        <w:keepNext w:val="0"/>
        <w:keepLines w:val="0"/>
        <w:pageBreakBefore w:val="0"/>
        <w:widowControl w:val="0"/>
        <w:kinsoku/>
        <w:wordWrap w:val="0"/>
        <w:overflowPunct/>
        <w:topLinePunct/>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w:t>
      </w:r>
      <w:r>
        <w:rPr>
          <w:rFonts w:hint="eastAsia" w:cs="Times New Roman" w:eastAsiaTheme="minorEastAsia"/>
          <w:color w:val="000000" w:themeColor="text1"/>
          <w:sz w:val="24"/>
          <w:highlight w:val="none"/>
          <w:lang w:val="en-US" w:eastAsia="zh-CN"/>
          <w14:textFill>
            <w14:solidFill>
              <w14:schemeClr w14:val="tx1"/>
            </w14:solidFill>
          </w14:textFill>
        </w:rPr>
        <w:t>8</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)《建设项目环境风险评价技术导则》(HJ169-2018)；</w:t>
      </w:r>
    </w:p>
    <w:p w14:paraId="30AB6591">
      <w:pPr>
        <w:keepNext w:val="0"/>
        <w:keepLines w:val="0"/>
        <w:pageBreakBefore w:val="0"/>
        <w:widowControl w:val="0"/>
        <w:tabs>
          <w:tab w:val="left" w:pos="371"/>
        </w:tabs>
        <w:kinsoku/>
        <w:wordWrap w:val="0"/>
        <w:overflowPunct/>
        <w:topLinePunct/>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w:t>
      </w:r>
      <w:r>
        <w:rPr>
          <w:rFonts w:hint="eastAsia" w:cs="Times New Roman" w:eastAsiaTheme="minorEastAsia"/>
          <w:color w:val="000000" w:themeColor="text1"/>
          <w:sz w:val="24"/>
          <w:highlight w:val="none"/>
          <w:lang w:val="en-US" w:eastAsia="zh-CN"/>
          <w14:textFill>
            <w14:solidFill>
              <w14:schemeClr w14:val="tx1"/>
            </w14:solidFill>
          </w14:textFill>
        </w:rPr>
        <w:t>9</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)《危险废物管理计划和管理台账制定技术导则》(HJ1259-2022)。</w:t>
      </w:r>
    </w:p>
    <w:p w14:paraId="50903A67">
      <w:pPr>
        <w:pStyle w:val="11"/>
        <w:pageBreakBefore w:val="0"/>
        <w:widowControl w:val="0"/>
        <w:kinsoku/>
        <w:overflowPunct/>
        <w:bidi w:val="0"/>
        <w:adjustRightInd/>
        <w:snapToGrid w:val="0"/>
        <w:spacing w:beforeLines="0" w:afterLines="0"/>
        <w:ind w:left="0"/>
        <w:textAlignment w:val="auto"/>
        <w:outlineLvl w:val="2"/>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2.2.6 技术文件及资料</w:t>
      </w:r>
    </w:p>
    <w:p w14:paraId="406B6C6B">
      <w:pPr>
        <w:keepNext w:val="0"/>
        <w:keepLines w:val="0"/>
        <w:pageBreakBefore w:val="0"/>
        <w:widowControl w:val="0"/>
        <w:kinsoku/>
        <w:wordWrap w:val="0"/>
        <w:overflowPunct/>
        <w:topLinePunct/>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(1)《</w:t>
      </w:r>
      <w:r>
        <w:rPr>
          <w:rFonts w:hint="eastAsia" w:cs="Times New Roman" w:eastAsiaTheme="minorEastAsia"/>
          <w:color w:val="000000" w:themeColor="text1"/>
          <w:sz w:val="24"/>
          <w:highlight w:val="none"/>
          <w:lang w:val="en-US" w:eastAsia="zh-CN"/>
          <w14:textFill>
            <w14:solidFill>
              <w14:schemeClr w14:val="tx1"/>
            </w14:solidFill>
          </w14:textFill>
        </w:rPr>
        <w:t>新疆电投融和沙依巴克区15万千瓦风电</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项目可行性研究报告》(</w:t>
      </w:r>
      <w:r>
        <w:rPr>
          <w:rFonts w:hint="eastAsia" w:cs="Times New Roman" w:eastAsiaTheme="minorEastAsia"/>
          <w:color w:val="000000" w:themeColor="text1"/>
          <w:sz w:val="24"/>
          <w:highlight w:val="none"/>
          <w:lang w:val="en-US" w:eastAsia="zh-CN"/>
          <w14:textFill>
            <w14:solidFill>
              <w14:schemeClr w14:val="tx1"/>
            </w14:solidFill>
          </w14:textFill>
        </w:rPr>
        <w:t>新疆新能源研究院有限责任公司</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，202</w:t>
      </w:r>
      <w:r>
        <w:rPr>
          <w:rFonts w:hint="eastAsia" w:cs="Times New Roman" w:eastAsiaTheme="minorEastAsia"/>
          <w:color w:val="000000" w:themeColor="text1"/>
          <w:sz w:val="24"/>
          <w:highlight w:val="none"/>
          <w:lang w:val="en-US" w:eastAsia="zh-CN"/>
          <w14:textFill>
            <w14:solidFill>
              <w14:schemeClr w14:val="tx1"/>
            </w14:solidFill>
          </w14:textFill>
        </w:rPr>
        <w:t>5</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年</w:t>
      </w:r>
      <w:r>
        <w:rPr>
          <w:rFonts w:hint="eastAsia" w:cs="Times New Roman" w:eastAsiaTheme="minorEastAsia"/>
          <w:color w:val="000000" w:themeColor="text1"/>
          <w:sz w:val="24"/>
          <w:highlight w:val="none"/>
          <w:lang w:val="en-US" w:eastAsia="zh-CN"/>
          <w14:textFill>
            <w14:solidFill>
              <w14:schemeClr w14:val="tx1"/>
            </w14:solidFill>
          </w14:textFill>
        </w:rPr>
        <w:t>4</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月)；</w:t>
      </w:r>
    </w:p>
    <w:p w14:paraId="474DBE5B">
      <w:pPr>
        <w:keepNext w:val="0"/>
        <w:keepLines w:val="0"/>
        <w:pageBreakBefore w:val="0"/>
        <w:widowControl w:val="0"/>
        <w:kinsoku/>
        <w:wordWrap w:val="0"/>
        <w:overflowPunct/>
        <w:topLinePunct/>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(2)</w:t>
      </w:r>
      <w:r>
        <w:rPr>
          <w:rFonts w:hint="eastAsia" w:cs="Times New Roman" w:eastAsiaTheme="minorEastAsia"/>
          <w:color w:val="000000" w:themeColor="text1"/>
          <w:sz w:val="24"/>
          <w:highlight w:val="none"/>
          <w:lang w:val="en-US" w:eastAsia="zh-CN"/>
          <w14:textFill>
            <w14:solidFill>
              <w14:schemeClr w14:val="tx1"/>
            </w14:solidFill>
          </w14:textFill>
        </w:rPr>
        <w:t>电投融和沙依巴克区15万千瓦风电</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项目委托书，202</w:t>
      </w:r>
      <w:r>
        <w:rPr>
          <w:rFonts w:hint="eastAsia" w:cs="Times New Roman" w:eastAsiaTheme="minorEastAsia"/>
          <w:color w:val="000000" w:themeColor="text1"/>
          <w:sz w:val="24"/>
          <w:highlight w:val="none"/>
          <w:lang w:val="en-US" w:eastAsia="zh-CN"/>
          <w14:textFill>
            <w14:solidFill>
              <w14:schemeClr w14:val="tx1"/>
            </w14:solidFill>
          </w14:textFill>
        </w:rPr>
        <w:t>5</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年</w:t>
      </w:r>
      <w:r>
        <w:rPr>
          <w:rFonts w:hint="eastAsia" w:cs="Times New Roman" w:eastAsiaTheme="minorEastAsia"/>
          <w:color w:val="000000" w:themeColor="text1"/>
          <w:sz w:val="24"/>
          <w:highlight w:val="none"/>
          <w:lang w:val="en-US" w:eastAsia="zh-CN"/>
          <w14:textFill>
            <w14:solidFill>
              <w14:schemeClr w14:val="tx1"/>
            </w14:solidFill>
          </w14:textFill>
        </w:rPr>
        <w:t>7</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月；</w:t>
      </w:r>
    </w:p>
    <w:p w14:paraId="27ED7DE6">
      <w:pPr>
        <w:keepNext w:val="0"/>
        <w:keepLines w:val="0"/>
        <w:pageBreakBefore w:val="0"/>
        <w:widowControl w:val="0"/>
        <w:kinsoku/>
        <w:wordWrap w:val="0"/>
        <w:overflowPunct/>
        <w:topLinePunct/>
        <w:autoSpaceDE/>
        <w:autoSpaceDN/>
        <w:bidi w:val="0"/>
        <w:adjustRightInd/>
        <w:snapToGrid w:val="0"/>
        <w:spacing w:line="360" w:lineRule="auto"/>
        <w:ind w:left="0" w:leftChars="0" w:firstLine="480" w:firstLineChars="200"/>
        <w:textAlignment w:val="auto"/>
        <w:rPr>
          <w:rFonts w:hint="eastAsia"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w:t>
      </w:r>
      <w:r>
        <w:rPr>
          <w:rFonts w:hint="eastAsia" w:cs="Times New Roman" w:eastAsiaTheme="minorEastAsia"/>
          <w:color w:val="000000" w:themeColor="text1"/>
          <w:sz w:val="24"/>
          <w:highlight w:val="none"/>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)本项目现场监测报告</w:t>
      </w:r>
      <w:r>
        <w:rPr>
          <w:rFonts w:hint="eastAsia" w:cs="Times New Roman" w:eastAsiaTheme="minorEastAsia"/>
          <w:color w:val="000000" w:themeColor="text1"/>
          <w:sz w:val="24"/>
          <w:highlight w:val="none"/>
          <w:lang w:val="en-US" w:eastAsia="zh-CN"/>
          <w14:textFill>
            <w14:solidFill>
              <w14:schemeClr w14:val="tx1"/>
            </w14:solidFill>
          </w14:textFill>
        </w:rPr>
        <w:t>；</w:t>
      </w:r>
    </w:p>
    <w:p w14:paraId="4C6E82AE">
      <w:pPr>
        <w:keepNext w:val="0"/>
        <w:keepLines w:val="0"/>
        <w:pageBreakBefore w:val="0"/>
        <w:widowControl w:val="0"/>
        <w:kinsoku/>
        <w:wordWrap w:val="0"/>
        <w:overflowPunct/>
        <w:topLinePunct/>
        <w:autoSpaceDE/>
        <w:autoSpaceDN/>
        <w:bidi w:val="0"/>
        <w:adjustRightInd/>
        <w:snapToGrid w:val="0"/>
        <w:spacing w:line="360" w:lineRule="auto"/>
        <w:ind w:left="0" w:leftChars="0" w:firstLine="480" w:firstLineChars="200"/>
        <w:textAlignment w:val="auto"/>
        <w:rPr>
          <w:rFonts w:hint="default" w:cs="Times New Roman" w:eastAsiaTheme="minorEastAsia"/>
          <w:color w:val="000000" w:themeColor="text1"/>
          <w:sz w:val="24"/>
          <w:highlight w:val="none"/>
          <w:lang w:val="en-US" w:eastAsia="zh-CN"/>
          <w14:textFill>
            <w14:solidFill>
              <w14:schemeClr w14:val="tx1"/>
            </w14:solidFill>
          </w14:textFill>
        </w:rPr>
      </w:pPr>
      <w:r>
        <w:rPr>
          <w:rFonts w:hint="eastAsia" w:cs="Times New Roman" w:eastAsiaTheme="minorEastAsia"/>
          <w:color w:val="000000" w:themeColor="text1"/>
          <w:sz w:val="24"/>
          <w:highlight w:val="none"/>
          <w:lang w:val="en-US" w:eastAsia="zh-CN"/>
          <w14:textFill>
            <w14:solidFill>
              <w14:schemeClr w14:val="tx1"/>
            </w14:solidFill>
          </w14:textFill>
        </w:rPr>
        <w:t>(4)建设单位提供的其他设计资料。</w:t>
      </w:r>
    </w:p>
    <w:p w14:paraId="143EBC5A">
      <w:pPr>
        <w:pStyle w:val="4"/>
        <w:pageBreakBefore w:val="0"/>
        <w:widowControl w:val="0"/>
        <w:kinsoku/>
        <w:overflowPunct/>
        <w:bidi w:val="0"/>
        <w:adjustRightInd/>
        <w:snapToGrid w:val="0"/>
        <w:spacing w:beforeLines="0" w:after="0" w:afterLines="0"/>
        <w:ind w:left="0" w:leftChars="0" w:firstLine="0" w:firstLineChars="0"/>
        <w:textAlignment w:val="auto"/>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bookmarkStart w:id="165" w:name="_Toc9156"/>
      <w:bookmarkStart w:id="166" w:name="_Toc25329"/>
      <w:bookmarkStart w:id="167" w:name="_Toc23845"/>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2.3 环境影响识别与评价因子筛选</w:t>
      </w:r>
      <w:bookmarkEnd w:id="165"/>
      <w:bookmarkEnd w:id="166"/>
      <w:bookmarkEnd w:id="167"/>
    </w:p>
    <w:p w14:paraId="7E1CB7DC">
      <w:pPr>
        <w:pStyle w:val="11"/>
        <w:pageBreakBefore w:val="0"/>
        <w:widowControl w:val="0"/>
        <w:kinsoku/>
        <w:overflowPunct/>
        <w:bidi w:val="0"/>
        <w:adjustRightInd/>
        <w:snapToGrid w:val="0"/>
        <w:spacing w:beforeLines="0" w:afterLines="0"/>
        <w:ind w:left="0"/>
        <w:textAlignment w:val="auto"/>
        <w:outlineLvl w:val="2"/>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bookmarkStart w:id="168" w:name="_Toc15759"/>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2.3.1 环境影响因素识别</w:t>
      </w:r>
      <w:bookmarkEnd w:id="168"/>
    </w:p>
    <w:p w14:paraId="0FC080E4">
      <w:pPr>
        <w:keepNext w:val="0"/>
        <w:keepLines w:val="0"/>
        <w:pageBreakBefore w:val="0"/>
        <w:widowControl w:val="0"/>
        <w:kinsoku/>
        <w:wordWrap/>
        <w:overflowPunct/>
        <w:topLinePunct w:val="0"/>
        <w:autoSpaceDE w:val="0"/>
        <w:autoSpaceDN w:val="0"/>
        <w:bidi w:val="0"/>
        <w:adjustRightInd/>
        <w:snapToGrid w:val="0"/>
        <w:spacing w:line="360" w:lineRule="auto"/>
        <w:ind w:left="0" w:leftChars="0" w:firstLine="480" w:firstLineChars="200"/>
        <w:jc w:val="both"/>
        <w:textAlignment w:val="auto"/>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14:textFill>
            <w14:solidFill>
              <w14:schemeClr w14:val="tx1"/>
            </w14:solidFill>
          </w14:textFill>
        </w:rPr>
        <w:t>本项目为新建工程，</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本环评环境影响因素识别采用矩阵法，根据本项目的工程特点和污染源的排放特征，从施工期和运营期两个不同时段对环境影响因素进行识别，并列出环境影响因素识别矩阵表。在环境影响因素识别矩阵表上分析评价拟识别的各类环境影响因子、环境影响属性，并判断其影响程度、影响范围等。环境影响因素识别表详见表2.3-1。</w:t>
      </w:r>
    </w:p>
    <w:p w14:paraId="79210011">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482" w:firstLineChars="200"/>
        <w:jc w:val="center"/>
        <w:textAlignment w:val="auto"/>
        <w:rPr>
          <w:rFonts w:hint="default" w:ascii="Times New Roman" w:hAnsi="Times New Roman" w:cs="Times New Roman" w:eastAsiaTheme="minorEastAsia"/>
          <w:b/>
          <w:color w:val="FF0000"/>
          <w:sz w:val="24"/>
          <w:highlight w:val="none"/>
        </w:rPr>
      </w:pPr>
    </w:p>
    <w:p w14:paraId="0B72E4E7">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482" w:firstLineChars="200"/>
        <w:jc w:val="center"/>
        <w:textAlignment w:val="auto"/>
        <w:rPr>
          <w:rFonts w:hint="default" w:ascii="Times New Roman" w:hAnsi="Times New Roman" w:cs="Times New Roman" w:eastAsiaTheme="minorEastAsia"/>
          <w:b/>
          <w:color w:val="FF0000"/>
          <w:sz w:val="24"/>
          <w:highlight w:val="none"/>
        </w:rPr>
      </w:pPr>
    </w:p>
    <w:p w14:paraId="7FCADFB7">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482" w:firstLineChars="200"/>
        <w:jc w:val="center"/>
        <w:textAlignment w:val="auto"/>
        <w:rPr>
          <w:rFonts w:hint="default" w:ascii="Times New Roman" w:hAnsi="Times New Roman" w:cs="Times New Roman" w:eastAsiaTheme="minorEastAsia"/>
          <w:b/>
          <w:color w:val="FF0000"/>
          <w:sz w:val="24"/>
          <w:highlight w:val="none"/>
        </w:rPr>
      </w:pPr>
    </w:p>
    <w:p w14:paraId="2ADBC03F">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482" w:firstLineChars="200"/>
        <w:jc w:val="center"/>
        <w:textAlignment w:val="auto"/>
        <w:rPr>
          <w:rFonts w:hint="default" w:ascii="Times New Roman" w:hAnsi="Times New Roman" w:cs="Times New Roman" w:eastAsiaTheme="minorEastAsia"/>
          <w:b/>
          <w:color w:val="FF0000"/>
          <w:sz w:val="24"/>
          <w:highlight w:val="none"/>
        </w:rPr>
      </w:pPr>
    </w:p>
    <w:p w14:paraId="714D4115">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482" w:firstLineChars="200"/>
        <w:jc w:val="center"/>
        <w:textAlignment w:val="auto"/>
        <w:rPr>
          <w:rFonts w:hint="default" w:ascii="Times New Roman" w:hAnsi="Times New Roman" w:cs="Times New Roman" w:eastAsiaTheme="minorEastAsia"/>
          <w:b/>
          <w:color w:val="FF0000"/>
          <w:sz w:val="24"/>
          <w:highlight w:val="none"/>
        </w:rPr>
      </w:pPr>
    </w:p>
    <w:p w14:paraId="49CDDA52">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482" w:firstLineChars="200"/>
        <w:jc w:val="center"/>
        <w:textAlignment w:val="auto"/>
        <w:rPr>
          <w:rFonts w:hint="default" w:ascii="Times New Roman" w:hAnsi="Times New Roman" w:cs="Times New Roman" w:eastAsiaTheme="minorEastAsia"/>
          <w:b/>
          <w:color w:val="FF0000"/>
          <w:sz w:val="24"/>
          <w:highlight w:val="none"/>
        </w:rPr>
      </w:pPr>
    </w:p>
    <w:p w14:paraId="6F0F01FC">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482" w:firstLineChars="200"/>
        <w:jc w:val="center"/>
        <w:textAlignment w:val="auto"/>
        <w:rPr>
          <w:rFonts w:hint="default" w:ascii="Times New Roman" w:hAnsi="Times New Roman" w:cs="Times New Roman" w:eastAsiaTheme="minorEastAsia"/>
          <w:b/>
          <w:color w:val="FF0000"/>
          <w:sz w:val="24"/>
          <w:highlight w:val="none"/>
        </w:rPr>
      </w:pPr>
    </w:p>
    <w:p w14:paraId="0B956DAF">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482" w:firstLineChars="200"/>
        <w:jc w:val="center"/>
        <w:textAlignment w:val="auto"/>
        <w:rPr>
          <w:rFonts w:hint="default" w:ascii="Times New Roman" w:hAnsi="Times New Roman" w:cs="Times New Roman" w:eastAsiaTheme="minorEastAsia"/>
          <w:b/>
          <w:color w:val="FF0000"/>
          <w:sz w:val="24"/>
          <w:highlight w:val="none"/>
        </w:rPr>
      </w:pPr>
    </w:p>
    <w:p w14:paraId="52DA70DB">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482" w:firstLineChars="200"/>
        <w:jc w:val="center"/>
        <w:textAlignment w:val="auto"/>
        <w:rPr>
          <w:rFonts w:hint="default" w:ascii="Times New Roman" w:hAnsi="Times New Roman" w:cs="Times New Roman" w:eastAsiaTheme="minorEastAsia"/>
          <w:b/>
          <w:color w:val="FF0000"/>
          <w:sz w:val="24"/>
          <w:highlight w:val="none"/>
        </w:rPr>
      </w:pPr>
    </w:p>
    <w:p w14:paraId="5B430FB7">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482" w:firstLineChars="200"/>
        <w:jc w:val="center"/>
        <w:textAlignment w:val="auto"/>
        <w:rPr>
          <w:rFonts w:hint="default" w:ascii="Times New Roman" w:hAnsi="Times New Roman" w:cs="Times New Roman" w:eastAsiaTheme="minorEastAsia"/>
          <w:b/>
          <w:color w:val="FF0000"/>
          <w:sz w:val="24"/>
          <w:highlight w:val="none"/>
        </w:rPr>
      </w:pPr>
    </w:p>
    <w:p w14:paraId="03B0269F">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482" w:firstLineChars="200"/>
        <w:jc w:val="center"/>
        <w:textAlignment w:val="auto"/>
        <w:rPr>
          <w:rFonts w:hint="default" w:ascii="Times New Roman" w:hAnsi="Times New Roman" w:cs="Times New Roman" w:eastAsiaTheme="minorEastAsia"/>
          <w:b/>
          <w:color w:val="FF0000"/>
          <w:sz w:val="24"/>
          <w:highlight w:val="none"/>
        </w:rPr>
      </w:pPr>
    </w:p>
    <w:p w14:paraId="1F51A6AB">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482" w:firstLineChars="200"/>
        <w:jc w:val="center"/>
        <w:textAlignment w:val="auto"/>
        <w:rPr>
          <w:rFonts w:hint="default" w:ascii="Times New Roman" w:hAnsi="Times New Roman" w:cs="Times New Roman" w:eastAsiaTheme="minorEastAsia"/>
          <w:b/>
          <w:color w:val="FF0000"/>
          <w:sz w:val="24"/>
          <w:highlight w:val="none"/>
        </w:rPr>
      </w:pPr>
    </w:p>
    <w:p w14:paraId="0F5CDF99">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482" w:firstLineChars="200"/>
        <w:jc w:val="center"/>
        <w:textAlignment w:val="auto"/>
        <w:rPr>
          <w:rFonts w:hint="default" w:ascii="Times New Roman" w:hAnsi="Times New Roman" w:cs="Times New Roman" w:eastAsiaTheme="minorEastAsia"/>
          <w:b/>
          <w:color w:val="FF0000"/>
          <w:sz w:val="24"/>
          <w:highlight w:val="none"/>
        </w:rPr>
      </w:pPr>
    </w:p>
    <w:p w14:paraId="199B3F1B">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482" w:firstLineChars="200"/>
        <w:jc w:val="center"/>
        <w:textAlignment w:val="auto"/>
        <w:rPr>
          <w:rFonts w:hint="default" w:ascii="Times New Roman" w:hAnsi="Times New Roman" w:cs="Times New Roman" w:eastAsiaTheme="minorEastAsia"/>
          <w:b/>
          <w:color w:val="FF0000"/>
          <w:sz w:val="24"/>
          <w:highlight w:val="none"/>
        </w:rPr>
      </w:pPr>
    </w:p>
    <w:p w14:paraId="3AEBA65A">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482" w:firstLineChars="200"/>
        <w:jc w:val="center"/>
        <w:textAlignment w:val="auto"/>
        <w:rPr>
          <w:rFonts w:hint="default" w:ascii="Times New Roman" w:hAnsi="Times New Roman" w:cs="Times New Roman" w:eastAsiaTheme="minorEastAsia"/>
          <w:b/>
          <w:color w:val="000000" w:themeColor="text1"/>
          <w:sz w:val="24"/>
          <w:highlight w:val="none"/>
          <w14:textFill>
            <w14:solidFill>
              <w14:schemeClr w14:val="tx1"/>
            </w14:solidFill>
          </w14:textFill>
        </w:rPr>
      </w:pPr>
      <w:r>
        <w:rPr>
          <w:rFonts w:hint="default" w:ascii="Times New Roman" w:hAnsi="Times New Roman" w:cs="Times New Roman" w:eastAsiaTheme="minorEastAsia"/>
          <w:b/>
          <w:color w:val="000000" w:themeColor="text1"/>
          <w:sz w:val="24"/>
          <w:highlight w:val="none"/>
          <w14:textFill>
            <w14:solidFill>
              <w14:schemeClr w14:val="tx1"/>
            </w14:solidFill>
          </w14:textFill>
        </w:rPr>
        <w:t>表2.</w:t>
      </w:r>
      <w:r>
        <w:rPr>
          <w:rFonts w:hint="default" w:ascii="Times New Roman" w:hAnsi="Times New Roman" w:cs="Times New Roman" w:eastAsiaTheme="minorEastAsia"/>
          <w:b/>
          <w:color w:val="000000" w:themeColor="text1"/>
          <w:sz w:val="24"/>
          <w:highlight w:val="none"/>
          <w:lang w:val="en-US" w:eastAsia="zh-CN"/>
          <w14:textFill>
            <w14:solidFill>
              <w14:schemeClr w14:val="tx1"/>
            </w14:solidFill>
          </w14:textFill>
        </w:rPr>
        <w:t>3</w:t>
      </w:r>
      <w:r>
        <w:rPr>
          <w:rFonts w:hint="default" w:ascii="Times New Roman" w:hAnsi="Times New Roman" w:cs="Times New Roman" w:eastAsiaTheme="minorEastAsia"/>
          <w:b/>
          <w:color w:val="000000" w:themeColor="text1"/>
          <w:sz w:val="24"/>
          <w:highlight w:val="none"/>
          <w14:textFill>
            <w14:solidFill>
              <w14:schemeClr w14:val="tx1"/>
            </w14:solidFill>
          </w14:textFill>
        </w:rPr>
        <w:t>-1</w:t>
      </w:r>
      <w:r>
        <w:rPr>
          <w:rFonts w:hint="default" w:ascii="Times New Roman" w:hAnsi="Times New Roman" w:cs="Times New Roman" w:eastAsiaTheme="minorEastAsia"/>
          <w:b/>
          <w:color w:val="000000" w:themeColor="text1"/>
          <w:sz w:val="24"/>
          <w:highlight w:val="none"/>
          <w:lang w:val="en-US" w:eastAsia="zh-CN"/>
          <w14:textFill>
            <w14:solidFill>
              <w14:schemeClr w14:val="tx1"/>
            </w14:solidFill>
          </w14:textFill>
        </w:rPr>
        <w:t xml:space="preserve">    </w:t>
      </w:r>
      <w:r>
        <w:rPr>
          <w:rFonts w:hint="default" w:ascii="Times New Roman" w:hAnsi="Times New Roman" w:cs="Times New Roman" w:eastAsiaTheme="minorEastAsia"/>
          <w:b/>
          <w:color w:val="000000" w:themeColor="text1"/>
          <w:sz w:val="24"/>
          <w:highlight w:val="none"/>
          <w14:textFill>
            <w14:solidFill>
              <w14:schemeClr w14:val="tx1"/>
            </w14:solidFill>
          </w14:textFill>
        </w:rPr>
        <w:t>环境影响因素识别一览表</w:t>
      </w:r>
    </w:p>
    <w:tbl>
      <w:tblPr>
        <w:tblStyle w:val="76"/>
        <w:tblW w:w="917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99"/>
        <w:gridCol w:w="1166"/>
        <w:gridCol w:w="1937"/>
        <w:gridCol w:w="3310"/>
        <w:gridCol w:w="1303"/>
        <w:gridCol w:w="659"/>
      </w:tblGrid>
      <w:tr w14:paraId="2E5725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799" w:type="dxa"/>
            <w:tcBorders>
              <w:tl2br w:val="nil"/>
              <w:tr2bl w:val="nil"/>
            </w:tcBorders>
            <w:vAlign w:val="center"/>
          </w:tcPr>
          <w:p w14:paraId="17E4D8B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val="0"/>
                <w:bCs w:val="0"/>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b w:val="0"/>
                <w:bCs w:val="0"/>
                <w:color w:val="000000" w:themeColor="text1"/>
                <w:kern w:val="0"/>
                <w:sz w:val="21"/>
                <w:szCs w:val="21"/>
                <w:highlight w:val="none"/>
                <w:lang w:val="en-US" w:eastAsia="zh-CN" w:bidi="ar"/>
                <w14:textFill>
                  <w14:solidFill>
                    <w14:schemeClr w14:val="tx1"/>
                  </w14:solidFill>
                </w14:textFill>
              </w:rPr>
              <w:t>影响时期</w:t>
            </w:r>
          </w:p>
        </w:tc>
        <w:tc>
          <w:tcPr>
            <w:tcW w:w="1166" w:type="dxa"/>
            <w:tcBorders>
              <w:tl2br w:val="nil"/>
              <w:tr2bl w:val="nil"/>
            </w:tcBorders>
            <w:vAlign w:val="center"/>
          </w:tcPr>
          <w:p w14:paraId="243E27C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val="0"/>
                <w:bCs w:val="0"/>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b w:val="0"/>
                <w:bCs w:val="0"/>
                <w:color w:val="000000" w:themeColor="text1"/>
                <w:kern w:val="0"/>
                <w:sz w:val="21"/>
                <w:szCs w:val="21"/>
                <w:highlight w:val="none"/>
                <w:lang w:val="en-US" w:eastAsia="zh-CN" w:bidi="ar"/>
                <w14:textFill>
                  <w14:solidFill>
                    <w14:schemeClr w14:val="tx1"/>
                  </w14:solidFill>
                </w14:textFill>
              </w:rPr>
              <w:t>受影响</w:t>
            </w:r>
          </w:p>
          <w:p w14:paraId="0E76494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val="0"/>
                <w:bCs w:val="0"/>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b w:val="0"/>
                <w:bCs w:val="0"/>
                <w:color w:val="000000" w:themeColor="text1"/>
                <w:kern w:val="0"/>
                <w:sz w:val="21"/>
                <w:szCs w:val="21"/>
                <w:highlight w:val="none"/>
                <w:lang w:val="en-US" w:eastAsia="zh-CN" w:bidi="ar"/>
                <w14:textFill>
                  <w14:solidFill>
                    <w14:schemeClr w14:val="tx1"/>
                  </w14:solidFill>
                </w14:textFill>
              </w:rPr>
              <w:t>对象</w:t>
            </w:r>
          </w:p>
        </w:tc>
        <w:tc>
          <w:tcPr>
            <w:tcW w:w="1937" w:type="dxa"/>
            <w:tcBorders>
              <w:tl2br w:val="nil"/>
              <w:tr2bl w:val="nil"/>
            </w:tcBorders>
            <w:vAlign w:val="center"/>
          </w:tcPr>
          <w:p w14:paraId="4829CF6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val="0"/>
                <w:bCs w:val="0"/>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b w:val="0"/>
                <w:bCs w:val="0"/>
                <w:color w:val="000000" w:themeColor="text1"/>
                <w:kern w:val="0"/>
                <w:sz w:val="21"/>
                <w:szCs w:val="21"/>
                <w:highlight w:val="none"/>
                <w:lang w:val="en-US" w:eastAsia="zh-CN" w:bidi="ar"/>
                <w14:textFill>
                  <w14:solidFill>
                    <w14:schemeClr w14:val="tx1"/>
                  </w14:solidFill>
                </w14:textFill>
              </w:rPr>
              <w:t>评价因子</w:t>
            </w:r>
          </w:p>
        </w:tc>
        <w:tc>
          <w:tcPr>
            <w:tcW w:w="3310" w:type="dxa"/>
            <w:tcBorders>
              <w:tl2br w:val="nil"/>
              <w:tr2bl w:val="nil"/>
            </w:tcBorders>
            <w:vAlign w:val="center"/>
          </w:tcPr>
          <w:p w14:paraId="0364A8C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val="0"/>
                <w:bCs w:val="0"/>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b w:val="0"/>
                <w:bCs w:val="0"/>
                <w:color w:val="000000" w:themeColor="text1"/>
                <w:kern w:val="0"/>
                <w:sz w:val="21"/>
                <w:szCs w:val="21"/>
                <w:highlight w:val="none"/>
                <w:lang w:val="en-US" w:eastAsia="zh-CN" w:bidi="ar"/>
                <w14:textFill>
                  <w14:solidFill>
                    <w14:schemeClr w14:val="tx1"/>
                  </w14:solidFill>
                </w14:textFill>
              </w:rPr>
              <w:t>工程内容及影响方式</w:t>
            </w:r>
          </w:p>
        </w:tc>
        <w:tc>
          <w:tcPr>
            <w:tcW w:w="1303" w:type="dxa"/>
            <w:tcBorders>
              <w:tl2br w:val="nil"/>
              <w:tr2bl w:val="nil"/>
            </w:tcBorders>
            <w:vAlign w:val="center"/>
          </w:tcPr>
          <w:p w14:paraId="75EBE82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val="0"/>
                <w:bCs w:val="0"/>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b w:val="0"/>
                <w:bCs w:val="0"/>
                <w:color w:val="000000" w:themeColor="text1"/>
                <w:kern w:val="0"/>
                <w:sz w:val="21"/>
                <w:szCs w:val="21"/>
                <w:highlight w:val="none"/>
                <w:lang w:val="en-US" w:eastAsia="zh-CN" w:bidi="ar"/>
                <w14:textFill>
                  <w14:solidFill>
                    <w14:schemeClr w14:val="tx1"/>
                  </w14:solidFill>
                </w14:textFill>
              </w:rPr>
              <w:t>影响</w:t>
            </w:r>
          </w:p>
          <w:p w14:paraId="3CA3134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val="0"/>
                <w:bCs w:val="0"/>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b w:val="0"/>
                <w:bCs w:val="0"/>
                <w:color w:val="000000" w:themeColor="text1"/>
                <w:kern w:val="0"/>
                <w:sz w:val="21"/>
                <w:szCs w:val="21"/>
                <w:highlight w:val="none"/>
                <w:lang w:val="en-US" w:eastAsia="zh-CN" w:bidi="ar"/>
                <w14:textFill>
                  <w14:solidFill>
                    <w14:schemeClr w14:val="tx1"/>
                  </w14:solidFill>
                </w14:textFill>
              </w:rPr>
              <w:t>性质</w:t>
            </w:r>
          </w:p>
        </w:tc>
        <w:tc>
          <w:tcPr>
            <w:tcW w:w="659" w:type="dxa"/>
            <w:tcBorders>
              <w:tl2br w:val="nil"/>
              <w:tr2bl w:val="nil"/>
            </w:tcBorders>
            <w:vAlign w:val="center"/>
          </w:tcPr>
          <w:p w14:paraId="234F996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val="0"/>
                <w:bCs w:val="0"/>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b w:val="0"/>
                <w:bCs w:val="0"/>
                <w:color w:val="000000" w:themeColor="text1"/>
                <w:kern w:val="0"/>
                <w:sz w:val="21"/>
                <w:szCs w:val="21"/>
                <w:highlight w:val="none"/>
                <w:lang w:val="en-US" w:eastAsia="zh-CN" w:bidi="ar"/>
                <w14:textFill>
                  <w14:solidFill>
                    <w14:schemeClr w14:val="tx1"/>
                  </w14:solidFill>
                </w14:textFill>
              </w:rPr>
              <w:t>影响</w:t>
            </w:r>
          </w:p>
          <w:p w14:paraId="0196083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val="0"/>
                <w:bCs w:val="0"/>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b w:val="0"/>
                <w:bCs w:val="0"/>
                <w:color w:val="000000" w:themeColor="text1"/>
                <w:kern w:val="0"/>
                <w:sz w:val="21"/>
                <w:szCs w:val="21"/>
                <w:highlight w:val="none"/>
                <w:lang w:val="en-US" w:eastAsia="zh-CN" w:bidi="ar"/>
                <w14:textFill>
                  <w14:solidFill>
                    <w14:schemeClr w14:val="tx1"/>
                  </w14:solidFill>
                </w14:textFill>
              </w:rPr>
              <w:t>程度</w:t>
            </w:r>
          </w:p>
        </w:tc>
      </w:tr>
      <w:tr w14:paraId="2AA54B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99" w:type="dxa"/>
            <w:vMerge w:val="restart"/>
            <w:tcBorders>
              <w:tl2br w:val="nil"/>
              <w:tr2bl w:val="nil"/>
            </w:tcBorders>
            <w:vAlign w:val="center"/>
          </w:tcPr>
          <w:p w14:paraId="1CEF617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施工期环境影响</w:t>
            </w:r>
          </w:p>
        </w:tc>
        <w:tc>
          <w:tcPr>
            <w:tcW w:w="1166" w:type="dxa"/>
            <w:vMerge w:val="restart"/>
            <w:tcBorders>
              <w:tl2br w:val="nil"/>
              <w:tr2bl w:val="nil"/>
            </w:tcBorders>
            <w:vAlign w:val="center"/>
          </w:tcPr>
          <w:p w14:paraId="1C3B0D3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大气环境</w:t>
            </w:r>
          </w:p>
        </w:tc>
        <w:tc>
          <w:tcPr>
            <w:tcW w:w="1937" w:type="dxa"/>
            <w:tcBorders>
              <w:tl2br w:val="nil"/>
              <w:tr2bl w:val="nil"/>
            </w:tcBorders>
            <w:vAlign w:val="center"/>
          </w:tcPr>
          <w:p w14:paraId="569D1AD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TSP</w:t>
            </w:r>
          </w:p>
        </w:tc>
        <w:tc>
          <w:tcPr>
            <w:tcW w:w="3310" w:type="dxa"/>
            <w:tcBorders>
              <w:tl2br w:val="nil"/>
              <w:tr2bl w:val="nil"/>
            </w:tcBorders>
            <w:vAlign w:val="center"/>
          </w:tcPr>
          <w:p w14:paraId="78506B8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left"/>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施工期运输车辆扬尘，挖填方作业中产生扬尘</w:t>
            </w:r>
          </w:p>
        </w:tc>
        <w:tc>
          <w:tcPr>
            <w:tcW w:w="1303" w:type="dxa"/>
            <w:vMerge w:val="restart"/>
            <w:tcBorders>
              <w:tl2br w:val="nil"/>
              <w:tr2bl w:val="nil"/>
            </w:tcBorders>
            <w:vAlign w:val="center"/>
          </w:tcPr>
          <w:p w14:paraId="7B738BF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短期、可逆</w:t>
            </w:r>
          </w:p>
        </w:tc>
        <w:tc>
          <w:tcPr>
            <w:tcW w:w="659" w:type="dxa"/>
            <w:vMerge w:val="restart"/>
            <w:tcBorders>
              <w:tl2br w:val="nil"/>
              <w:tr2bl w:val="nil"/>
            </w:tcBorders>
            <w:vAlign w:val="center"/>
          </w:tcPr>
          <w:p w14:paraId="5117AFF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弱</w:t>
            </w:r>
          </w:p>
        </w:tc>
      </w:tr>
      <w:tr w14:paraId="16565E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99" w:type="dxa"/>
            <w:vMerge w:val="continue"/>
            <w:tcBorders>
              <w:tl2br w:val="nil"/>
              <w:tr2bl w:val="nil"/>
            </w:tcBorders>
            <w:vAlign w:val="center"/>
          </w:tcPr>
          <w:p w14:paraId="708C2F0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p>
        </w:tc>
        <w:tc>
          <w:tcPr>
            <w:tcW w:w="1166" w:type="dxa"/>
            <w:vMerge w:val="continue"/>
            <w:tcBorders>
              <w:tl2br w:val="nil"/>
              <w:tr2bl w:val="nil"/>
            </w:tcBorders>
            <w:vAlign w:val="center"/>
          </w:tcPr>
          <w:p w14:paraId="1EC7FBF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p>
        </w:tc>
        <w:tc>
          <w:tcPr>
            <w:tcW w:w="1937" w:type="dxa"/>
            <w:tcBorders>
              <w:tl2br w:val="nil"/>
              <w:tr2bl w:val="nil"/>
            </w:tcBorders>
            <w:vAlign w:val="center"/>
          </w:tcPr>
          <w:p w14:paraId="304E020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NO</w:t>
            </w:r>
            <w:r>
              <w:rPr>
                <w:rFonts w:hint="default" w:ascii="Times New Roman" w:hAnsi="Times New Roman" w:cs="Times New Roman" w:eastAsiaTheme="minorEastAsia"/>
                <w:color w:val="000000" w:themeColor="text1"/>
                <w:kern w:val="0"/>
                <w:sz w:val="21"/>
                <w:szCs w:val="21"/>
                <w:highlight w:val="none"/>
                <w:vertAlign w:val="subscript"/>
                <w:lang w:val="en-US" w:eastAsia="zh-CN" w:bidi="ar"/>
                <w14:textFill>
                  <w14:solidFill>
                    <w14:schemeClr w14:val="tx1"/>
                  </w14:solidFill>
                </w14:textFill>
              </w:rPr>
              <w:t>x</w:t>
            </w: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、CO、THC</w:t>
            </w:r>
          </w:p>
        </w:tc>
        <w:tc>
          <w:tcPr>
            <w:tcW w:w="3310" w:type="dxa"/>
            <w:tcBorders>
              <w:tl2br w:val="nil"/>
              <w:tr2bl w:val="nil"/>
            </w:tcBorders>
            <w:vAlign w:val="center"/>
          </w:tcPr>
          <w:p w14:paraId="0B68717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left"/>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施工机械尾气</w:t>
            </w:r>
          </w:p>
        </w:tc>
        <w:tc>
          <w:tcPr>
            <w:tcW w:w="1303" w:type="dxa"/>
            <w:vMerge w:val="continue"/>
            <w:tcBorders>
              <w:tl2br w:val="nil"/>
              <w:tr2bl w:val="nil"/>
            </w:tcBorders>
            <w:vAlign w:val="center"/>
          </w:tcPr>
          <w:p w14:paraId="3F72267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p>
        </w:tc>
        <w:tc>
          <w:tcPr>
            <w:tcW w:w="659" w:type="dxa"/>
            <w:vMerge w:val="continue"/>
            <w:tcBorders>
              <w:tl2br w:val="nil"/>
              <w:tr2bl w:val="nil"/>
            </w:tcBorders>
            <w:vAlign w:val="center"/>
          </w:tcPr>
          <w:p w14:paraId="140BB73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p>
        </w:tc>
      </w:tr>
      <w:tr w14:paraId="4886AA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99" w:type="dxa"/>
            <w:vMerge w:val="continue"/>
            <w:tcBorders>
              <w:tl2br w:val="nil"/>
              <w:tr2bl w:val="nil"/>
            </w:tcBorders>
            <w:vAlign w:val="center"/>
          </w:tcPr>
          <w:p w14:paraId="06CF2AC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p>
        </w:tc>
        <w:tc>
          <w:tcPr>
            <w:tcW w:w="1166" w:type="dxa"/>
            <w:tcBorders>
              <w:tl2br w:val="nil"/>
              <w:tr2bl w:val="nil"/>
            </w:tcBorders>
            <w:vAlign w:val="center"/>
          </w:tcPr>
          <w:p w14:paraId="493B4A63">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水环境</w:t>
            </w:r>
          </w:p>
        </w:tc>
        <w:tc>
          <w:tcPr>
            <w:tcW w:w="1937" w:type="dxa"/>
            <w:tcBorders>
              <w:tl2br w:val="nil"/>
              <w:tr2bl w:val="nil"/>
            </w:tcBorders>
            <w:vAlign w:val="center"/>
          </w:tcPr>
          <w:p w14:paraId="2C394871">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pH、COD、BOD</w:t>
            </w:r>
            <w:r>
              <w:rPr>
                <w:rFonts w:hint="default" w:ascii="Times New Roman" w:hAnsi="Times New Roman" w:cs="Times New Roman" w:eastAsiaTheme="minorEastAsia"/>
                <w:color w:val="000000" w:themeColor="text1"/>
                <w:sz w:val="21"/>
                <w:szCs w:val="21"/>
                <w:highlight w:val="none"/>
                <w:vertAlign w:val="subscript"/>
                <w14:textFill>
                  <w14:solidFill>
                    <w14:schemeClr w14:val="tx1"/>
                  </w14:solidFill>
                </w14:textFill>
              </w:rPr>
              <w:t>5</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、NH</w:t>
            </w:r>
            <w:r>
              <w:rPr>
                <w:rFonts w:hint="default" w:ascii="Times New Roman" w:hAnsi="Times New Roman" w:cs="Times New Roman" w:eastAsiaTheme="minorEastAsia"/>
                <w:color w:val="000000" w:themeColor="text1"/>
                <w:sz w:val="21"/>
                <w:szCs w:val="21"/>
                <w:highlight w:val="none"/>
                <w:vertAlign w:val="subscript"/>
                <w14:textFill>
                  <w14:solidFill>
                    <w14:schemeClr w14:val="tx1"/>
                  </w14:solidFill>
                </w14:textFill>
              </w:rPr>
              <w:t>3</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-N、石油类</w:t>
            </w:r>
          </w:p>
        </w:tc>
        <w:tc>
          <w:tcPr>
            <w:tcW w:w="3310" w:type="dxa"/>
            <w:tcBorders>
              <w:tl2br w:val="nil"/>
              <w:tr2bl w:val="nil"/>
            </w:tcBorders>
            <w:vAlign w:val="center"/>
          </w:tcPr>
          <w:p w14:paraId="6F2F057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left"/>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施工人员的生活污水、施工生产废水、对水源保护区的影响</w:t>
            </w:r>
          </w:p>
        </w:tc>
        <w:tc>
          <w:tcPr>
            <w:tcW w:w="1303" w:type="dxa"/>
            <w:tcBorders>
              <w:tl2br w:val="nil"/>
              <w:tr2bl w:val="nil"/>
            </w:tcBorders>
            <w:vAlign w:val="center"/>
          </w:tcPr>
          <w:p w14:paraId="0C6322F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短期、可逆</w:t>
            </w:r>
          </w:p>
        </w:tc>
        <w:tc>
          <w:tcPr>
            <w:tcW w:w="659" w:type="dxa"/>
            <w:tcBorders>
              <w:tl2br w:val="nil"/>
              <w:tr2bl w:val="nil"/>
            </w:tcBorders>
            <w:vAlign w:val="center"/>
          </w:tcPr>
          <w:p w14:paraId="21CE3F0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弱</w:t>
            </w:r>
          </w:p>
        </w:tc>
      </w:tr>
      <w:tr w14:paraId="00DCF2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99" w:type="dxa"/>
            <w:vMerge w:val="continue"/>
            <w:tcBorders>
              <w:tl2br w:val="nil"/>
              <w:tr2bl w:val="nil"/>
            </w:tcBorders>
            <w:vAlign w:val="center"/>
          </w:tcPr>
          <w:p w14:paraId="20A4D1B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p>
        </w:tc>
        <w:tc>
          <w:tcPr>
            <w:tcW w:w="1166" w:type="dxa"/>
            <w:tcBorders>
              <w:tl2br w:val="nil"/>
              <w:tr2bl w:val="nil"/>
            </w:tcBorders>
            <w:vAlign w:val="center"/>
          </w:tcPr>
          <w:p w14:paraId="61C21A27">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声环境</w:t>
            </w:r>
          </w:p>
        </w:tc>
        <w:tc>
          <w:tcPr>
            <w:tcW w:w="1937" w:type="dxa"/>
            <w:tcBorders>
              <w:tl2br w:val="nil"/>
              <w:tr2bl w:val="nil"/>
            </w:tcBorders>
            <w:vAlign w:val="center"/>
          </w:tcPr>
          <w:p w14:paraId="02106ACD">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昼间、夜间等效声级，Leq</w:t>
            </w:r>
          </w:p>
        </w:tc>
        <w:tc>
          <w:tcPr>
            <w:tcW w:w="3310" w:type="dxa"/>
            <w:tcBorders>
              <w:tl2br w:val="nil"/>
              <w:tr2bl w:val="nil"/>
            </w:tcBorders>
            <w:vAlign w:val="center"/>
          </w:tcPr>
          <w:p w14:paraId="71A4A1C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left"/>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施工机械产生的噪声、运输车辆的噪声</w:t>
            </w:r>
          </w:p>
        </w:tc>
        <w:tc>
          <w:tcPr>
            <w:tcW w:w="1303" w:type="dxa"/>
            <w:tcBorders>
              <w:tl2br w:val="nil"/>
              <w:tr2bl w:val="nil"/>
            </w:tcBorders>
            <w:vAlign w:val="center"/>
          </w:tcPr>
          <w:p w14:paraId="16D343E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短期、可逆</w:t>
            </w:r>
          </w:p>
        </w:tc>
        <w:tc>
          <w:tcPr>
            <w:tcW w:w="659" w:type="dxa"/>
            <w:tcBorders>
              <w:tl2br w:val="nil"/>
              <w:tr2bl w:val="nil"/>
            </w:tcBorders>
            <w:vAlign w:val="center"/>
          </w:tcPr>
          <w:p w14:paraId="54518FF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弱</w:t>
            </w:r>
          </w:p>
        </w:tc>
      </w:tr>
      <w:tr w14:paraId="679B5B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99" w:type="dxa"/>
            <w:vMerge w:val="continue"/>
            <w:tcBorders>
              <w:tl2br w:val="nil"/>
              <w:tr2bl w:val="nil"/>
            </w:tcBorders>
            <w:vAlign w:val="center"/>
          </w:tcPr>
          <w:p w14:paraId="547E63E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p>
        </w:tc>
        <w:tc>
          <w:tcPr>
            <w:tcW w:w="1166" w:type="dxa"/>
            <w:tcBorders>
              <w:tl2br w:val="nil"/>
              <w:tr2bl w:val="nil"/>
            </w:tcBorders>
            <w:vAlign w:val="center"/>
          </w:tcPr>
          <w:p w14:paraId="39CB0871">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固废污染</w:t>
            </w:r>
          </w:p>
        </w:tc>
        <w:tc>
          <w:tcPr>
            <w:tcW w:w="1937" w:type="dxa"/>
            <w:tcBorders>
              <w:tl2br w:val="nil"/>
              <w:tr2bl w:val="nil"/>
            </w:tcBorders>
            <w:vAlign w:val="center"/>
          </w:tcPr>
          <w:p w14:paraId="5EC58AA8">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固体废物</w:t>
            </w:r>
          </w:p>
        </w:tc>
        <w:tc>
          <w:tcPr>
            <w:tcW w:w="3310" w:type="dxa"/>
            <w:tcBorders>
              <w:tl2br w:val="nil"/>
              <w:tr2bl w:val="nil"/>
            </w:tcBorders>
            <w:vAlign w:val="center"/>
          </w:tcPr>
          <w:p w14:paraId="38719A6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施工人员生活垃圾、施工弃渣</w:t>
            </w:r>
          </w:p>
        </w:tc>
        <w:tc>
          <w:tcPr>
            <w:tcW w:w="1303" w:type="dxa"/>
            <w:tcBorders>
              <w:tl2br w:val="nil"/>
              <w:tr2bl w:val="nil"/>
            </w:tcBorders>
            <w:vAlign w:val="center"/>
          </w:tcPr>
          <w:p w14:paraId="194B1F2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短期、可逆</w:t>
            </w:r>
          </w:p>
        </w:tc>
        <w:tc>
          <w:tcPr>
            <w:tcW w:w="659" w:type="dxa"/>
            <w:tcBorders>
              <w:tl2br w:val="nil"/>
              <w:tr2bl w:val="nil"/>
            </w:tcBorders>
            <w:vAlign w:val="center"/>
          </w:tcPr>
          <w:p w14:paraId="0ABEA29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弱</w:t>
            </w:r>
          </w:p>
        </w:tc>
      </w:tr>
      <w:tr w14:paraId="50BF22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99" w:type="dxa"/>
            <w:vMerge w:val="continue"/>
            <w:tcBorders>
              <w:tl2br w:val="nil"/>
              <w:tr2bl w:val="nil"/>
            </w:tcBorders>
            <w:vAlign w:val="center"/>
          </w:tcPr>
          <w:p w14:paraId="4C352C9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p>
        </w:tc>
        <w:tc>
          <w:tcPr>
            <w:tcW w:w="1166" w:type="dxa"/>
            <w:tcBorders>
              <w:tl2br w:val="nil"/>
              <w:tr2bl w:val="nil"/>
            </w:tcBorders>
            <w:vAlign w:val="center"/>
          </w:tcPr>
          <w:p w14:paraId="44C60087">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生态环境</w:t>
            </w:r>
          </w:p>
        </w:tc>
        <w:tc>
          <w:tcPr>
            <w:tcW w:w="1937" w:type="dxa"/>
            <w:tcBorders>
              <w:tl2br w:val="nil"/>
              <w:tr2bl w:val="nil"/>
            </w:tcBorders>
            <w:vAlign w:val="center"/>
          </w:tcPr>
          <w:p w14:paraId="294B1F1E">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物种分布范围、种群结构、物种组成、群落结构、植被覆盖度、生物量、生态系统功能、生物多样性、景观多样性</w:t>
            </w:r>
          </w:p>
        </w:tc>
        <w:tc>
          <w:tcPr>
            <w:tcW w:w="3310" w:type="dxa"/>
            <w:tcBorders>
              <w:tl2br w:val="nil"/>
              <w:tr2bl w:val="nil"/>
            </w:tcBorders>
            <w:vAlign w:val="center"/>
          </w:tcPr>
          <w:p w14:paraId="0DABBBD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left"/>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施工作业带，施工营地临时占地的影响，施工扰动造成的水土流失，施工活动影响野生动物栖息、风电场区、道路等永久占地改变土地利用类型</w:t>
            </w:r>
          </w:p>
        </w:tc>
        <w:tc>
          <w:tcPr>
            <w:tcW w:w="1303" w:type="dxa"/>
            <w:tcBorders>
              <w:tl2br w:val="nil"/>
              <w:tr2bl w:val="nil"/>
            </w:tcBorders>
            <w:vAlign w:val="center"/>
          </w:tcPr>
          <w:p w14:paraId="727B9B2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短期、可逆</w:t>
            </w:r>
          </w:p>
        </w:tc>
        <w:tc>
          <w:tcPr>
            <w:tcW w:w="659" w:type="dxa"/>
            <w:tcBorders>
              <w:tl2br w:val="nil"/>
              <w:tr2bl w:val="nil"/>
            </w:tcBorders>
            <w:vAlign w:val="center"/>
          </w:tcPr>
          <w:p w14:paraId="1A4C54F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弱</w:t>
            </w:r>
          </w:p>
        </w:tc>
      </w:tr>
      <w:tr w14:paraId="09E3BC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1" w:hRule="atLeast"/>
        </w:trPr>
        <w:tc>
          <w:tcPr>
            <w:tcW w:w="799" w:type="dxa"/>
            <w:vMerge w:val="restart"/>
            <w:tcBorders>
              <w:tl2br w:val="nil"/>
              <w:tr2bl w:val="nil"/>
            </w:tcBorders>
            <w:vAlign w:val="center"/>
          </w:tcPr>
          <w:p w14:paraId="7CD1BAB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运营期环境影响</w:t>
            </w:r>
          </w:p>
        </w:tc>
        <w:tc>
          <w:tcPr>
            <w:tcW w:w="1166" w:type="dxa"/>
            <w:tcBorders>
              <w:tl2br w:val="nil"/>
              <w:tr2bl w:val="nil"/>
            </w:tcBorders>
            <w:shd w:val="clear" w:color="auto" w:fill="auto"/>
            <w:vAlign w:val="center"/>
          </w:tcPr>
          <w:p w14:paraId="5E9E7220">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声环境</w:t>
            </w:r>
          </w:p>
        </w:tc>
        <w:tc>
          <w:tcPr>
            <w:tcW w:w="1937" w:type="dxa"/>
            <w:tcBorders>
              <w:tl2br w:val="nil"/>
              <w:tr2bl w:val="nil"/>
            </w:tcBorders>
            <w:shd w:val="clear" w:color="auto" w:fill="auto"/>
            <w:vAlign w:val="center"/>
          </w:tcPr>
          <w:p w14:paraId="4ED46EC9">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昼间、夜间等效声级，Leq</w:t>
            </w:r>
          </w:p>
        </w:tc>
        <w:tc>
          <w:tcPr>
            <w:tcW w:w="3310" w:type="dxa"/>
            <w:tcBorders>
              <w:tl2br w:val="nil"/>
              <w:tr2bl w:val="nil"/>
            </w:tcBorders>
            <w:shd w:val="clear" w:color="auto" w:fill="auto"/>
            <w:vAlign w:val="center"/>
          </w:tcPr>
          <w:p w14:paraId="6FE5069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风机噪声、升压站内的设备噪声，输电线路噪声</w:t>
            </w:r>
          </w:p>
        </w:tc>
        <w:tc>
          <w:tcPr>
            <w:tcW w:w="1303" w:type="dxa"/>
            <w:tcBorders>
              <w:tl2br w:val="nil"/>
              <w:tr2bl w:val="nil"/>
            </w:tcBorders>
            <w:shd w:val="clear" w:color="auto" w:fill="auto"/>
            <w:vAlign w:val="center"/>
          </w:tcPr>
          <w:p w14:paraId="5346C01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长期、可逆</w:t>
            </w:r>
          </w:p>
        </w:tc>
        <w:tc>
          <w:tcPr>
            <w:tcW w:w="659" w:type="dxa"/>
            <w:tcBorders>
              <w:tl2br w:val="nil"/>
              <w:tr2bl w:val="nil"/>
            </w:tcBorders>
            <w:shd w:val="clear" w:color="auto" w:fill="auto"/>
            <w:vAlign w:val="center"/>
          </w:tcPr>
          <w:p w14:paraId="1739A90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弱</w:t>
            </w:r>
          </w:p>
        </w:tc>
      </w:tr>
      <w:tr w14:paraId="2DB131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99" w:type="dxa"/>
            <w:vMerge w:val="continue"/>
            <w:tcBorders>
              <w:tl2br w:val="nil"/>
              <w:tr2bl w:val="nil"/>
            </w:tcBorders>
            <w:vAlign w:val="center"/>
          </w:tcPr>
          <w:p w14:paraId="11BFA6B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p>
        </w:tc>
        <w:tc>
          <w:tcPr>
            <w:tcW w:w="1166" w:type="dxa"/>
            <w:tcBorders>
              <w:tl2br w:val="nil"/>
              <w:tr2bl w:val="nil"/>
            </w:tcBorders>
            <w:vAlign w:val="center"/>
          </w:tcPr>
          <w:p w14:paraId="708B7B7C">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固废污染</w:t>
            </w:r>
          </w:p>
        </w:tc>
        <w:tc>
          <w:tcPr>
            <w:tcW w:w="1937" w:type="dxa"/>
            <w:tcBorders>
              <w:tl2br w:val="nil"/>
              <w:tr2bl w:val="nil"/>
            </w:tcBorders>
            <w:vAlign w:val="center"/>
          </w:tcPr>
          <w:p w14:paraId="68F6034E">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固体废物</w:t>
            </w:r>
          </w:p>
        </w:tc>
        <w:tc>
          <w:tcPr>
            <w:tcW w:w="3310" w:type="dxa"/>
            <w:tcBorders>
              <w:tl2br w:val="nil"/>
              <w:tr2bl w:val="nil"/>
            </w:tcBorders>
            <w:vAlign w:val="center"/>
          </w:tcPr>
          <w:p w14:paraId="6F506C1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报废零部件、风机检修产生的废矿物油、废弃含油抹布及废手套</w:t>
            </w:r>
          </w:p>
        </w:tc>
        <w:tc>
          <w:tcPr>
            <w:tcW w:w="1303" w:type="dxa"/>
            <w:tcBorders>
              <w:tl2br w:val="nil"/>
              <w:tr2bl w:val="nil"/>
            </w:tcBorders>
            <w:vAlign w:val="center"/>
          </w:tcPr>
          <w:p w14:paraId="33E1CB8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长期、不可逆</w:t>
            </w:r>
          </w:p>
        </w:tc>
        <w:tc>
          <w:tcPr>
            <w:tcW w:w="659" w:type="dxa"/>
            <w:tcBorders>
              <w:tl2br w:val="nil"/>
              <w:tr2bl w:val="nil"/>
            </w:tcBorders>
            <w:vAlign w:val="center"/>
          </w:tcPr>
          <w:p w14:paraId="00B6134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弱</w:t>
            </w:r>
          </w:p>
        </w:tc>
      </w:tr>
      <w:tr w14:paraId="4FF4A9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99" w:type="dxa"/>
            <w:vMerge w:val="continue"/>
            <w:tcBorders>
              <w:tl2br w:val="nil"/>
              <w:tr2bl w:val="nil"/>
            </w:tcBorders>
            <w:vAlign w:val="center"/>
          </w:tcPr>
          <w:p w14:paraId="758EB15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p>
        </w:tc>
        <w:tc>
          <w:tcPr>
            <w:tcW w:w="1166" w:type="dxa"/>
            <w:tcBorders>
              <w:tl2br w:val="nil"/>
              <w:tr2bl w:val="nil"/>
            </w:tcBorders>
            <w:vAlign w:val="center"/>
          </w:tcPr>
          <w:p w14:paraId="2E15616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生态环境</w:t>
            </w:r>
          </w:p>
        </w:tc>
        <w:tc>
          <w:tcPr>
            <w:tcW w:w="1937" w:type="dxa"/>
            <w:tcBorders>
              <w:tl2br w:val="nil"/>
              <w:tr2bl w:val="nil"/>
            </w:tcBorders>
            <w:vAlign w:val="center"/>
          </w:tcPr>
          <w:p w14:paraId="337BF8E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物种分布范围、种群结构、物种组成、植被覆盖度、景观多样性</w:t>
            </w:r>
          </w:p>
        </w:tc>
        <w:tc>
          <w:tcPr>
            <w:tcW w:w="3310" w:type="dxa"/>
            <w:tcBorders>
              <w:tl2br w:val="nil"/>
              <w:tr2bl w:val="nil"/>
            </w:tcBorders>
            <w:vAlign w:val="center"/>
          </w:tcPr>
          <w:p w14:paraId="6965DE5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left"/>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项目建成后、永久占地的植被将被完全破坏，风机噪声对野生动物的驱赶的影响</w:t>
            </w:r>
          </w:p>
        </w:tc>
        <w:tc>
          <w:tcPr>
            <w:tcW w:w="1303" w:type="dxa"/>
            <w:tcBorders>
              <w:tl2br w:val="nil"/>
              <w:tr2bl w:val="nil"/>
            </w:tcBorders>
            <w:vAlign w:val="center"/>
          </w:tcPr>
          <w:p w14:paraId="77408A6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长期、不可逆</w:t>
            </w:r>
          </w:p>
        </w:tc>
        <w:tc>
          <w:tcPr>
            <w:tcW w:w="659" w:type="dxa"/>
            <w:tcBorders>
              <w:tl2br w:val="nil"/>
              <w:tr2bl w:val="nil"/>
            </w:tcBorders>
            <w:vAlign w:val="center"/>
          </w:tcPr>
          <w:p w14:paraId="540DE99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弱</w:t>
            </w:r>
          </w:p>
        </w:tc>
      </w:tr>
      <w:tr w14:paraId="37C179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99" w:type="dxa"/>
            <w:vMerge w:val="continue"/>
            <w:tcBorders>
              <w:tl2br w:val="nil"/>
              <w:tr2bl w:val="nil"/>
            </w:tcBorders>
            <w:vAlign w:val="center"/>
          </w:tcPr>
          <w:p w14:paraId="188243F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FF0000"/>
                <w:kern w:val="0"/>
                <w:sz w:val="21"/>
                <w:szCs w:val="21"/>
                <w:highlight w:val="none"/>
                <w:lang w:val="en-US" w:eastAsia="zh-CN" w:bidi="ar"/>
              </w:rPr>
            </w:pPr>
          </w:p>
        </w:tc>
        <w:tc>
          <w:tcPr>
            <w:tcW w:w="1166" w:type="dxa"/>
            <w:tcBorders>
              <w:tl2br w:val="nil"/>
              <w:tr2bl w:val="nil"/>
            </w:tcBorders>
            <w:vAlign w:val="center"/>
          </w:tcPr>
          <w:p w14:paraId="2F32F2B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光影影响</w:t>
            </w:r>
          </w:p>
        </w:tc>
        <w:tc>
          <w:tcPr>
            <w:tcW w:w="1937" w:type="dxa"/>
            <w:tcBorders>
              <w:tl2br w:val="nil"/>
              <w:tr2bl w:val="nil"/>
            </w:tcBorders>
            <w:vAlign w:val="center"/>
          </w:tcPr>
          <w:p w14:paraId="32C66BC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闪烁</w:t>
            </w:r>
          </w:p>
        </w:tc>
        <w:tc>
          <w:tcPr>
            <w:tcW w:w="3310" w:type="dxa"/>
            <w:tcBorders>
              <w:tl2br w:val="nil"/>
              <w:tr2bl w:val="nil"/>
            </w:tcBorders>
            <w:vAlign w:val="center"/>
          </w:tcPr>
          <w:p w14:paraId="2C22060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left"/>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风机叶片在运转时近距离内产生频闪阴影和频闪反射</w:t>
            </w:r>
          </w:p>
        </w:tc>
        <w:tc>
          <w:tcPr>
            <w:tcW w:w="1303" w:type="dxa"/>
            <w:tcBorders>
              <w:tl2br w:val="nil"/>
              <w:tr2bl w:val="nil"/>
            </w:tcBorders>
            <w:vAlign w:val="center"/>
          </w:tcPr>
          <w:p w14:paraId="425B945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长期、不可逆</w:t>
            </w:r>
          </w:p>
        </w:tc>
        <w:tc>
          <w:tcPr>
            <w:tcW w:w="659" w:type="dxa"/>
            <w:tcBorders>
              <w:tl2br w:val="nil"/>
              <w:tr2bl w:val="nil"/>
            </w:tcBorders>
            <w:vAlign w:val="center"/>
          </w:tcPr>
          <w:p w14:paraId="6811767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弱</w:t>
            </w:r>
          </w:p>
        </w:tc>
      </w:tr>
      <w:tr w14:paraId="610DB3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99" w:type="dxa"/>
            <w:vMerge w:val="continue"/>
            <w:tcBorders>
              <w:tl2br w:val="nil"/>
              <w:tr2bl w:val="nil"/>
            </w:tcBorders>
            <w:vAlign w:val="center"/>
          </w:tcPr>
          <w:p w14:paraId="77A47AC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FF0000"/>
                <w:kern w:val="0"/>
                <w:sz w:val="21"/>
                <w:szCs w:val="21"/>
                <w:highlight w:val="none"/>
                <w:lang w:val="en-US" w:eastAsia="zh-CN" w:bidi="ar"/>
              </w:rPr>
            </w:pPr>
          </w:p>
        </w:tc>
        <w:tc>
          <w:tcPr>
            <w:tcW w:w="3103" w:type="dxa"/>
            <w:gridSpan w:val="2"/>
            <w:tcBorders>
              <w:tl2br w:val="nil"/>
              <w:tr2bl w:val="nil"/>
            </w:tcBorders>
            <w:vAlign w:val="center"/>
          </w:tcPr>
          <w:p w14:paraId="7666ABE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环境风险</w:t>
            </w:r>
          </w:p>
        </w:tc>
        <w:tc>
          <w:tcPr>
            <w:tcW w:w="3310" w:type="dxa"/>
            <w:tcBorders>
              <w:tl2br w:val="nil"/>
              <w:tr2bl w:val="nil"/>
            </w:tcBorders>
            <w:vAlign w:val="center"/>
          </w:tcPr>
          <w:p w14:paraId="6CAF114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废矿物油在事故情况下对地下水环境的影响</w:t>
            </w:r>
          </w:p>
        </w:tc>
        <w:tc>
          <w:tcPr>
            <w:tcW w:w="1303" w:type="dxa"/>
            <w:tcBorders>
              <w:tl2br w:val="nil"/>
              <w:tr2bl w:val="nil"/>
            </w:tcBorders>
            <w:vAlign w:val="center"/>
          </w:tcPr>
          <w:p w14:paraId="4305BFF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短期、可逆</w:t>
            </w:r>
          </w:p>
        </w:tc>
        <w:tc>
          <w:tcPr>
            <w:tcW w:w="659" w:type="dxa"/>
            <w:tcBorders>
              <w:tl2br w:val="nil"/>
              <w:tr2bl w:val="nil"/>
            </w:tcBorders>
            <w:vAlign w:val="center"/>
          </w:tcPr>
          <w:p w14:paraId="70E2E2F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弱</w:t>
            </w:r>
          </w:p>
        </w:tc>
      </w:tr>
    </w:tbl>
    <w:p w14:paraId="4692B72B">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80" w:firstLineChars="200"/>
        <w:jc w:val="both"/>
        <w:textAlignment w:val="auto"/>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bookmarkStart w:id="169" w:name="_Toc294859090"/>
      <w:bookmarkStart w:id="170" w:name="_Toc313005861"/>
      <w:bookmarkStart w:id="171" w:name="_Toc340737477"/>
      <w:bookmarkStart w:id="172" w:name="_Toc391020892"/>
      <w:bookmarkStart w:id="173" w:name="_Toc492091418"/>
      <w:bookmarkStart w:id="174" w:name="_Toc391021333"/>
      <w:bookmarkStart w:id="175" w:name="_Toc391021117"/>
    </w:p>
    <w:p w14:paraId="4931C167">
      <w:pPr>
        <w:pStyle w:val="11"/>
        <w:bidi w:val="0"/>
        <w:ind w:left="0"/>
        <w:outlineLvl w:val="2"/>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bookmarkStart w:id="176" w:name="_Toc16263"/>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2.3.2 评价因子</w:t>
      </w:r>
      <w:bookmarkEnd w:id="176"/>
    </w:p>
    <w:p w14:paraId="0B3C9D4D">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80" w:firstLineChars="200"/>
        <w:jc w:val="both"/>
        <w:textAlignment w:val="auto"/>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根据环境影响因素识别结果，结合区域环境质量现状以及本项目的工程特征和污染物排放特征，确定本项目评价因子如表2.3-2。</w:t>
      </w:r>
    </w:p>
    <w:p w14:paraId="337DB7A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b/>
          <w:color w:val="000000" w:themeColor="text1"/>
          <w:sz w:val="24"/>
          <w:highlight w:val="none"/>
          <w:lang w:val="en-US" w:eastAsia="zh-CN"/>
          <w14:textFill>
            <w14:solidFill>
              <w14:schemeClr w14:val="tx1"/>
            </w14:solidFill>
          </w14:textFill>
        </w:rPr>
        <w:t>表2.3-2    本项目污染因子识别一览表</w:t>
      </w:r>
    </w:p>
    <w:tbl>
      <w:tblPr>
        <w:tblStyle w:val="76"/>
        <w:tblW w:w="917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99"/>
        <w:gridCol w:w="1310"/>
        <w:gridCol w:w="6463"/>
      </w:tblGrid>
      <w:tr w14:paraId="3BD773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9" w:hRule="atLeast"/>
          <w:tblHeader/>
        </w:trPr>
        <w:tc>
          <w:tcPr>
            <w:tcW w:w="1399" w:type="dxa"/>
            <w:tcBorders>
              <w:tl2br w:val="nil"/>
              <w:tr2bl w:val="nil"/>
            </w:tcBorders>
            <w:vAlign w:val="center"/>
          </w:tcPr>
          <w:p w14:paraId="3E7A08AD">
            <w:pPr>
              <w:pStyle w:val="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eastAsiaTheme="minorEastAsia"/>
                <w:b w:val="0"/>
                <w:bCs w:val="0"/>
                <w:snapToGrid w:val="0"/>
                <w:color w:val="000000" w:themeColor="text1"/>
                <w:spacing w:val="-4"/>
                <w:kern w:val="2"/>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snapToGrid w:val="0"/>
                <w:color w:val="000000" w:themeColor="text1"/>
                <w:spacing w:val="-4"/>
                <w:kern w:val="2"/>
                <w:sz w:val="21"/>
                <w:szCs w:val="21"/>
                <w:highlight w:val="none"/>
                <w:lang w:val="en-US" w:eastAsia="zh-CN"/>
                <w14:textFill>
                  <w14:solidFill>
                    <w14:schemeClr w14:val="tx1"/>
                  </w14:solidFill>
                </w14:textFill>
              </w:rPr>
              <w:t>评价要素</w:t>
            </w:r>
          </w:p>
        </w:tc>
        <w:tc>
          <w:tcPr>
            <w:tcW w:w="1310" w:type="dxa"/>
            <w:tcBorders>
              <w:tl2br w:val="nil"/>
              <w:tr2bl w:val="nil"/>
            </w:tcBorders>
            <w:vAlign w:val="center"/>
          </w:tcPr>
          <w:p w14:paraId="370E843D">
            <w:pPr>
              <w:pStyle w:val="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eastAsiaTheme="minorEastAsia"/>
                <w:b w:val="0"/>
                <w:bCs w:val="0"/>
                <w:snapToGrid w:val="0"/>
                <w:color w:val="000000" w:themeColor="text1"/>
                <w:spacing w:val="-4"/>
                <w:kern w:val="2"/>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snapToGrid w:val="0"/>
                <w:color w:val="000000" w:themeColor="text1"/>
                <w:spacing w:val="-4"/>
                <w:kern w:val="2"/>
                <w:sz w:val="21"/>
                <w:szCs w:val="21"/>
                <w:highlight w:val="none"/>
                <w:lang w:val="en-US" w:eastAsia="zh-CN"/>
                <w14:textFill>
                  <w14:solidFill>
                    <w14:schemeClr w14:val="tx1"/>
                  </w14:solidFill>
                </w14:textFill>
              </w:rPr>
              <w:t>评价类别</w:t>
            </w:r>
          </w:p>
        </w:tc>
        <w:tc>
          <w:tcPr>
            <w:tcW w:w="6463" w:type="dxa"/>
            <w:tcBorders>
              <w:tl2br w:val="nil"/>
              <w:tr2bl w:val="nil"/>
            </w:tcBorders>
            <w:vAlign w:val="center"/>
          </w:tcPr>
          <w:p w14:paraId="7D5BE594">
            <w:pPr>
              <w:pStyle w:val="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eastAsiaTheme="minorEastAsia"/>
                <w:b w:val="0"/>
                <w:bCs w:val="0"/>
                <w:snapToGrid w:val="0"/>
                <w:color w:val="000000" w:themeColor="text1"/>
                <w:spacing w:val="-4"/>
                <w:kern w:val="2"/>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snapToGrid w:val="0"/>
                <w:color w:val="000000" w:themeColor="text1"/>
                <w:spacing w:val="-4"/>
                <w:kern w:val="2"/>
                <w:sz w:val="21"/>
                <w:szCs w:val="21"/>
                <w:highlight w:val="none"/>
                <w:lang w:val="en-US" w:eastAsia="zh-CN"/>
                <w14:textFill>
                  <w14:solidFill>
                    <w14:schemeClr w14:val="tx1"/>
                  </w14:solidFill>
                </w14:textFill>
              </w:rPr>
              <w:t>评价因子</w:t>
            </w:r>
          </w:p>
        </w:tc>
      </w:tr>
      <w:tr w14:paraId="61845D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99" w:type="dxa"/>
            <w:vMerge w:val="restart"/>
            <w:tcBorders>
              <w:tl2br w:val="nil"/>
              <w:tr2bl w:val="nil"/>
            </w:tcBorders>
            <w:vAlign w:val="center"/>
          </w:tcPr>
          <w:p w14:paraId="39971E5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环境空气</w:t>
            </w:r>
          </w:p>
        </w:tc>
        <w:tc>
          <w:tcPr>
            <w:tcW w:w="1310" w:type="dxa"/>
            <w:tcBorders>
              <w:tl2br w:val="nil"/>
              <w:tr2bl w:val="nil"/>
            </w:tcBorders>
            <w:vAlign w:val="center"/>
          </w:tcPr>
          <w:p w14:paraId="279F10C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现状评价</w:t>
            </w:r>
          </w:p>
        </w:tc>
        <w:tc>
          <w:tcPr>
            <w:tcW w:w="6463" w:type="dxa"/>
            <w:tcBorders>
              <w:tl2br w:val="nil"/>
              <w:tr2bl w:val="nil"/>
            </w:tcBorders>
            <w:vAlign w:val="center"/>
          </w:tcPr>
          <w:p w14:paraId="5DDD1D5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PM</w:t>
            </w:r>
            <w:r>
              <w:rPr>
                <w:rFonts w:hint="default" w:ascii="Times New Roman" w:hAnsi="Times New Roman" w:cs="Times New Roman" w:eastAsiaTheme="minorEastAsia"/>
                <w:color w:val="000000" w:themeColor="text1"/>
                <w:kern w:val="0"/>
                <w:sz w:val="21"/>
                <w:szCs w:val="21"/>
                <w:highlight w:val="none"/>
                <w:vertAlign w:val="subscript"/>
                <w:lang w:val="en-US" w:eastAsia="zh-CN" w:bidi="ar"/>
                <w14:textFill>
                  <w14:solidFill>
                    <w14:schemeClr w14:val="tx1"/>
                  </w14:solidFill>
                </w14:textFill>
              </w:rPr>
              <w:t>2.5</w:t>
            </w: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、PM</w:t>
            </w:r>
            <w:r>
              <w:rPr>
                <w:rFonts w:hint="default" w:ascii="Times New Roman" w:hAnsi="Times New Roman" w:cs="Times New Roman" w:eastAsiaTheme="minorEastAsia"/>
                <w:color w:val="000000" w:themeColor="text1"/>
                <w:kern w:val="0"/>
                <w:sz w:val="21"/>
                <w:szCs w:val="21"/>
                <w:highlight w:val="none"/>
                <w:vertAlign w:val="subscript"/>
                <w:lang w:val="en-US" w:eastAsia="zh-CN" w:bidi="ar"/>
                <w14:textFill>
                  <w14:solidFill>
                    <w14:schemeClr w14:val="tx1"/>
                  </w14:solidFill>
                </w14:textFill>
              </w:rPr>
              <w:t>10</w:t>
            </w: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、SO</w:t>
            </w:r>
            <w:r>
              <w:rPr>
                <w:rFonts w:hint="default" w:ascii="Times New Roman" w:hAnsi="Times New Roman" w:cs="Times New Roman" w:eastAsiaTheme="minorEastAsia"/>
                <w:color w:val="000000" w:themeColor="text1"/>
                <w:kern w:val="0"/>
                <w:sz w:val="21"/>
                <w:szCs w:val="21"/>
                <w:highlight w:val="none"/>
                <w:vertAlign w:val="subscript"/>
                <w:lang w:val="en-US" w:eastAsia="zh-CN" w:bidi="ar"/>
                <w14:textFill>
                  <w14:solidFill>
                    <w14:schemeClr w14:val="tx1"/>
                  </w14:solidFill>
                </w14:textFill>
              </w:rPr>
              <w:t>2</w:t>
            </w: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、NO</w:t>
            </w:r>
            <w:r>
              <w:rPr>
                <w:rFonts w:hint="default" w:ascii="Times New Roman" w:hAnsi="Times New Roman" w:cs="Times New Roman" w:eastAsiaTheme="minorEastAsia"/>
                <w:color w:val="000000" w:themeColor="text1"/>
                <w:kern w:val="0"/>
                <w:sz w:val="21"/>
                <w:szCs w:val="21"/>
                <w:highlight w:val="none"/>
                <w:vertAlign w:val="subscript"/>
                <w:lang w:val="en-US" w:eastAsia="zh-CN" w:bidi="ar"/>
                <w14:textFill>
                  <w14:solidFill>
                    <w14:schemeClr w14:val="tx1"/>
                  </w14:solidFill>
                </w14:textFill>
              </w:rPr>
              <w:t>2</w:t>
            </w: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、CO、O</w:t>
            </w:r>
            <w:r>
              <w:rPr>
                <w:rFonts w:hint="default" w:ascii="Times New Roman" w:hAnsi="Times New Roman" w:cs="Times New Roman" w:eastAsiaTheme="minorEastAsia"/>
                <w:color w:val="000000" w:themeColor="text1"/>
                <w:kern w:val="0"/>
                <w:sz w:val="21"/>
                <w:szCs w:val="21"/>
                <w:highlight w:val="none"/>
                <w:vertAlign w:val="subscript"/>
                <w:lang w:val="en-US" w:eastAsia="zh-CN" w:bidi="ar"/>
                <w14:textFill>
                  <w14:solidFill>
                    <w14:schemeClr w14:val="tx1"/>
                  </w14:solidFill>
                </w14:textFill>
              </w:rPr>
              <w:t>3</w:t>
            </w:r>
          </w:p>
        </w:tc>
      </w:tr>
      <w:tr w14:paraId="11ADF6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99" w:type="dxa"/>
            <w:vMerge w:val="continue"/>
            <w:tcBorders>
              <w:tl2br w:val="nil"/>
              <w:tr2bl w:val="nil"/>
            </w:tcBorders>
            <w:vAlign w:val="center"/>
          </w:tcPr>
          <w:p w14:paraId="5B45CFA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p>
        </w:tc>
        <w:tc>
          <w:tcPr>
            <w:tcW w:w="1310" w:type="dxa"/>
            <w:tcBorders>
              <w:tl2br w:val="nil"/>
              <w:tr2bl w:val="nil"/>
            </w:tcBorders>
            <w:vAlign w:val="center"/>
          </w:tcPr>
          <w:p w14:paraId="15FC975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影响评价</w:t>
            </w:r>
          </w:p>
        </w:tc>
        <w:tc>
          <w:tcPr>
            <w:tcW w:w="6463" w:type="dxa"/>
            <w:tcBorders>
              <w:tl2br w:val="nil"/>
              <w:tr2bl w:val="nil"/>
            </w:tcBorders>
            <w:vAlign w:val="center"/>
          </w:tcPr>
          <w:p w14:paraId="3F6776E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TSP（施工扬尘）、CO、THC、NOx（机械尾气）</w:t>
            </w:r>
          </w:p>
        </w:tc>
      </w:tr>
      <w:tr w14:paraId="6D9F24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99" w:type="dxa"/>
            <w:vMerge w:val="restart"/>
            <w:tcBorders>
              <w:tl2br w:val="nil"/>
              <w:tr2bl w:val="nil"/>
            </w:tcBorders>
            <w:vAlign w:val="center"/>
          </w:tcPr>
          <w:p w14:paraId="6A07932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地表水</w:t>
            </w:r>
          </w:p>
        </w:tc>
        <w:tc>
          <w:tcPr>
            <w:tcW w:w="1310" w:type="dxa"/>
            <w:tcBorders>
              <w:tl2br w:val="nil"/>
              <w:tr2bl w:val="nil"/>
            </w:tcBorders>
            <w:vAlign w:val="center"/>
          </w:tcPr>
          <w:p w14:paraId="4DEB93A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现状评价</w:t>
            </w:r>
          </w:p>
        </w:tc>
        <w:tc>
          <w:tcPr>
            <w:tcW w:w="6463" w:type="dxa"/>
            <w:tcBorders>
              <w:tl2br w:val="nil"/>
              <w:tr2bl w:val="nil"/>
            </w:tcBorders>
            <w:vAlign w:val="center"/>
          </w:tcPr>
          <w:p w14:paraId="30AC2AA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pH值、总磷、高锰酸盐指数、溶解氧、氟化物、挥发酚、石油类、氨氮、五日生化需氧量、铜、锌、硒、砷、镉、六价铬、铅、汞、阴离子表面活性剂、氰化物、硫化物、化学需氧量共21项</w:t>
            </w:r>
          </w:p>
        </w:tc>
      </w:tr>
      <w:tr w14:paraId="72EA14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99" w:type="dxa"/>
            <w:vMerge w:val="continue"/>
            <w:tcBorders>
              <w:tl2br w:val="nil"/>
              <w:tr2bl w:val="nil"/>
            </w:tcBorders>
            <w:vAlign w:val="center"/>
          </w:tcPr>
          <w:p w14:paraId="7A77527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p>
        </w:tc>
        <w:tc>
          <w:tcPr>
            <w:tcW w:w="1310" w:type="dxa"/>
            <w:tcBorders>
              <w:tl2br w:val="nil"/>
              <w:tr2bl w:val="nil"/>
            </w:tcBorders>
            <w:vAlign w:val="center"/>
          </w:tcPr>
          <w:p w14:paraId="71C73C8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影响评价</w:t>
            </w:r>
          </w:p>
        </w:tc>
        <w:tc>
          <w:tcPr>
            <w:tcW w:w="6463" w:type="dxa"/>
            <w:tcBorders>
              <w:tl2br w:val="nil"/>
              <w:tr2bl w:val="nil"/>
            </w:tcBorders>
            <w:vAlign w:val="center"/>
          </w:tcPr>
          <w:p w14:paraId="0B96D09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化学需氧量、五日生化需氧量、氨氮、悬浮物、石油类</w:t>
            </w:r>
          </w:p>
        </w:tc>
      </w:tr>
      <w:tr w14:paraId="207587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99" w:type="dxa"/>
            <w:vMerge w:val="restart"/>
            <w:tcBorders>
              <w:tl2br w:val="nil"/>
              <w:tr2bl w:val="nil"/>
            </w:tcBorders>
            <w:vAlign w:val="center"/>
          </w:tcPr>
          <w:p w14:paraId="6AFCA61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地下水</w:t>
            </w:r>
          </w:p>
        </w:tc>
        <w:tc>
          <w:tcPr>
            <w:tcW w:w="1310" w:type="dxa"/>
            <w:tcBorders>
              <w:tl2br w:val="nil"/>
              <w:tr2bl w:val="nil"/>
            </w:tcBorders>
            <w:vAlign w:val="center"/>
          </w:tcPr>
          <w:p w14:paraId="3292456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现状评价</w:t>
            </w:r>
          </w:p>
        </w:tc>
        <w:tc>
          <w:tcPr>
            <w:tcW w:w="6463" w:type="dxa"/>
            <w:tcBorders>
              <w:tl2br w:val="nil"/>
              <w:tr2bl w:val="nil"/>
            </w:tcBorders>
            <w:vAlign w:val="center"/>
          </w:tcPr>
          <w:p w14:paraId="43662DC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left"/>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色、嗅和味、浑浊度、肉眼可见物、pH值、总硬度、溶解性总固体、硫酸盐、氯化物、铁、锰、铜、锌、挥发酚、阴离子表面活性剂、氨氮、硫化物、钠、总大肠菌群、菌落总数、亚硝酸盐氮、硝酸盐氮、氰化物、氟化物、碘化物、汞、砷、硒、镉、六价铬、铅、三氯甲烷、四氯化碳、苯、甲苯、总α放射性、总β放射性等，共37项</w:t>
            </w:r>
          </w:p>
        </w:tc>
      </w:tr>
      <w:tr w14:paraId="0E4B5C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99" w:type="dxa"/>
            <w:vMerge w:val="continue"/>
            <w:tcBorders>
              <w:tl2br w:val="nil"/>
              <w:tr2bl w:val="nil"/>
            </w:tcBorders>
            <w:vAlign w:val="center"/>
          </w:tcPr>
          <w:p w14:paraId="0A4C7E0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p>
        </w:tc>
        <w:tc>
          <w:tcPr>
            <w:tcW w:w="1310" w:type="dxa"/>
            <w:tcBorders>
              <w:tl2br w:val="nil"/>
              <w:tr2bl w:val="nil"/>
            </w:tcBorders>
            <w:vAlign w:val="center"/>
          </w:tcPr>
          <w:p w14:paraId="0DC1867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影响评价</w:t>
            </w:r>
          </w:p>
        </w:tc>
        <w:tc>
          <w:tcPr>
            <w:tcW w:w="6463" w:type="dxa"/>
            <w:tcBorders>
              <w:tl2br w:val="nil"/>
              <w:tr2bl w:val="nil"/>
            </w:tcBorders>
            <w:vAlign w:val="center"/>
          </w:tcPr>
          <w:p w14:paraId="5DFCFDB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化学需氧量、五日生化需氧量、氨氮、悬浮物、石油类</w:t>
            </w:r>
          </w:p>
        </w:tc>
      </w:tr>
      <w:tr w14:paraId="6BFAEB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99" w:type="dxa"/>
            <w:vMerge w:val="restart"/>
            <w:tcBorders>
              <w:tl2br w:val="nil"/>
              <w:tr2bl w:val="nil"/>
            </w:tcBorders>
            <w:vAlign w:val="center"/>
          </w:tcPr>
          <w:p w14:paraId="56C66AC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声环境</w:t>
            </w:r>
          </w:p>
        </w:tc>
        <w:tc>
          <w:tcPr>
            <w:tcW w:w="1310" w:type="dxa"/>
            <w:tcBorders>
              <w:tl2br w:val="nil"/>
              <w:tr2bl w:val="nil"/>
            </w:tcBorders>
            <w:vAlign w:val="center"/>
          </w:tcPr>
          <w:p w14:paraId="4E6F2D9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现状评价</w:t>
            </w:r>
          </w:p>
        </w:tc>
        <w:tc>
          <w:tcPr>
            <w:tcW w:w="6463" w:type="dxa"/>
            <w:tcBorders>
              <w:tl2br w:val="nil"/>
              <w:tr2bl w:val="nil"/>
            </w:tcBorders>
            <w:vAlign w:val="center"/>
          </w:tcPr>
          <w:p w14:paraId="3774B35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等效连续A声级</w:t>
            </w:r>
          </w:p>
        </w:tc>
      </w:tr>
      <w:tr w14:paraId="603F9B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99" w:type="dxa"/>
            <w:vMerge w:val="continue"/>
            <w:tcBorders>
              <w:tl2br w:val="nil"/>
              <w:tr2bl w:val="nil"/>
            </w:tcBorders>
            <w:vAlign w:val="center"/>
          </w:tcPr>
          <w:p w14:paraId="2E1C0AA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p>
        </w:tc>
        <w:tc>
          <w:tcPr>
            <w:tcW w:w="1310" w:type="dxa"/>
            <w:tcBorders>
              <w:tl2br w:val="nil"/>
              <w:tr2bl w:val="nil"/>
            </w:tcBorders>
            <w:vAlign w:val="center"/>
          </w:tcPr>
          <w:p w14:paraId="5F7815E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影响评价</w:t>
            </w:r>
          </w:p>
        </w:tc>
        <w:tc>
          <w:tcPr>
            <w:tcW w:w="6463" w:type="dxa"/>
            <w:tcBorders>
              <w:tl2br w:val="nil"/>
              <w:tr2bl w:val="nil"/>
            </w:tcBorders>
            <w:vAlign w:val="center"/>
          </w:tcPr>
          <w:p w14:paraId="057890F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等效连续A声级</w:t>
            </w:r>
          </w:p>
        </w:tc>
      </w:tr>
      <w:tr w14:paraId="1374F1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99" w:type="dxa"/>
            <w:vMerge w:val="restart"/>
            <w:tcBorders>
              <w:tl2br w:val="nil"/>
              <w:tr2bl w:val="nil"/>
            </w:tcBorders>
            <w:vAlign w:val="center"/>
          </w:tcPr>
          <w:p w14:paraId="10B9F06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固体废物</w:t>
            </w:r>
          </w:p>
        </w:tc>
        <w:tc>
          <w:tcPr>
            <w:tcW w:w="1310" w:type="dxa"/>
            <w:tcBorders>
              <w:tl2br w:val="nil"/>
              <w:tr2bl w:val="nil"/>
            </w:tcBorders>
            <w:vAlign w:val="center"/>
          </w:tcPr>
          <w:p w14:paraId="567CE7E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现状评价</w:t>
            </w:r>
          </w:p>
        </w:tc>
        <w:tc>
          <w:tcPr>
            <w:tcW w:w="6463" w:type="dxa"/>
            <w:tcBorders>
              <w:tl2br w:val="nil"/>
              <w:tr2bl w:val="nil"/>
            </w:tcBorders>
            <w:vAlign w:val="center"/>
          </w:tcPr>
          <w:p w14:paraId="03521CE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w:t>
            </w:r>
          </w:p>
        </w:tc>
      </w:tr>
      <w:tr w14:paraId="71D98B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99" w:type="dxa"/>
            <w:vMerge w:val="continue"/>
            <w:tcBorders>
              <w:tl2br w:val="nil"/>
              <w:tr2bl w:val="nil"/>
            </w:tcBorders>
            <w:vAlign w:val="center"/>
          </w:tcPr>
          <w:p w14:paraId="5E76CEE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p>
        </w:tc>
        <w:tc>
          <w:tcPr>
            <w:tcW w:w="1310" w:type="dxa"/>
            <w:tcBorders>
              <w:tl2br w:val="nil"/>
              <w:tr2bl w:val="nil"/>
            </w:tcBorders>
            <w:vAlign w:val="center"/>
          </w:tcPr>
          <w:p w14:paraId="3726640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影响评价</w:t>
            </w:r>
          </w:p>
        </w:tc>
        <w:tc>
          <w:tcPr>
            <w:tcW w:w="6463" w:type="dxa"/>
            <w:tcBorders>
              <w:tl2br w:val="nil"/>
              <w:tr2bl w:val="nil"/>
            </w:tcBorders>
            <w:vAlign w:val="center"/>
          </w:tcPr>
          <w:p w14:paraId="391808E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left"/>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施工期：生活垃圾、施工弃渣</w:t>
            </w:r>
            <w:r>
              <w:rPr>
                <w:rFonts w:hint="eastAsia"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、废包装材料</w:t>
            </w:r>
          </w:p>
          <w:p w14:paraId="2F80F0C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left"/>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运营期：</w:t>
            </w:r>
            <w:r>
              <w:rPr>
                <w:rFonts w:hint="eastAsia" w:ascii="宋体" w:hAnsi="宋体" w:eastAsia="宋体"/>
                <w:sz w:val="21"/>
              </w:rPr>
              <w:t>报废零部件、风机检修产生的废矿物油、废弃含油抹布及废手套</w:t>
            </w:r>
          </w:p>
        </w:tc>
      </w:tr>
      <w:tr w14:paraId="0543E4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99" w:type="dxa"/>
            <w:vMerge w:val="restart"/>
            <w:tcBorders>
              <w:tl2br w:val="nil"/>
              <w:tr2bl w:val="nil"/>
            </w:tcBorders>
            <w:vAlign w:val="center"/>
          </w:tcPr>
          <w:p w14:paraId="24E8B24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生态</w:t>
            </w:r>
          </w:p>
        </w:tc>
        <w:tc>
          <w:tcPr>
            <w:tcW w:w="1310" w:type="dxa"/>
            <w:tcBorders>
              <w:tl2br w:val="nil"/>
              <w:tr2bl w:val="nil"/>
            </w:tcBorders>
            <w:vAlign w:val="center"/>
          </w:tcPr>
          <w:p w14:paraId="53D0071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现状评价</w:t>
            </w:r>
          </w:p>
        </w:tc>
        <w:tc>
          <w:tcPr>
            <w:tcW w:w="6463" w:type="dxa"/>
            <w:tcBorders>
              <w:tl2br w:val="nil"/>
              <w:tr2bl w:val="nil"/>
            </w:tcBorders>
            <w:vAlign w:val="center"/>
          </w:tcPr>
          <w:p w14:paraId="7E8803B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土地利用现状、生态功能、植被、野生动物</w:t>
            </w:r>
          </w:p>
        </w:tc>
      </w:tr>
      <w:tr w14:paraId="49FE1D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99" w:type="dxa"/>
            <w:vMerge w:val="continue"/>
            <w:tcBorders>
              <w:tl2br w:val="nil"/>
              <w:tr2bl w:val="nil"/>
            </w:tcBorders>
            <w:vAlign w:val="center"/>
          </w:tcPr>
          <w:p w14:paraId="083ABB5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p>
        </w:tc>
        <w:tc>
          <w:tcPr>
            <w:tcW w:w="1310" w:type="dxa"/>
            <w:tcBorders>
              <w:tl2br w:val="nil"/>
              <w:tr2bl w:val="nil"/>
            </w:tcBorders>
            <w:vAlign w:val="center"/>
          </w:tcPr>
          <w:p w14:paraId="3D1D909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影响评价</w:t>
            </w:r>
          </w:p>
        </w:tc>
        <w:tc>
          <w:tcPr>
            <w:tcW w:w="6463" w:type="dxa"/>
            <w:tcBorders>
              <w:tl2br w:val="nil"/>
              <w:tr2bl w:val="nil"/>
            </w:tcBorders>
            <w:vAlign w:val="center"/>
          </w:tcPr>
          <w:p w14:paraId="3B5CACC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物种分布范围、种群结构、物种组成、植被覆盖度、景观多样性等</w:t>
            </w:r>
          </w:p>
        </w:tc>
      </w:tr>
      <w:tr w14:paraId="4F41B1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99" w:type="dxa"/>
            <w:tcBorders>
              <w:tl2br w:val="nil"/>
              <w:tr2bl w:val="nil"/>
            </w:tcBorders>
            <w:vAlign w:val="center"/>
          </w:tcPr>
          <w:p w14:paraId="7F249B6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环境风险</w:t>
            </w:r>
          </w:p>
        </w:tc>
        <w:tc>
          <w:tcPr>
            <w:tcW w:w="1310" w:type="dxa"/>
            <w:tcBorders>
              <w:tl2br w:val="nil"/>
              <w:tr2bl w:val="nil"/>
            </w:tcBorders>
            <w:vAlign w:val="center"/>
          </w:tcPr>
          <w:p w14:paraId="15914CA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影响评价</w:t>
            </w:r>
          </w:p>
        </w:tc>
        <w:tc>
          <w:tcPr>
            <w:tcW w:w="6463" w:type="dxa"/>
            <w:tcBorders>
              <w:tl2br w:val="nil"/>
              <w:tr2bl w:val="nil"/>
            </w:tcBorders>
            <w:vAlign w:val="center"/>
          </w:tcPr>
          <w:p w14:paraId="472CBC1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废矿物油在事故情况下对地下水环境的影响</w:t>
            </w:r>
          </w:p>
        </w:tc>
      </w:tr>
    </w:tbl>
    <w:p w14:paraId="2B173682">
      <w:pPr>
        <w:bidi w:val="0"/>
        <w:rPr>
          <w:rFonts w:hint="default"/>
          <w:color w:val="000000" w:themeColor="text1"/>
          <w:sz w:val="24"/>
          <w:szCs w:val="24"/>
          <w:lang w:val="en-US" w:eastAsia="zh-CN"/>
          <w14:textFill>
            <w14:solidFill>
              <w14:schemeClr w14:val="tx1"/>
            </w14:solidFill>
          </w14:textFill>
        </w:rPr>
      </w:pPr>
      <w:bookmarkStart w:id="177" w:name="_Toc14233"/>
      <w:bookmarkStart w:id="178" w:name="_Toc6335"/>
      <w:bookmarkStart w:id="179" w:name="_Toc22954"/>
    </w:p>
    <w:p w14:paraId="623736C0">
      <w:pPr>
        <w:pStyle w:val="4"/>
        <w:pageBreakBefore w:val="0"/>
        <w:widowControl w:val="0"/>
        <w:numPr>
          <w:ilvl w:val="0"/>
          <w:numId w:val="0"/>
        </w:numPr>
        <w:tabs>
          <w:tab w:val="left" w:pos="630"/>
          <w:tab w:val="left" w:pos="3403"/>
        </w:tabs>
        <w:kinsoku/>
        <w:wordWrap w:val="0"/>
        <w:overflowPunct/>
        <w:topLinePunct w:val="0"/>
        <w:autoSpaceDE/>
        <w:autoSpaceDN/>
        <w:bidi w:val="0"/>
        <w:adjustRightInd/>
        <w:snapToGrid/>
        <w:spacing w:before="0" w:beforeLines="0" w:after="0" w:afterLines="0" w:line="360" w:lineRule="auto"/>
        <w:outlineLvl w:val="1"/>
        <w:rPr>
          <w:rFonts w:hint="default" w:ascii="Times New Roman" w:hAnsi="Times New Roman" w:cs="Times New Roman" w:eastAsiaTheme="minorEastAsia"/>
          <w:color w:val="000000" w:themeColor="text1"/>
          <w:sz w:val="30"/>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30"/>
          <w:highlight w:val="none"/>
          <w:lang w:val="en-US" w:eastAsia="zh-CN"/>
          <w14:textFill>
            <w14:solidFill>
              <w14:schemeClr w14:val="tx1"/>
            </w14:solidFill>
          </w14:textFill>
        </w:rPr>
        <w:t>2.4 环境功能区划和环境影响评价标准</w:t>
      </w:r>
      <w:bookmarkEnd w:id="177"/>
      <w:bookmarkEnd w:id="178"/>
      <w:bookmarkEnd w:id="179"/>
    </w:p>
    <w:p w14:paraId="4390C4C6">
      <w:pPr>
        <w:pStyle w:val="11"/>
        <w:bidi w:val="0"/>
        <w:ind w:left="0"/>
        <w:outlineLvl w:val="2"/>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bookmarkStart w:id="180" w:name="_Toc19980"/>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2.4.1 环境功能区划</w:t>
      </w:r>
      <w:bookmarkEnd w:id="180"/>
    </w:p>
    <w:p w14:paraId="7219E473">
      <w:pPr>
        <w:keepNext w:val="0"/>
        <w:keepLines w:val="0"/>
        <w:pageBreakBefore w:val="0"/>
        <w:widowControl w:val="0"/>
        <w:numPr>
          <w:ilvl w:val="0"/>
          <w:numId w:val="0"/>
        </w:numPr>
        <w:tabs>
          <w:tab w:val="left" w:pos="1260"/>
        </w:tabs>
        <w:kinsoku/>
        <w:wordWrap/>
        <w:overflowPunct/>
        <w:topLinePunct w:val="0"/>
        <w:autoSpaceDE/>
        <w:autoSpaceDN/>
        <w:bidi w:val="0"/>
        <w:adjustRightInd/>
        <w:snapToGrid/>
        <w:spacing w:line="360" w:lineRule="auto"/>
        <w:ind w:leftChars="0"/>
        <w:textAlignment w:val="auto"/>
        <w:outlineLvl w:val="9"/>
        <w:rPr>
          <w:rFonts w:hint="default"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t>2.4.1.1 空气环境功能区划</w:t>
      </w:r>
    </w:p>
    <w:p w14:paraId="4C0D5D8E">
      <w:pPr>
        <w:spacing w:beforeLines="0" w:afterLines="0"/>
        <w:jc w:val="left"/>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本项目不属于自然保护区、风景名胜区和其他需要特殊保护的区域，项目所在区</w:t>
      </w:r>
    </w:p>
    <w:p w14:paraId="1602CCE6">
      <w:pPr>
        <w:spacing w:beforeLines="0" w:afterLines="0"/>
        <w:ind w:left="0" w:leftChars="0" w:firstLine="0" w:firstLineChars="0"/>
        <w:jc w:val="left"/>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域属二类功能区</w:t>
      </w:r>
      <w:r>
        <w:rPr>
          <w:rFonts w:hint="eastAsia" w:cs="Times New Roman" w:eastAsiaTheme="minorEastAsia"/>
          <w:color w:val="000000" w:themeColor="text1"/>
          <w:sz w:val="24"/>
          <w:highlight w:val="none"/>
          <w:lang w:val="en-US" w:eastAsia="zh-CN"/>
          <w14:textFill>
            <w14:solidFill>
              <w14:schemeClr w14:val="tx1"/>
            </w14:solidFill>
          </w14:textFill>
        </w:rPr>
        <w:t>，</w:t>
      </w:r>
      <w:r>
        <w:rPr>
          <w:rFonts w:hint="eastAsia" w:ascii="宋体" w:hAnsi="宋体" w:eastAsia="宋体"/>
          <w:sz w:val="24"/>
        </w:rPr>
        <w:t>执行《环境空气质量标准》（</w:t>
      </w:r>
      <w:r>
        <w:rPr>
          <w:rFonts w:hint="eastAsia" w:ascii="TimesNewRomanPSMT" w:hAnsi="TimesNewRomanPSMT" w:eastAsia="TimesNewRomanPSMT"/>
          <w:sz w:val="24"/>
        </w:rPr>
        <w:t>GB3095-2012</w:t>
      </w:r>
      <w:r>
        <w:rPr>
          <w:rFonts w:hint="eastAsia" w:ascii="宋体" w:hAnsi="宋体" w:eastAsia="宋体"/>
          <w:sz w:val="24"/>
        </w:rPr>
        <w:t>）中二级标准。</w:t>
      </w:r>
    </w:p>
    <w:p w14:paraId="20598E9B">
      <w:pPr>
        <w:keepNext w:val="0"/>
        <w:keepLines w:val="0"/>
        <w:pageBreakBefore w:val="0"/>
        <w:widowControl w:val="0"/>
        <w:numPr>
          <w:ilvl w:val="0"/>
          <w:numId w:val="0"/>
        </w:numPr>
        <w:tabs>
          <w:tab w:val="left" w:pos="1260"/>
        </w:tabs>
        <w:kinsoku/>
        <w:wordWrap/>
        <w:overflowPunct/>
        <w:topLinePunct w:val="0"/>
        <w:autoSpaceDE/>
        <w:autoSpaceDN/>
        <w:bidi w:val="0"/>
        <w:adjustRightInd w:val="0"/>
        <w:snapToGrid/>
        <w:spacing w:line="360" w:lineRule="auto"/>
        <w:ind w:leftChars="0"/>
        <w:textAlignment w:val="auto"/>
        <w:outlineLvl w:val="9"/>
        <w:rPr>
          <w:rFonts w:hint="default"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t>2.4.1.2 水环境功能区划</w:t>
      </w:r>
    </w:p>
    <w:p w14:paraId="27D0750B">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本项目用地较分散，</w:t>
      </w:r>
      <w:r>
        <w:rPr>
          <w:rFonts w:hint="eastAsia" w:ascii="宋体" w:hAnsi="宋体" w:eastAsia="宋体"/>
          <w:color w:val="000000" w:themeColor="text1"/>
          <w:sz w:val="24"/>
          <w:lang w:val="en-US" w:eastAsia="zh-CN"/>
          <w14:textFill>
            <w14:solidFill>
              <w14:schemeClr w14:val="tx1"/>
            </w14:solidFill>
          </w14:textFill>
        </w:rPr>
        <w:t>项目周边涉及的</w:t>
      </w:r>
      <w:r>
        <w:rPr>
          <w:rFonts w:hint="eastAsia" w:cs="Times New Roman" w:eastAsiaTheme="minorEastAsia"/>
          <w:snapToGrid w:val="0"/>
          <w:color w:val="000000" w:themeColor="text1"/>
          <w:sz w:val="24"/>
          <w:highlight w:val="none"/>
          <w:lang w:val="en-US" w:eastAsia="zh-CN"/>
          <w14:textFill>
            <w14:solidFill>
              <w14:schemeClr w14:val="tx1"/>
            </w14:solidFill>
          </w14:textFill>
        </w:rPr>
        <w:t>地表水体为乌拉泊水源地一级保护区(乌拉泊水库)、乌拉泊水源地二级保护区(乌鲁木齐河)，分别距H1风机5.1km、3.7km，</w:t>
      </w:r>
      <w:r>
        <w:rPr>
          <w:rFonts w:hint="eastAsia" w:ascii="宋体" w:hAnsi="宋体" w:eastAsia="宋体"/>
          <w:color w:val="000000" w:themeColor="text1"/>
          <w:sz w:val="24"/>
          <w14:textFill>
            <w14:solidFill>
              <w14:schemeClr w14:val="tx1"/>
            </w14:solidFill>
          </w14:textFill>
        </w:rPr>
        <w:t>根据《中国新疆水环境功能区划》（</w:t>
      </w:r>
      <w:r>
        <w:rPr>
          <w:rFonts w:hint="eastAsia" w:ascii="TimesNewRomanPSMT" w:hAnsi="TimesNewRomanPSMT" w:eastAsia="TimesNewRomanPSMT"/>
          <w:color w:val="000000" w:themeColor="text1"/>
          <w:sz w:val="24"/>
          <w14:textFill>
            <w14:solidFill>
              <w14:schemeClr w14:val="tx1"/>
            </w14:solidFill>
          </w14:textFill>
        </w:rPr>
        <w:t xml:space="preserve">2002 </w:t>
      </w:r>
      <w:r>
        <w:rPr>
          <w:rFonts w:hint="eastAsia" w:ascii="宋体" w:hAnsi="宋体" w:eastAsia="宋体"/>
          <w:color w:val="000000" w:themeColor="text1"/>
          <w:sz w:val="24"/>
          <w14:textFill>
            <w14:solidFill>
              <w14:schemeClr w14:val="tx1"/>
            </w14:solidFill>
          </w14:textFill>
        </w:rPr>
        <w:t>版），地表水的环境功能见表</w:t>
      </w:r>
      <w:r>
        <w:rPr>
          <w:rFonts w:hint="eastAsia" w:ascii="TimesNewRomanPSMT" w:hAnsi="TimesNewRomanPSMT" w:eastAsia="TimesNewRomanPSMT"/>
          <w:color w:val="000000" w:themeColor="text1"/>
          <w:sz w:val="24"/>
          <w14:textFill>
            <w14:solidFill>
              <w14:schemeClr w14:val="tx1"/>
            </w14:solidFill>
          </w14:textFill>
        </w:rPr>
        <w:t>2.</w:t>
      </w:r>
      <w:r>
        <w:rPr>
          <w:rFonts w:hint="eastAsia" w:ascii="TimesNewRomanPSMT" w:hAnsi="TimesNewRomanPSMT" w:eastAsia="宋体"/>
          <w:color w:val="000000" w:themeColor="text1"/>
          <w:sz w:val="24"/>
          <w:lang w:val="en-US" w:eastAsia="zh-CN"/>
          <w14:textFill>
            <w14:solidFill>
              <w14:schemeClr w14:val="tx1"/>
            </w14:solidFill>
          </w14:textFill>
        </w:rPr>
        <w:t>4</w:t>
      </w:r>
      <w:r>
        <w:rPr>
          <w:rFonts w:hint="eastAsia" w:ascii="TimesNewRomanPSMT" w:hAnsi="TimesNewRomanPSMT" w:eastAsia="TimesNewRomanPSMT"/>
          <w:color w:val="000000" w:themeColor="text1"/>
          <w:sz w:val="24"/>
          <w14:textFill>
            <w14:solidFill>
              <w14:schemeClr w14:val="tx1"/>
            </w14:solidFill>
          </w14:textFill>
        </w:rPr>
        <w:t>-1</w:t>
      </w:r>
      <w:r>
        <w:rPr>
          <w:rFonts w:hint="eastAsia" w:ascii="宋体" w:hAnsi="宋体" w:eastAsia="宋体"/>
          <w:color w:val="000000" w:themeColor="text1"/>
          <w:sz w:val="24"/>
          <w14:textFill>
            <w14:solidFill>
              <w14:schemeClr w14:val="tx1"/>
            </w14:solidFill>
          </w14:textFill>
        </w:rPr>
        <w:t>。</w:t>
      </w:r>
    </w:p>
    <w:p w14:paraId="131BB742">
      <w:pPr>
        <w:keepNext w:val="0"/>
        <w:keepLines w:val="0"/>
        <w:pageBreakBefore w:val="0"/>
        <w:widowControl w:val="0"/>
        <w:kinsoku/>
        <w:wordWrap/>
        <w:overflowPunct/>
        <w:topLinePunct w:val="0"/>
        <w:autoSpaceDE/>
        <w:autoSpaceDN/>
        <w:bidi w:val="0"/>
        <w:adjustRightInd/>
        <w:snapToGrid/>
        <w:spacing w:line="240" w:lineRule="auto"/>
        <w:ind w:left="0" w:leftChars="0" w:firstLine="1446" w:firstLineChars="600"/>
        <w:jc w:val="both"/>
        <w:textAlignment w:val="auto"/>
        <w:rPr>
          <w:rFonts w:hint="default" w:ascii="Times New Roman" w:hAnsi="Times New Roman" w:cs="Times New Roman" w:eastAsiaTheme="minorEastAsia"/>
          <w:b/>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b/>
          <w:color w:val="000000" w:themeColor="text1"/>
          <w:sz w:val="24"/>
          <w:highlight w:val="none"/>
          <w:lang w:val="en-US" w:eastAsia="zh-CN"/>
          <w14:textFill>
            <w14:solidFill>
              <w14:schemeClr w14:val="tx1"/>
            </w14:solidFill>
          </w14:textFill>
        </w:rPr>
        <w:t xml:space="preserve">表2.4-1    </w:t>
      </w:r>
      <w:r>
        <w:rPr>
          <w:rFonts w:hint="eastAsia" w:cs="Times New Roman" w:eastAsiaTheme="minorEastAsia"/>
          <w:b/>
          <w:color w:val="000000" w:themeColor="text1"/>
          <w:sz w:val="24"/>
          <w:highlight w:val="none"/>
          <w:lang w:val="en-US" w:eastAsia="zh-CN"/>
          <w14:textFill>
            <w14:solidFill>
              <w14:schemeClr w14:val="tx1"/>
            </w14:solidFill>
          </w14:textFill>
        </w:rPr>
        <w:t xml:space="preserve"> </w:t>
      </w:r>
      <w:r>
        <w:rPr>
          <w:rFonts w:hint="default" w:ascii="Times New Roman" w:hAnsi="Times New Roman" w:cs="Times New Roman" w:eastAsiaTheme="minorEastAsia"/>
          <w:b/>
          <w:color w:val="000000" w:themeColor="text1"/>
          <w:sz w:val="24"/>
          <w:highlight w:val="none"/>
          <w:lang w:val="en-US" w:eastAsia="zh-CN"/>
          <w14:textFill>
            <w14:solidFill>
              <w14:schemeClr w14:val="tx1"/>
            </w14:solidFill>
          </w14:textFill>
        </w:rPr>
        <w:t>地表水的环境功能统计表</w:t>
      </w:r>
    </w:p>
    <w:tbl>
      <w:tblPr>
        <w:tblStyle w:val="76"/>
        <w:tblW w:w="899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3"/>
        <w:gridCol w:w="1576"/>
        <w:gridCol w:w="3313"/>
        <w:gridCol w:w="1768"/>
        <w:gridCol w:w="1508"/>
      </w:tblGrid>
      <w:tr w14:paraId="0271BA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833" w:type="dxa"/>
            <w:tcBorders>
              <w:tl2br w:val="nil"/>
              <w:tr2bl w:val="nil"/>
            </w:tcBorders>
            <w:vAlign w:val="top"/>
          </w:tcPr>
          <w:p w14:paraId="08E0B89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b w:val="0"/>
                <w:bCs w:val="0"/>
                <w:color w:val="000000" w:themeColor="text1"/>
                <w:kern w:val="0"/>
                <w:sz w:val="21"/>
                <w:szCs w:val="21"/>
                <w:highlight w:val="none"/>
                <w:lang w:val="en-US" w:eastAsia="zh-CN" w:bidi="ar"/>
                <w14:textFill>
                  <w14:solidFill>
                    <w14:schemeClr w14:val="tx1"/>
                  </w14:solidFill>
                </w14:textFill>
              </w:rPr>
              <w:t>序号</w:t>
            </w:r>
          </w:p>
        </w:tc>
        <w:tc>
          <w:tcPr>
            <w:tcW w:w="1576" w:type="dxa"/>
            <w:tcBorders>
              <w:tl2br w:val="nil"/>
              <w:tr2bl w:val="nil"/>
            </w:tcBorders>
            <w:vAlign w:val="top"/>
          </w:tcPr>
          <w:p w14:paraId="0ADD4C6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b w:val="0"/>
                <w:bCs w:val="0"/>
                <w:color w:val="000000" w:themeColor="text1"/>
                <w:kern w:val="0"/>
                <w:sz w:val="21"/>
                <w:szCs w:val="21"/>
                <w:highlight w:val="none"/>
                <w:lang w:val="en-US" w:eastAsia="zh-CN" w:bidi="ar"/>
                <w14:textFill>
                  <w14:solidFill>
                    <w14:schemeClr w14:val="tx1"/>
                  </w14:solidFill>
                </w14:textFill>
              </w:rPr>
              <w:t>地表水名称</w:t>
            </w:r>
          </w:p>
        </w:tc>
        <w:tc>
          <w:tcPr>
            <w:tcW w:w="3313" w:type="dxa"/>
            <w:tcBorders>
              <w:tl2br w:val="nil"/>
              <w:tr2bl w:val="nil"/>
            </w:tcBorders>
            <w:vAlign w:val="top"/>
          </w:tcPr>
          <w:p w14:paraId="149C0BC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b w:val="0"/>
                <w:bCs w:val="0"/>
                <w:color w:val="000000" w:themeColor="text1"/>
                <w:kern w:val="0"/>
                <w:sz w:val="21"/>
                <w:szCs w:val="21"/>
                <w:highlight w:val="none"/>
                <w:lang w:val="en-US" w:eastAsia="zh-CN" w:bidi="ar"/>
                <w14:textFill>
                  <w14:solidFill>
                    <w14:schemeClr w14:val="tx1"/>
                  </w14:solidFill>
                </w14:textFill>
              </w:rPr>
              <w:t>与本项目的位置关系</w:t>
            </w:r>
          </w:p>
        </w:tc>
        <w:tc>
          <w:tcPr>
            <w:tcW w:w="1768" w:type="dxa"/>
            <w:tcBorders>
              <w:tl2br w:val="nil"/>
              <w:tr2bl w:val="nil"/>
            </w:tcBorders>
            <w:vAlign w:val="top"/>
          </w:tcPr>
          <w:p w14:paraId="04236AD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b w:val="0"/>
                <w:bCs w:val="0"/>
                <w:color w:val="000000" w:themeColor="text1"/>
                <w:kern w:val="0"/>
                <w:sz w:val="21"/>
                <w:szCs w:val="21"/>
                <w:highlight w:val="none"/>
                <w:lang w:val="en-US" w:eastAsia="zh-CN" w:bidi="ar"/>
                <w14:textFill>
                  <w14:solidFill>
                    <w14:schemeClr w14:val="tx1"/>
                  </w14:solidFill>
                </w14:textFill>
              </w:rPr>
              <w:t>功能区类型</w:t>
            </w:r>
          </w:p>
        </w:tc>
        <w:tc>
          <w:tcPr>
            <w:tcW w:w="1508" w:type="dxa"/>
            <w:tcBorders>
              <w:tl2br w:val="nil"/>
              <w:tr2bl w:val="nil"/>
            </w:tcBorders>
            <w:vAlign w:val="top"/>
          </w:tcPr>
          <w:p w14:paraId="20F6DA2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b w:val="0"/>
                <w:bCs w:val="0"/>
                <w:color w:val="000000" w:themeColor="text1"/>
                <w:kern w:val="0"/>
                <w:sz w:val="21"/>
                <w:szCs w:val="21"/>
                <w:highlight w:val="none"/>
                <w:lang w:val="en-US" w:eastAsia="zh-CN" w:bidi="ar"/>
                <w14:textFill>
                  <w14:solidFill>
                    <w14:schemeClr w14:val="tx1"/>
                  </w14:solidFill>
                </w14:textFill>
              </w:rPr>
              <w:t>水质目标</w:t>
            </w:r>
          </w:p>
        </w:tc>
      </w:tr>
      <w:tr w14:paraId="3B8589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88" w:hRule="atLeast"/>
        </w:trPr>
        <w:tc>
          <w:tcPr>
            <w:tcW w:w="833" w:type="dxa"/>
            <w:tcBorders>
              <w:tl2br w:val="nil"/>
              <w:tr2bl w:val="nil"/>
            </w:tcBorders>
            <w:vAlign w:val="center"/>
          </w:tcPr>
          <w:p w14:paraId="457382A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b w:val="0"/>
                <w:bCs w:val="0"/>
                <w:color w:val="000000" w:themeColor="text1"/>
                <w:kern w:val="0"/>
                <w:sz w:val="21"/>
                <w:szCs w:val="21"/>
                <w:highlight w:val="none"/>
                <w:lang w:val="en-US" w:eastAsia="zh-CN" w:bidi="ar"/>
                <w14:textFill>
                  <w14:solidFill>
                    <w14:schemeClr w14:val="tx1"/>
                  </w14:solidFill>
                </w14:textFill>
              </w:rPr>
              <w:t>1</w:t>
            </w:r>
          </w:p>
        </w:tc>
        <w:tc>
          <w:tcPr>
            <w:tcW w:w="1576" w:type="dxa"/>
            <w:tcBorders>
              <w:tl2br w:val="nil"/>
              <w:tr2bl w:val="nil"/>
            </w:tcBorders>
            <w:vAlign w:val="center"/>
          </w:tcPr>
          <w:p w14:paraId="34EB498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cs="Times New Roman" w:eastAsiaTheme="minorEastAsia"/>
                <w:b w:val="0"/>
                <w:bCs w:val="0"/>
                <w:color w:val="000000" w:themeColor="text1"/>
                <w:kern w:val="0"/>
                <w:sz w:val="21"/>
                <w:szCs w:val="21"/>
                <w:highlight w:val="none"/>
                <w:lang w:val="en-US" w:eastAsia="zh-CN" w:bidi="ar"/>
                <w14:textFill>
                  <w14:solidFill>
                    <w14:schemeClr w14:val="tx1"/>
                  </w14:solidFill>
                </w14:textFill>
              </w:rPr>
              <w:t>乌拉泊水源地一级保护区(乌拉泊水库)</w:t>
            </w:r>
          </w:p>
        </w:tc>
        <w:tc>
          <w:tcPr>
            <w:tcW w:w="3313" w:type="dxa"/>
            <w:tcBorders>
              <w:tl2br w:val="nil"/>
              <w:tr2bl w:val="nil"/>
            </w:tcBorders>
            <w:vAlign w:val="center"/>
          </w:tcPr>
          <w:p w14:paraId="0966950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cs="Times New Roman" w:eastAsiaTheme="minorEastAsia"/>
                <w:b w:val="0"/>
                <w:bCs w:val="0"/>
                <w:color w:val="000000" w:themeColor="text1"/>
                <w:kern w:val="0"/>
                <w:sz w:val="21"/>
                <w:szCs w:val="21"/>
                <w:highlight w:val="none"/>
                <w:lang w:val="en-US" w:eastAsia="zh-CN" w:bidi="ar"/>
                <w14:textFill>
                  <w14:solidFill>
                    <w14:schemeClr w14:val="tx1"/>
                  </w14:solidFill>
                </w14:textFill>
              </w:rPr>
              <w:t>H1风机东</w:t>
            </w:r>
            <w:r>
              <w:rPr>
                <w:rFonts w:hint="default" w:ascii="Times New Roman" w:hAnsi="Times New Roman" w:cs="Times New Roman" w:eastAsiaTheme="minorEastAsia"/>
                <w:b w:val="0"/>
                <w:bCs w:val="0"/>
                <w:color w:val="000000" w:themeColor="text1"/>
                <w:kern w:val="0"/>
                <w:sz w:val="21"/>
                <w:szCs w:val="21"/>
                <w:highlight w:val="none"/>
                <w:lang w:val="en-US" w:eastAsia="zh-CN" w:bidi="ar"/>
                <w14:textFill>
                  <w14:solidFill>
                    <w14:schemeClr w14:val="tx1"/>
                  </w14:solidFill>
                </w14:textFill>
              </w:rPr>
              <w:t>南侧5.</w:t>
            </w:r>
            <w:r>
              <w:rPr>
                <w:rFonts w:hint="eastAsia" w:ascii="Times New Roman" w:hAnsi="Times New Roman" w:cs="Times New Roman" w:eastAsiaTheme="minorEastAsia"/>
                <w:b w:val="0"/>
                <w:bCs w:val="0"/>
                <w:color w:val="000000" w:themeColor="text1"/>
                <w:kern w:val="0"/>
                <w:sz w:val="21"/>
                <w:szCs w:val="21"/>
                <w:highlight w:val="none"/>
                <w:lang w:val="en-US" w:eastAsia="zh-CN" w:bidi="ar"/>
                <w14:textFill>
                  <w14:solidFill>
                    <w14:schemeClr w14:val="tx1"/>
                  </w14:solidFill>
                </w14:textFill>
              </w:rPr>
              <w:t>1</w:t>
            </w:r>
            <w:r>
              <w:rPr>
                <w:rFonts w:hint="default" w:ascii="Times New Roman" w:hAnsi="Times New Roman" w:cs="Times New Roman" w:eastAsiaTheme="minorEastAsia"/>
                <w:b w:val="0"/>
                <w:bCs w:val="0"/>
                <w:color w:val="000000" w:themeColor="text1"/>
                <w:kern w:val="0"/>
                <w:sz w:val="21"/>
                <w:szCs w:val="21"/>
                <w:highlight w:val="none"/>
                <w:lang w:val="en-US" w:eastAsia="zh-CN" w:bidi="ar"/>
                <w14:textFill>
                  <w14:solidFill>
                    <w14:schemeClr w14:val="tx1"/>
                  </w14:solidFill>
                </w14:textFill>
              </w:rPr>
              <w:t>km</w:t>
            </w:r>
          </w:p>
        </w:tc>
        <w:tc>
          <w:tcPr>
            <w:tcW w:w="1768" w:type="dxa"/>
            <w:tcBorders>
              <w:tl2br w:val="nil"/>
              <w:tr2bl w:val="nil"/>
            </w:tcBorders>
            <w:vAlign w:val="center"/>
          </w:tcPr>
          <w:p w14:paraId="0A8DA81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cs="Times New Roman" w:eastAsiaTheme="minorEastAsia"/>
                <w:b w:val="0"/>
                <w:bCs w:val="0"/>
                <w:color w:val="000000" w:themeColor="text1"/>
                <w:kern w:val="0"/>
                <w:sz w:val="21"/>
                <w:szCs w:val="21"/>
                <w:highlight w:val="none"/>
                <w:lang w:val="en-US" w:eastAsia="zh-CN" w:bidi="ar"/>
                <w14:textFill>
                  <w14:solidFill>
                    <w14:schemeClr w14:val="tx1"/>
                  </w14:solidFill>
                </w14:textFill>
              </w:rPr>
              <w:t>饮用水水源保护区</w:t>
            </w:r>
          </w:p>
        </w:tc>
        <w:tc>
          <w:tcPr>
            <w:tcW w:w="1508" w:type="dxa"/>
            <w:tcBorders>
              <w:tl2br w:val="nil"/>
              <w:tr2bl w:val="nil"/>
            </w:tcBorders>
            <w:vAlign w:val="center"/>
          </w:tcPr>
          <w:p w14:paraId="5A2AFC2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b w:val="0"/>
                <w:bCs w:val="0"/>
                <w:color w:val="000000" w:themeColor="text1"/>
                <w:kern w:val="0"/>
                <w:sz w:val="21"/>
                <w:szCs w:val="21"/>
                <w:highlight w:val="none"/>
                <w:lang w:val="en-US" w:eastAsia="zh-CN" w:bidi="ar"/>
                <w14:textFill>
                  <w14:solidFill>
                    <w14:schemeClr w14:val="tx1"/>
                  </w14:solidFill>
                </w14:textFill>
              </w:rPr>
              <w:t>Ⅱ类</w:t>
            </w:r>
          </w:p>
        </w:tc>
      </w:tr>
      <w:tr w14:paraId="091368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833" w:type="dxa"/>
            <w:tcBorders>
              <w:tl2br w:val="nil"/>
              <w:tr2bl w:val="nil"/>
            </w:tcBorders>
            <w:vAlign w:val="top"/>
          </w:tcPr>
          <w:p w14:paraId="30FA155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b w:val="0"/>
                <w:bCs w:val="0"/>
                <w:color w:val="000000" w:themeColor="text1"/>
                <w:kern w:val="0"/>
                <w:sz w:val="21"/>
                <w:szCs w:val="21"/>
                <w:highlight w:val="none"/>
                <w:lang w:val="en-US" w:eastAsia="zh-CN" w:bidi="ar"/>
                <w14:textFill>
                  <w14:solidFill>
                    <w14:schemeClr w14:val="tx1"/>
                  </w14:solidFill>
                </w14:textFill>
              </w:rPr>
              <w:t>2</w:t>
            </w:r>
          </w:p>
        </w:tc>
        <w:tc>
          <w:tcPr>
            <w:tcW w:w="1576" w:type="dxa"/>
            <w:tcBorders>
              <w:tl2br w:val="nil"/>
              <w:tr2bl w:val="nil"/>
            </w:tcBorders>
            <w:vAlign w:val="center"/>
          </w:tcPr>
          <w:p w14:paraId="6211F02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cs="Times New Roman" w:eastAsiaTheme="minorEastAsia"/>
                <w:b w:val="0"/>
                <w:bCs w:val="0"/>
                <w:color w:val="000000" w:themeColor="text1"/>
                <w:kern w:val="0"/>
                <w:sz w:val="21"/>
                <w:szCs w:val="21"/>
                <w:highlight w:val="none"/>
                <w:lang w:val="en-US" w:eastAsia="zh-CN" w:bidi="ar"/>
                <w14:textFill>
                  <w14:solidFill>
                    <w14:schemeClr w14:val="tx1"/>
                  </w14:solidFill>
                </w14:textFill>
              </w:rPr>
              <w:t>乌拉泊水源地二级保护区(乌鲁木齐河)</w:t>
            </w:r>
          </w:p>
        </w:tc>
        <w:tc>
          <w:tcPr>
            <w:tcW w:w="3313" w:type="dxa"/>
            <w:tcBorders>
              <w:tl2br w:val="nil"/>
              <w:tr2bl w:val="nil"/>
            </w:tcBorders>
            <w:vAlign w:val="center"/>
          </w:tcPr>
          <w:p w14:paraId="24664FD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cs="Times New Roman" w:eastAsiaTheme="minorEastAsia"/>
                <w:b w:val="0"/>
                <w:bCs w:val="0"/>
                <w:color w:val="000000" w:themeColor="text1"/>
                <w:kern w:val="0"/>
                <w:sz w:val="21"/>
                <w:szCs w:val="21"/>
                <w:highlight w:val="none"/>
                <w:lang w:val="en-US" w:eastAsia="zh-CN" w:bidi="ar"/>
                <w14:textFill>
                  <w14:solidFill>
                    <w14:schemeClr w14:val="tx1"/>
                  </w14:solidFill>
                </w14:textFill>
              </w:rPr>
              <w:t>H1风机东</w:t>
            </w:r>
            <w:r>
              <w:rPr>
                <w:rFonts w:hint="default" w:ascii="Times New Roman" w:hAnsi="Times New Roman" w:cs="Times New Roman" w:eastAsiaTheme="minorEastAsia"/>
                <w:b w:val="0"/>
                <w:bCs w:val="0"/>
                <w:color w:val="000000" w:themeColor="text1"/>
                <w:kern w:val="0"/>
                <w:sz w:val="21"/>
                <w:szCs w:val="21"/>
                <w:highlight w:val="none"/>
                <w:lang w:val="en-US" w:eastAsia="zh-CN" w:bidi="ar"/>
                <w14:textFill>
                  <w14:solidFill>
                    <w14:schemeClr w14:val="tx1"/>
                  </w14:solidFill>
                </w14:textFill>
              </w:rPr>
              <w:t>南</w:t>
            </w:r>
            <w:r>
              <w:rPr>
                <w:rFonts w:hint="eastAsia" w:ascii="Times New Roman" w:hAnsi="Times New Roman" w:cs="Times New Roman" w:eastAsiaTheme="minorEastAsia"/>
                <w:b w:val="0"/>
                <w:bCs w:val="0"/>
                <w:color w:val="000000" w:themeColor="text1"/>
                <w:kern w:val="0"/>
                <w:sz w:val="21"/>
                <w:szCs w:val="21"/>
                <w:highlight w:val="none"/>
                <w:lang w:val="en-US" w:eastAsia="zh-CN" w:bidi="ar"/>
                <w14:textFill>
                  <w14:solidFill>
                    <w14:schemeClr w14:val="tx1"/>
                  </w14:solidFill>
                </w14:textFill>
              </w:rPr>
              <w:t>偏南</w:t>
            </w:r>
            <w:r>
              <w:rPr>
                <w:rFonts w:hint="default" w:ascii="Times New Roman" w:hAnsi="Times New Roman" w:cs="Times New Roman" w:eastAsiaTheme="minorEastAsia"/>
                <w:b w:val="0"/>
                <w:bCs w:val="0"/>
                <w:color w:val="000000" w:themeColor="text1"/>
                <w:kern w:val="0"/>
                <w:sz w:val="21"/>
                <w:szCs w:val="21"/>
                <w:highlight w:val="none"/>
                <w:lang w:val="en-US" w:eastAsia="zh-CN" w:bidi="ar"/>
                <w14:textFill>
                  <w14:solidFill>
                    <w14:schemeClr w14:val="tx1"/>
                  </w14:solidFill>
                </w14:textFill>
              </w:rPr>
              <w:t>侧</w:t>
            </w:r>
            <w:r>
              <w:rPr>
                <w:rFonts w:hint="eastAsia" w:ascii="Times New Roman" w:hAnsi="Times New Roman" w:cs="Times New Roman" w:eastAsiaTheme="minorEastAsia"/>
                <w:b w:val="0"/>
                <w:bCs w:val="0"/>
                <w:color w:val="000000" w:themeColor="text1"/>
                <w:kern w:val="0"/>
                <w:sz w:val="21"/>
                <w:szCs w:val="21"/>
                <w:highlight w:val="none"/>
                <w:lang w:val="en-US" w:eastAsia="zh-CN" w:bidi="ar"/>
                <w14:textFill>
                  <w14:solidFill>
                    <w14:schemeClr w14:val="tx1"/>
                  </w14:solidFill>
                </w14:textFill>
              </w:rPr>
              <w:t>3.7</w:t>
            </w:r>
            <w:r>
              <w:rPr>
                <w:rFonts w:hint="default" w:ascii="Times New Roman" w:hAnsi="Times New Roman" w:cs="Times New Roman" w:eastAsiaTheme="minorEastAsia"/>
                <w:b w:val="0"/>
                <w:bCs w:val="0"/>
                <w:color w:val="000000" w:themeColor="text1"/>
                <w:kern w:val="0"/>
                <w:sz w:val="21"/>
                <w:szCs w:val="21"/>
                <w:highlight w:val="none"/>
                <w:lang w:val="en-US" w:eastAsia="zh-CN" w:bidi="ar"/>
                <w14:textFill>
                  <w14:solidFill>
                    <w14:schemeClr w14:val="tx1"/>
                  </w14:solidFill>
                </w14:textFill>
              </w:rPr>
              <w:t>km</w:t>
            </w:r>
          </w:p>
        </w:tc>
        <w:tc>
          <w:tcPr>
            <w:tcW w:w="1768" w:type="dxa"/>
            <w:tcBorders>
              <w:tl2br w:val="nil"/>
              <w:tr2bl w:val="nil"/>
            </w:tcBorders>
            <w:vAlign w:val="center"/>
          </w:tcPr>
          <w:p w14:paraId="13F2C61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cs="Times New Roman" w:eastAsiaTheme="minorEastAsia"/>
                <w:b w:val="0"/>
                <w:bCs w:val="0"/>
                <w:color w:val="000000" w:themeColor="text1"/>
                <w:kern w:val="0"/>
                <w:sz w:val="21"/>
                <w:szCs w:val="21"/>
                <w:highlight w:val="none"/>
                <w:lang w:val="en-US" w:eastAsia="zh-CN" w:bidi="ar"/>
                <w14:textFill>
                  <w14:solidFill>
                    <w14:schemeClr w14:val="tx1"/>
                  </w14:solidFill>
                </w14:textFill>
              </w:rPr>
              <w:t>饮用水水源保护区</w:t>
            </w:r>
          </w:p>
        </w:tc>
        <w:tc>
          <w:tcPr>
            <w:tcW w:w="1508" w:type="dxa"/>
            <w:tcBorders>
              <w:tl2br w:val="nil"/>
              <w:tr2bl w:val="nil"/>
            </w:tcBorders>
            <w:vAlign w:val="center"/>
          </w:tcPr>
          <w:p w14:paraId="7EEC368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b w:val="0"/>
                <w:bCs w:val="0"/>
                <w:color w:val="000000" w:themeColor="text1"/>
                <w:kern w:val="0"/>
                <w:sz w:val="21"/>
                <w:szCs w:val="21"/>
                <w:highlight w:val="none"/>
                <w:lang w:val="en-US" w:eastAsia="zh-CN" w:bidi="ar"/>
                <w14:textFill>
                  <w14:solidFill>
                    <w14:schemeClr w14:val="tx1"/>
                  </w14:solidFill>
                </w14:textFill>
              </w:rPr>
              <w:t>Ⅲ类</w:t>
            </w:r>
          </w:p>
        </w:tc>
      </w:tr>
    </w:tbl>
    <w:p w14:paraId="21621F3B">
      <w:pPr>
        <w:pStyle w:val="8"/>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hint="default" w:ascii="Times New Roman" w:hAnsi="Times New Roman" w:cs="Times New Roman" w:eastAsiaTheme="minorEastAsia"/>
          <w:color w:val="FF0000"/>
          <w:highlight w:val="none"/>
          <w:lang w:val="en-US" w:eastAsia="zh-CN"/>
        </w:rPr>
      </w:pPr>
    </w:p>
    <w:p w14:paraId="52389925">
      <w:pPr>
        <w:keepNext w:val="0"/>
        <w:keepLines w:val="0"/>
        <w:pageBreakBefore w:val="0"/>
        <w:widowControl w:val="0"/>
        <w:numPr>
          <w:ilvl w:val="0"/>
          <w:numId w:val="0"/>
        </w:numPr>
        <w:tabs>
          <w:tab w:val="left" w:pos="1260"/>
        </w:tabs>
        <w:kinsoku/>
        <w:wordWrap/>
        <w:overflowPunct/>
        <w:topLinePunct w:val="0"/>
        <w:autoSpaceDE/>
        <w:autoSpaceDN/>
        <w:bidi w:val="0"/>
        <w:adjustRightInd w:val="0"/>
        <w:snapToGrid/>
        <w:spacing w:line="360" w:lineRule="auto"/>
        <w:ind w:leftChars="0"/>
        <w:textAlignment w:val="auto"/>
        <w:outlineLvl w:val="9"/>
        <w:rPr>
          <w:rFonts w:hint="default"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t>2.4.1.3 声功能区划</w:t>
      </w:r>
    </w:p>
    <w:p w14:paraId="45A1E787">
      <w:pPr>
        <w:spacing w:beforeLines="0" w:afterLines="0"/>
        <w:ind w:left="0" w:leftChars="0" w:firstLine="480" w:firstLineChars="200"/>
        <w:jc w:val="left"/>
        <w:rPr>
          <w:rFonts w:hint="eastAsia" w:ascii="宋体" w:hAnsi="宋体" w:eastAsia="宋体"/>
          <w:sz w:val="24"/>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本项目位于乌鲁木齐</w:t>
      </w:r>
      <w:r>
        <w:rPr>
          <w:rFonts w:hint="eastAsia" w:cs="Times New Roman" w:eastAsiaTheme="minorEastAsia"/>
          <w:snapToGrid w:val="0"/>
          <w:color w:val="000000" w:themeColor="text1"/>
          <w:sz w:val="24"/>
          <w:highlight w:val="none"/>
          <w:lang w:val="en-US" w:eastAsia="zh-CN"/>
          <w14:textFill>
            <w14:solidFill>
              <w14:schemeClr w14:val="tx1"/>
            </w14:solidFill>
          </w14:textFill>
        </w:rPr>
        <w:t>市沙依巴克区</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，根据《乌鲁木齐市声环境功能区划分规定(发布稿)》(乌鲁木齐市人民政府，2021年10月08日)</w:t>
      </w:r>
      <w:r>
        <w:rPr>
          <w:rFonts w:hint="eastAsia" w:ascii="宋体" w:hAnsi="宋体" w:eastAsia="宋体"/>
          <w:color w:val="000000" w:themeColor="text1"/>
          <w:sz w:val="24"/>
          <w14:textFill>
            <w14:solidFill>
              <w14:schemeClr w14:val="tx1"/>
            </w14:solidFill>
          </w14:textFill>
        </w:rPr>
        <w:t>，</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项目区域不涉及康复疗养区0类声环境功能区，也不涉及居民住宅、医疗卫生、文化教育、科研设计、行政办公等1类声环境功能区。</w:t>
      </w:r>
      <w:r>
        <w:rPr>
          <w:rFonts w:hint="eastAsia" w:ascii="宋体" w:hAnsi="宋体" w:eastAsia="宋体"/>
          <w:sz w:val="24"/>
        </w:rPr>
        <w:t>建设项目所处的声环境功能区为</w:t>
      </w:r>
      <w:r>
        <w:rPr>
          <w:rFonts w:hint="eastAsia" w:ascii="TimesNewRomanPSMT" w:hAnsi="TimesNewRomanPSMT" w:eastAsia="TimesNewRomanPSMT"/>
          <w:sz w:val="24"/>
        </w:rPr>
        <w:t xml:space="preserve">2 </w:t>
      </w:r>
      <w:r>
        <w:rPr>
          <w:rFonts w:hint="eastAsia" w:ascii="宋体" w:hAnsi="宋体" w:eastAsia="宋体"/>
          <w:sz w:val="24"/>
        </w:rPr>
        <w:t>类区</w:t>
      </w:r>
      <w:r>
        <w:rPr>
          <w:rFonts w:hint="eastAsia" w:ascii="宋体" w:hAnsi="宋体" w:eastAsia="宋体"/>
          <w:sz w:val="24"/>
          <w:lang w:eastAsia="zh-CN"/>
        </w:rPr>
        <w:t>。</w:t>
      </w:r>
      <w:r>
        <w:rPr>
          <w:rFonts w:hint="eastAsia" w:ascii="宋体" w:hAnsi="宋体" w:eastAsia="宋体"/>
          <w:sz w:val="24"/>
        </w:rPr>
        <w:t>声环境功能区类型详见表</w:t>
      </w:r>
      <w:r>
        <w:rPr>
          <w:rFonts w:hint="eastAsia" w:ascii="TimesNewRomanPSMT" w:hAnsi="TimesNewRomanPSMT" w:eastAsia="TimesNewRomanPSMT"/>
          <w:sz w:val="24"/>
        </w:rPr>
        <w:t>2.</w:t>
      </w:r>
      <w:r>
        <w:rPr>
          <w:rFonts w:hint="eastAsia" w:ascii="TimesNewRomanPSMT" w:hAnsi="TimesNewRomanPSMT" w:eastAsia="宋体"/>
          <w:sz w:val="24"/>
          <w:lang w:val="en-US" w:eastAsia="zh-CN"/>
        </w:rPr>
        <w:t>4</w:t>
      </w:r>
      <w:r>
        <w:rPr>
          <w:rFonts w:hint="eastAsia" w:ascii="TimesNewRomanPSMT" w:hAnsi="TimesNewRomanPSMT" w:eastAsia="TimesNewRomanPSMT"/>
          <w:sz w:val="24"/>
        </w:rPr>
        <w:t>-</w:t>
      </w:r>
      <w:r>
        <w:rPr>
          <w:rFonts w:hint="eastAsia" w:ascii="TimesNewRomanPSMT" w:hAnsi="TimesNewRomanPSMT" w:eastAsia="宋体"/>
          <w:sz w:val="24"/>
          <w:lang w:val="en-US" w:eastAsia="zh-CN"/>
        </w:rPr>
        <w:t>2</w:t>
      </w:r>
      <w:r>
        <w:rPr>
          <w:rFonts w:hint="eastAsia" w:ascii="宋体" w:hAnsi="宋体" w:eastAsia="宋体"/>
          <w:sz w:val="24"/>
        </w:rPr>
        <w:t>。</w:t>
      </w:r>
    </w:p>
    <w:p w14:paraId="5C1510B2">
      <w:pPr>
        <w:keepNext w:val="0"/>
        <w:keepLines w:val="0"/>
        <w:pageBreakBefore w:val="0"/>
        <w:widowControl w:val="0"/>
        <w:kinsoku/>
        <w:wordWrap/>
        <w:overflowPunct/>
        <w:topLinePunct w:val="0"/>
        <w:autoSpaceDE/>
        <w:autoSpaceDN/>
        <w:bidi w:val="0"/>
        <w:adjustRightInd/>
        <w:snapToGrid w:val="0"/>
        <w:spacing w:beforeLines="0" w:afterLines="0" w:line="240" w:lineRule="auto"/>
        <w:ind w:left="0" w:leftChars="0" w:firstLine="1205" w:firstLineChars="500"/>
        <w:jc w:val="left"/>
        <w:textAlignment w:val="auto"/>
        <w:rPr>
          <w:rFonts w:hint="default" w:ascii="宋体" w:hAnsi="宋体" w:eastAsia="宋体"/>
          <w:b/>
          <w:bCs/>
          <w:sz w:val="24"/>
          <w:lang w:val="en-US" w:eastAsia="zh-CN"/>
        </w:rPr>
      </w:pPr>
      <w:r>
        <w:rPr>
          <w:rFonts w:hint="eastAsia" w:ascii="宋体" w:hAnsi="宋体" w:eastAsia="宋体"/>
          <w:b/>
          <w:bCs/>
          <w:sz w:val="24"/>
          <w:lang w:val="en-US" w:eastAsia="zh-CN"/>
        </w:rPr>
        <w:t>表2.4-2             声环境功能区类型</w:t>
      </w:r>
    </w:p>
    <w:tbl>
      <w:tblPr>
        <w:tblStyle w:val="76"/>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848"/>
        <w:gridCol w:w="6326"/>
      </w:tblGrid>
      <w:tr w14:paraId="61A15E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48" w:type="dxa"/>
            <w:tcBorders>
              <w:tl2br w:val="nil"/>
              <w:tr2bl w:val="nil"/>
            </w:tcBorders>
            <w:vAlign w:val="center"/>
          </w:tcPr>
          <w:p w14:paraId="66542B83">
            <w:pPr>
              <w:keepNext w:val="0"/>
              <w:keepLines w:val="0"/>
              <w:pageBreakBefore w:val="0"/>
              <w:widowControl w:val="0"/>
              <w:kinsoku/>
              <w:wordWrap/>
              <w:overflowPunct/>
              <w:topLinePunct w:val="0"/>
              <w:autoSpaceDE/>
              <w:autoSpaceDN/>
              <w:bidi w:val="0"/>
              <w:adjustRightInd/>
              <w:snapToGrid w:val="0"/>
              <w:spacing w:beforeLines="0" w:afterLines="0" w:line="320" w:lineRule="exact"/>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0类</w:t>
            </w:r>
          </w:p>
        </w:tc>
        <w:tc>
          <w:tcPr>
            <w:tcW w:w="6326" w:type="dxa"/>
            <w:tcBorders>
              <w:tl2br w:val="nil"/>
              <w:tr2bl w:val="nil"/>
            </w:tcBorders>
            <w:vAlign w:val="center"/>
          </w:tcPr>
          <w:p w14:paraId="1D918ADD">
            <w:pPr>
              <w:keepNext w:val="0"/>
              <w:keepLines w:val="0"/>
              <w:pageBreakBefore w:val="0"/>
              <w:widowControl w:val="0"/>
              <w:kinsoku/>
              <w:wordWrap/>
              <w:overflowPunct/>
              <w:topLinePunct w:val="0"/>
              <w:autoSpaceDE/>
              <w:autoSpaceDN/>
              <w:bidi w:val="0"/>
              <w:adjustRightInd/>
              <w:snapToGrid w:val="0"/>
              <w:spacing w:beforeLines="0" w:afterLines="0" w:line="320" w:lineRule="exact"/>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指康复疗养区等特别需要安静的区域</w:t>
            </w:r>
          </w:p>
        </w:tc>
      </w:tr>
      <w:tr w14:paraId="746F20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48" w:type="dxa"/>
            <w:tcBorders>
              <w:tl2br w:val="nil"/>
              <w:tr2bl w:val="nil"/>
            </w:tcBorders>
            <w:vAlign w:val="center"/>
          </w:tcPr>
          <w:p w14:paraId="1260CEA3">
            <w:pPr>
              <w:keepNext w:val="0"/>
              <w:keepLines w:val="0"/>
              <w:pageBreakBefore w:val="0"/>
              <w:widowControl w:val="0"/>
              <w:kinsoku/>
              <w:wordWrap/>
              <w:overflowPunct/>
              <w:topLinePunct w:val="0"/>
              <w:autoSpaceDE/>
              <w:autoSpaceDN/>
              <w:bidi w:val="0"/>
              <w:adjustRightInd/>
              <w:snapToGrid w:val="0"/>
              <w:spacing w:beforeLines="0" w:afterLines="0" w:line="320" w:lineRule="exact"/>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1类</w:t>
            </w:r>
          </w:p>
        </w:tc>
        <w:tc>
          <w:tcPr>
            <w:tcW w:w="6326" w:type="dxa"/>
            <w:tcBorders>
              <w:tl2br w:val="nil"/>
              <w:tr2bl w:val="nil"/>
            </w:tcBorders>
            <w:vAlign w:val="center"/>
          </w:tcPr>
          <w:p w14:paraId="5EE121A3">
            <w:pPr>
              <w:keepNext w:val="0"/>
              <w:keepLines w:val="0"/>
              <w:pageBreakBefore w:val="0"/>
              <w:widowControl w:val="0"/>
              <w:kinsoku/>
              <w:wordWrap/>
              <w:overflowPunct/>
              <w:topLinePunct w:val="0"/>
              <w:autoSpaceDE/>
              <w:autoSpaceDN/>
              <w:bidi w:val="0"/>
              <w:adjustRightInd/>
              <w:snapToGrid w:val="0"/>
              <w:spacing w:beforeLines="0" w:afterLines="0" w:line="320" w:lineRule="exact"/>
              <w:ind w:left="0" w:leftChars="0"/>
              <w:jc w:val="center"/>
              <w:textAlignment w:val="auto"/>
              <w:rPr>
                <w:rFonts w:hint="eastAsia" w:ascii="宋体" w:hAnsi="宋体" w:eastAsia="宋体" w:cs="宋体"/>
                <w:sz w:val="21"/>
                <w:szCs w:val="21"/>
              </w:rPr>
            </w:pPr>
            <w:r>
              <w:rPr>
                <w:rFonts w:hint="eastAsia" w:ascii="宋体" w:hAnsi="宋体" w:eastAsia="宋体" w:cs="宋体"/>
                <w:sz w:val="21"/>
                <w:szCs w:val="21"/>
              </w:rPr>
              <w:t>指以居民住宅、医疗卫生、文化教育、科研设计、行政办公为主要</w:t>
            </w:r>
          </w:p>
          <w:p w14:paraId="55340210">
            <w:pPr>
              <w:keepNext w:val="0"/>
              <w:keepLines w:val="0"/>
              <w:pageBreakBefore w:val="0"/>
              <w:widowControl w:val="0"/>
              <w:kinsoku/>
              <w:wordWrap/>
              <w:overflowPunct/>
              <w:topLinePunct w:val="0"/>
              <w:autoSpaceDE/>
              <w:autoSpaceDN/>
              <w:bidi w:val="0"/>
              <w:adjustRightInd/>
              <w:snapToGrid w:val="0"/>
              <w:spacing w:beforeLines="0" w:afterLines="0" w:line="320" w:lineRule="exact"/>
              <w:ind w:left="0" w:leftChars="0"/>
              <w:jc w:val="both"/>
              <w:textAlignment w:val="auto"/>
              <w:rPr>
                <w:rFonts w:hint="eastAsia" w:ascii="宋体" w:hAnsi="宋体" w:eastAsia="宋体" w:cs="宋体"/>
                <w:sz w:val="21"/>
                <w:szCs w:val="21"/>
                <w:vertAlign w:val="baseline"/>
              </w:rPr>
            </w:pPr>
            <w:r>
              <w:rPr>
                <w:rFonts w:hint="eastAsia" w:ascii="宋体" w:hAnsi="宋体" w:eastAsia="宋体" w:cs="宋体"/>
                <w:sz w:val="21"/>
                <w:szCs w:val="21"/>
              </w:rPr>
              <w:t>功能，需要保持安静的区域</w:t>
            </w:r>
          </w:p>
        </w:tc>
      </w:tr>
      <w:tr w14:paraId="586D29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48" w:type="dxa"/>
            <w:tcBorders>
              <w:tl2br w:val="nil"/>
              <w:tr2bl w:val="nil"/>
            </w:tcBorders>
            <w:vAlign w:val="center"/>
          </w:tcPr>
          <w:p w14:paraId="5EC88EEB">
            <w:pPr>
              <w:keepNext w:val="0"/>
              <w:keepLines w:val="0"/>
              <w:pageBreakBefore w:val="0"/>
              <w:widowControl w:val="0"/>
              <w:kinsoku/>
              <w:wordWrap/>
              <w:overflowPunct/>
              <w:topLinePunct w:val="0"/>
              <w:autoSpaceDE/>
              <w:autoSpaceDN/>
              <w:bidi w:val="0"/>
              <w:adjustRightInd/>
              <w:snapToGrid w:val="0"/>
              <w:spacing w:beforeLines="0" w:afterLines="0" w:line="320" w:lineRule="exact"/>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2类</w:t>
            </w:r>
          </w:p>
        </w:tc>
        <w:tc>
          <w:tcPr>
            <w:tcW w:w="6326" w:type="dxa"/>
            <w:tcBorders>
              <w:tl2br w:val="nil"/>
              <w:tr2bl w:val="nil"/>
            </w:tcBorders>
            <w:vAlign w:val="center"/>
          </w:tcPr>
          <w:p w14:paraId="24453B3F">
            <w:pPr>
              <w:keepNext w:val="0"/>
              <w:keepLines w:val="0"/>
              <w:pageBreakBefore w:val="0"/>
              <w:widowControl w:val="0"/>
              <w:kinsoku/>
              <w:wordWrap/>
              <w:overflowPunct/>
              <w:topLinePunct w:val="0"/>
              <w:autoSpaceDE/>
              <w:autoSpaceDN/>
              <w:bidi w:val="0"/>
              <w:adjustRightInd/>
              <w:snapToGrid w:val="0"/>
              <w:spacing w:beforeLines="0" w:afterLines="0" w:line="320" w:lineRule="exact"/>
              <w:ind w:left="0" w:leftChars="0"/>
              <w:jc w:val="center"/>
              <w:textAlignment w:val="auto"/>
              <w:rPr>
                <w:rFonts w:hint="eastAsia" w:ascii="宋体" w:hAnsi="宋体" w:eastAsia="宋体" w:cs="宋体"/>
                <w:sz w:val="21"/>
                <w:szCs w:val="21"/>
              </w:rPr>
            </w:pPr>
            <w:r>
              <w:rPr>
                <w:rFonts w:hint="eastAsia" w:ascii="宋体" w:hAnsi="宋体" w:eastAsia="宋体" w:cs="宋体"/>
                <w:sz w:val="21"/>
                <w:szCs w:val="21"/>
              </w:rPr>
              <w:t>指以商业金融、集市贸易为主要功能，或者居住、商业、工业混杂，</w:t>
            </w:r>
          </w:p>
          <w:p w14:paraId="1E087FA4">
            <w:pPr>
              <w:keepNext w:val="0"/>
              <w:keepLines w:val="0"/>
              <w:pageBreakBefore w:val="0"/>
              <w:widowControl w:val="0"/>
              <w:kinsoku/>
              <w:wordWrap/>
              <w:overflowPunct/>
              <w:topLinePunct w:val="0"/>
              <w:autoSpaceDE/>
              <w:autoSpaceDN/>
              <w:bidi w:val="0"/>
              <w:adjustRightInd/>
              <w:snapToGrid w:val="0"/>
              <w:spacing w:beforeLines="0" w:afterLines="0" w:line="320" w:lineRule="exact"/>
              <w:ind w:left="0" w:leftChars="0"/>
              <w:jc w:val="both"/>
              <w:textAlignment w:val="auto"/>
              <w:rPr>
                <w:rFonts w:hint="eastAsia" w:ascii="宋体" w:hAnsi="宋体" w:eastAsia="宋体" w:cs="宋体"/>
                <w:sz w:val="21"/>
                <w:szCs w:val="21"/>
                <w:vertAlign w:val="baseline"/>
              </w:rPr>
            </w:pPr>
            <w:r>
              <w:rPr>
                <w:rFonts w:hint="eastAsia" w:ascii="宋体" w:hAnsi="宋体" w:eastAsia="宋体" w:cs="宋体"/>
                <w:sz w:val="21"/>
                <w:szCs w:val="21"/>
              </w:rPr>
              <w:t>需要维护住宅安静的区域</w:t>
            </w:r>
          </w:p>
        </w:tc>
      </w:tr>
      <w:tr w14:paraId="389D5D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48" w:type="dxa"/>
            <w:tcBorders>
              <w:tl2br w:val="nil"/>
              <w:tr2bl w:val="nil"/>
            </w:tcBorders>
            <w:vAlign w:val="center"/>
          </w:tcPr>
          <w:p w14:paraId="0DD64454">
            <w:pPr>
              <w:keepNext w:val="0"/>
              <w:keepLines w:val="0"/>
              <w:pageBreakBefore w:val="0"/>
              <w:widowControl w:val="0"/>
              <w:kinsoku/>
              <w:wordWrap/>
              <w:overflowPunct/>
              <w:topLinePunct w:val="0"/>
              <w:autoSpaceDE/>
              <w:autoSpaceDN/>
              <w:bidi w:val="0"/>
              <w:adjustRightInd/>
              <w:snapToGrid w:val="0"/>
              <w:spacing w:beforeLines="0" w:afterLines="0" w:line="320" w:lineRule="exact"/>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3类</w:t>
            </w:r>
          </w:p>
        </w:tc>
        <w:tc>
          <w:tcPr>
            <w:tcW w:w="6326" w:type="dxa"/>
            <w:tcBorders>
              <w:tl2br w:val="nil"/>
              <w:tr2bl w:val="nil"/>
            </w:tcBorders>
            <w:vAlign w:val="center"/>
          </w:tcPr>
          <w:p w14:paraId="258A7C0A">
            <w:pPr>
              <w:keepNext w:val="0"/>
              <w:keepLines w:val="0"/>
              <w:pageBreakBefore w:val="0"/>
              <w:widowControl w:val="0"/>
              <w:kinsoku/>
              <w:wordWrap/>
              <w:overflowPunct/>
              <w:topLinePunct w:val="0"/>
              <w:autoSpaceDE/>
              <w:autoSpaceDN/>
              <w:bidi w:val="0"/>
              <w:adjustRightInd/>
              <w:snapToGrid w:val="0"/>
              <w:spacing w:beforeLines="0" w:afterLines="0" w:line="320" w:lineRule="exact"/>
              <w:ind w:left="0" w:leftChars="0"/>
              <w:jc w:val="center"/>
              <w:textAlignment w:val="auto"/>
              <w:rPr>
                <w:rFonts w:hint="eastAsia" w:ascii="宋体" w:hAnsi="宋体" w:eastAsia="宋体" w:cs="宋体"/>
                <w:sz w:val="21"/>
                <w:szCs w:val="21"/>
              </w:rPr>
            </w:pPr>
            <w:r>
              <w:rPr>
                <w:rFonts w:hint="eastAsia" w:ascii="宋体" w:hAnsi="宋体" w:eastAsia="宋体" w:cs="宋体"/>
                <w:sz w:val="21"/>
                <w:szCs w:val="21"/>
              </w:rPr>
              <w:t>指以工业生产、仓储物流为主要功能，需要防止工业噪声对周围环</w:t>
            </w:r>
          </w:p>
          <w:p w14:paraId="3C968BE1">
            <w:pPr>
              <w:keepNext w:val="0"/>
              <w:keepLines w:val="0"/>
              <w:pageBreakBefore w:val="0"/>
              <w:widowControl w:val="0"/>
              <w:kinsoku/>
              <w:wordWrap/>
              <w:overflowPunct/>
              <w:topLinePunct w:val="0"/>
              <w:autoSpaceDE/>
              <w:autoSpaceDN/>
              <w:bidi w:val="0"/>
              <w:adjustRightInd/>
              <w:snapToGrid w:val="0"/>
              <w:spacing w:beforeLines="0" w:afterLines="0" w:line="320" w:lineRule="exact"/>
              <w:ind w:left="0" w:leftChars="0"/>
              <w:jc w:val="both"/>
              <w:textAlignment w:val="auto"/>
              <w:rPr>
                <w:rFonts w:hint="eastAsia" w:ascii="宋体" w:hAnsi="宋体" w:eastAsia="宋体" w:cs="宋体"/>
                <w:sz w:val="21"/>
                <w:szCs w:val="21"/>
                <w:vertAlign w:val="baseline"/>
              </w:rPr>
            </w:pPr>
            <w:r>
              <w:rPr>
                <w:rFonts w:hint="eastAsia" w:ascii="宋体" w:hAnsi="宋体" w:eastAsia="宋体" w:cs="宋体"/>
                <w:sz w:val="21"/>
                <w:szCs w:val="21"/>
              </w:rPr>
              <w:t>境产生严重影响的区域</w:t>
            </w:r>
          </w:p>
        </w:tc>
      </w:tr>
      <w:tr w14:paraId="5D40F2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48" w:type="dxa"/>
            <w:tcBorders>
              <w:tl2br w:val="nil"/>
              <w:tr2bl w:val="nil"/>
            </w:tcBorders>
            <w:vAlign w:val="center"/>
          </w:tcPr>
          <w:p w14:paraId="2DA792B9">
            <w:pPr>
              <w:keepNext w:val="0"/>
              <w:keepLines w:val="0"/>
              <w:pageBreakBefore w:val="0"/>
              <w:widowControl w:val="0"/>
              <w:kinsoku/>
              <w:wordWrap/>
              <w:overflowPunct/>
              <w:topLinePunct w:val="0"/>
              <w:autoSpaceDE/>
              <w:autoSpaceDN/>
              <w:bidi w:val="0"/>
              <w:adjustRightInd/>
              <w:snapToGrid w:val="0"/>
              <w:spacing w:beforeLines="0" w:afterLines="0" w:line="320" w:lineRule="exact"/>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4类</w:t>
            </w:r>
          </w:p>
        </w:tc>
        <w:tc>
          <w:tcPr>
            <w:tcW w:w="6326" w:type="dxa"/>
            <w:tcBorders>
              <w:tl2br w:val="nil"/>
              <w:tr2bl w:val="nil"/>
            </w:tcBorders>
            <w:vAlign w:val="center"/>
          </w:tcPr>
          <w:p w14:paraId="3213F2F8">
            <w:pPr>
              <w:keepNext w:val="0"/>
              <w:keepLines w:val="0"/>
              <w:pageBreakBefore w:val="0"/>
              <w:widowControl w:val="0"/>
              <w:kinsoku/>
              <w:wordWrap/>
              <w:overflowPunct/>
              <w:topLinePunct w:val="0"/>
              <w:autoSpaceDE/>
              <w:autoSpaceDN/>
              <w:bidi w:val="0"/>
              <w:adjustRightInd/>
              <w:snapToGrid w:val="0"/>
              <w:spacing w:beforeLines="0" w:afterLines="0" w:line="320" w:lineRule="exact"/>
              <w:ind w:left="0" w:leftChars="0"/>
              <w:jc w:val="center"/>
              <w:textAlignment w:val="auto"/>
              <w:rPr>
                <w:rFonts w:hint="eastAsia" w:ascii="宋体" w:hAnsi="宋体" w:eastAsia="宋体" w:cs="宋体"/>
                <w:sz w:val="21"/>
                <w:szCs w:val="21"/>
              </w:rPr>
            </w:pPr>
            <w:r>
              <w:rPr>
                <w:rFonts w:hint="eastAsia" w:ascii="宋体" w:hAnsi="宋体" w:eastAsia="宋体" w:cs="宋体"/>
                <w:sz w:val="21"/>
                <w:szCs w:val="21"/>
              </w:rPr>
              <w:t>指交通干线两侧一定距离之内，需要防止交通噪声对周围环境产生</w:t>
            </w:r>
          </w:p>
          <w:p w14:paraId="7D674CE5">
            <w:pPr>
              <w:keepNext w:val="0"/>
              <w:keepLines w:val="0"/>
              <w:pageBreakBefore w:val="0"/>
              <w:widowControl w:val="0"/>
              <w:kinsoku/>
              <w:wordWrap/>
              <w:overflowPunct/>
              <w:topLinePunct w:val="0"/>
              <w:autoSpaceDE/>
              <w:autoSpaceDN/>
              <w:bidi w:val="0"/>
              <w:adjustRightInd/>
              <w:snapToGrid w:val="0"/>
              <w:spacing w:beforeLines="0" w:afterLines="0" w:line="320" w:lineRule="exact"/>
              <w:ind w:left="0" w:leftChars="0"/>
              <w:jc w:val="both"/>
              <w:textAlignment w:val="auto"/>
              <w:rPr>
                <w:rFonts w:hint="eastAsia" w:ascii="宋体" w:hAnsi="宋体" w:eastAsia="宋体" w:cs="宋体"/>
                <w:sz w:val="21"/>
                <w:szCs w:val="21"/>
                <w:vertAlign w:val="baseline"/>
              </w:rPr>
            </w:pPr>
            <w:r>
              <w:rPr>
                <w:rFonts w:hint="eastAsia" w:ascii="宋体" w:hAnsi="宋体" w:eastAsia="宋体" w:cs="宋体"/>
                <w:sz w:val="21"/>
                <w:szCs w:val="21"/>
              </w:rPr>
              <w:t>严重影响的区域，包括4a类和4b 类两种类型。4a 类为高速公路、一级公路、二级公路、城市快速路、城市主干路、城市次干路、城市轨道交通（地面段）、内河航道两侧区域；4b 类为铁路干线两侧区域</w:t>
            </w:r>
          </w:p>
        </w:tc>
      </w:tr>
    </w:tbl>
    <w:p w14:paraId="5D4EE341">
      <w:pPr>
        <w:spacing w:beforeLines="0" w:afterLines="0"/>
        <w:ind w:left="0" w:leftChars="0" w:firstLine="480" w:firstLineChars="200"/>
        <w:jc w:val="left"/>
        <w:rPr>
          <w:rFonts w:hint="default" w:ascii="宋体" w:hAnsi="宋体" w:eastAsia="宋体"/>
          <w:sz w:val="24"/>
          <w:lang w:val="en-US" w:eastAsia="zh-CN"/>
        </w:rPr>
      </w:pPr>
    </w:p>
    <w:p w14:paraId="55E490B4">
      <w:pPr>
        <w:keepNext w:val="0"/>
        <w:keepLines w:val="0"/>
        <w:pageBreakBefore w:val="0"/>
        <w:widowControl w:val="0"/>
        <w:numPr>
          <w:ilvl w:val="0"/>
          <w:numId w:val="0"/>
        </w:numPr>
        <w:tabs>
          <w:tab w:val="left" w:pos="1260"/>
        </w:tabs>
        <w:kinsoku/>
        <w:wordWrap/>
        <w:overflowPunct/>
        <w:topLinePunct w:val="0"/>
        <w:autoSpaceDE/>
        <w:autoSpaceDN/>
        <w:bidi w:val="0"/>
        <w:adjustRightInd w:val="0"/>
        <w:snapToGrid/>
        <w:spacing w:line="360" w:lineRule="auto"/>
        <w:ind w:leftChars="0"/>
        <w:textAlignment w:val="auto"/>
        <w:outlineLvl w:val="9"/>
        <w:rPr>
          <w:rFonts w:hint="default"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t>2.4.1.4 生态环境功能区划</w:t>
      </w:r>
    </w:p>
    <w:p w14:paraId="6AD161B1">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根据《新疆生态功能区划》，项目所在区域主要为</w:t>
      </w:r>
      <w:r>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准噶尔盆地温性荒漠与绿洲农业生态区——</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准噶尔盆地南部荒漠绿洲农业生态亚区</w:t>
      </w:r>
      <w:r>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乌鲁木齐城市及城郊农业生态功能区。</w:t>
      </w:r>
    </w:p>
    <w:p w14:paraId="3D879160">
      <w:pPr>
        <w:pStyle w:val="11"/>
        <w:bidi w:val="0"/>
        <w:ind w:left="0"/>
        <w:outlineLvl w:val="2"/>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bookmarkStart w:id="181" w:name="_Toc32690"/>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2.4.2 评价标准</w:t>
      </w:r>
      <w:bookmarkEnd w:id="181"/>
    </w:p>
    <w:p w14:paraId="3048CBF3">
      <w:pPr>
        <w:keepNext w:val="0"/>
        <w:keepLines w:val="0"/>
        <w:pageBreakBefore w:val="0"/>
        <w:widowControl w:val="0"/>
        <w:numPr>
          <w:ilvl w:val="0"/>
          <w:numId w:val="0"/>
        </w:numPr>
        <w:tabs>
          <w:tab w:val="left" w:pos="1260"/>
        </w:tabs>
        <w:kinsoku/>
        <w:wordWrap/>
        <w:overflowPunct/>
        <w:topLinePunct w:val="0"/>
        <w:autoSpaceDE/>
        <w:autoSpaceDN/>
        <w:bidi w:val="0"/>
        <w:adjustRightInd w:val="0"/>
        <w:snapToGrid/>
        <w:spacing w:line="360" w:lineRule="auto"/>
        <w:ind w:leftChars="0"/>
        <w:textAlignment w:val="auto"/>
        <w:outlineLvl w:val="9"/>
        <w:rPr>
          <w:rFonts w:hint="default"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t>2.4.2.1 环境质量标准</w:t>
      </w:r>
    </w:p>
    <w:p w14:paraId="5CEB519E">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(1)大气环境</w:t>
      </w:r>
    </w:p>
    <w:p w14:paraId="65276C68">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b/>
          <w:color w:val="FF0000"/>
          <w:sz w:val="24"/>
          <w:highlight w:val="none"/>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本项目所在地环境空气属二类功能区，其环境空气质量标准应执行《环境空气质量标准》(GB3095-2012)及其修改单中的二级标准，指标标准取值见表2.4-</w:t>
      </w:r>
      <w:r>
        <w:rPr>
          <w:rFonts w:hint="eastAsia" w:cs="Times New Roman" w:eastAsiaTheme="minorEastAsia"/>
          <w:snapToGrid w:val="0"/>
          <w:color w:val="000000" w:themeColor="text1"/>
          <w:sz w:val="24"/>
          <w:highlight w:val="none"/>
          <w:lang w:val="en-US" w:eastAsia="zh-CN"/>
          <w14:textFill>
            <w14:solidFill>
              <w14:schemeClr w14:val="tx1"/>
            </w14:solidFill>
          </w14:textFill>
        </w:rPr>
        <w:t>3</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w:t>
      </w:r>
    </w:p>
    <w:p w14:paraId="2A89B435">
      <w:pPr>
        <w:keepNext w:val="0"/>
        <w:keepLines w:val="0"/>
        <w:pageBreakBefore w:val="0"/>
        <w:widowControl w:val="0"/>
        <w:kinsoku/>
        <w:wordWrap/>
        <w:overflowPunct/>
        <w:topLinePunct w:val="0"/>
        <w:autoSpaceDE/>
        <w:autoSpaceDN/>
        <w:bidi w:val="0"/>
        <w:adjustRightInd/>
        <w:snapToGrid/>
        <w:spacing w:line="240" w:lineRule="auto"/>
        <w:jc w:val="right"/>
        <w:textAlignment w:val="auto"/>
        <w:rPr>
          <w:rFonts w:hint="default" w:ascii="Times New Roman" w:hAnsi="Times New Roman" w:cs="Times New Roman" w:eastAsiaTheme="minorEastAsia"/>
          <w:b/>
          <w:color w:val="FF0000"/>
          <w:sz w:val="24"/>
          <w:highlight w:val="none"/>
          <w:lang w:val="en-US" w:eastAsia="zh-CN"/>
        </w:rPr>
      </w:pPr>
    </w:p>
    <w:p w14:paraId="6E75F9B1">
      <w:pPr>
        <w:keepNext w:val="0"/>
        <w:keepLines w:val="0"/>
        <w:pageBreakBefore w:val="0"/>
        <w:widowControl w:val="0"/>
        <w:kinsoku/>
        <w:wordWrap/>
        <w:overflowPunct/>
        <w:topLinePunct w:val="0"/>
        <w:autoSpaceDE/>
        <w:autoSpaceDN/>
        <w:bidi w:val="0"/>
        <w:adjustRightInd/>
        <w:snapToGrid/>
        <w:spacing w:line="240" w:lineRule="auto"/>
        <w:jc w:val="right"/>
        <w:textAlignment w:val="auto"/>
        <w:rPr>
          <w:rFonts w:hint="default" w:ascii="Times New Roman" w:hAnsi="Times New Roman" w:cs="Times New Roman" w:eastAsiaTheme="minorEastAsia"/>
          <w:b/>
          <w:color w:val="FF0000"/>
          <w:sz w:val="24"/>
          <w:highlight w:val="none"/>
          <w:lang w:val="en-US" w:eastAsia="zh-CN"/>
        </w:rPr>
      </w:pPr>
    </w:p>
    <w:p w14:paraId="1A415EFE">
      <w:pPr>
        <w:keepNext w:val="0"/>
        <w:keepLines w:val="0"/>
        <w:pageBreakBefore w:val="0"/>
        <w:widowControl w:val="0"/>
        <w:kinsoku/>
        <w:wordWrap/>
        <w:overflowPunct/>
        <w:topLinePunct w:val="0"/>
        <w:autoSpaceDE/>
        <w:autoSpaceDN/>
        <w:bidi w:val="0"/>
        <w:adjustRightInd/>
        <w:snapToGrid/>
        <w:spacing w:line="240" w:lineRule="auto"/>
        <w:jc w:val="right"/>
        <w:textAlignment w:val="auto"/>
        <w:rPr>
          <w:rFonts w:hint="default" w:ascii="Times New Roman" w:hAnsi="Times New Roman" w:cs="Times New Roman" w:eastAsiaTheme="minorEastAsia"/>
          <w:b/>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b/>
          <w:color w:val="000000" w:themeColor="text1"/>
          <w:sz w:val="24"/>
          <w:highlight w:val="none"/>
          <w:lang w:val="en-US" w:eastAsia="zh-CN"/>
          <w14:textFill>
            <w14:solidFill>
              <w14:schemeClr w14:val="tx1"/>
            </w14:solidFill>
          </w14:textFill>
        </w:rPr>
        <w:t>表2.4-</w:t>
      </w:r>
      <w:r>
        <w:rPr>
          <w:rFonts w:hint="eastAsia" w:cs="Times New Roman" w:eastAsiaTheme="minorEastAsia"/>
          <w:b/>
          <w:color w:val="000000" w:themeColor="text1"/>
          <w:sz w:val="24"/>
          <w:highlight w:val="none"/>
          <w:lang w:val="en-US" w:eastAsia="zh-CN"/>
          <w14:textFill>
            <w14:solidFill>
              <w14:schemeClr w14:val="tx1"/>
            </w14:solidFill>
          </w14:textFill>
        </w:rPr>
        <w:t>3</w:t>
      </w:r>
      <w:r>
        <w:rPr>
          <w:rFonts w:hint="default" w:ascii="Times New Roman" w:hAnsi="Times New Roman" w:cs="Times New Roman" w:eastAsiaTheme="minorEastAsia"/>
          <w:b/>
          <w:color w:val="000000" w:themeColor="text1"/>
          <w:sz w:val="24"/>
          <w:highlight w:val="none"/>
          <w:lang w:val="en-US" w:eastAsia="zh-CN"/>
          <w14:textFill>
            <w14:solidFill>
              <w14:schemeClr w14:val="tx1"/>
            </w14:solidFill>
          </w14:textFill>
        </w:rPr>
        <w:t xml:space="preserve">    《环境空气质量标准》(GB3095-2012)              (部分)</w:t>
      </w:r>
    </w:p>
    <w:tbl>
      <w:tblPr>
        <w:tblStyle w:val="612"/>
        <w:tblW w:w="8984"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753"/>
        <w:gridCol w:w="2512"/>
        <w:gridCol w:w="2284"/>
        <w:gridCol w:w="2095"/>
        <w:gridCol w:w="1340"/>
      </w:tblGrid>
      <w:tr w14:paraId="4789F00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753" w:type="dxa"/>
            <w:tcBorders>
              <w:tl2br w:val="nil"/>
              <w:tr2bl w:val="nil"/>
            </w:tcBorders>
            <w:vAlign w:val="center"/>
          </w:tcPr>
          <w:p w14:paraId="28307A6B">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b w:val="0"/>
                <w:bCs w:val="0"/>
                <w:color w:val="000000" w:themeColor="text1"/>
                <w:kern w:val="0"/>
                <w:sz w:val="21"/>
                <w:szCs w:val="21"/>
                <w:highlight w:val="none"/>
                <w:lang w:val="en-US" w:eastAsia="zh-CN" w:bidi="ar"/>
                <w14:textFill>
                  <w14:solidFill>
                    <w14:schemeClr w14:val="tx1"/>
                  </w14:solidFill>
                </w14:textFill>
              </w:rPr>
              <w:t>序号</w:t>
            </w:r>
          </w:p>
        </w:tc>
        <w:tc>
          <w:tcPr>
            <w:tcW w:w="2512" w:type="dxa"/>
            <w:tcBorders>
              <w:tl2br w:val="nil"/>
              <w:tr2bl w:val="nil"/>
            </w:tcBorders>
            <w:vAlign w:val="center"/>
          </w:tcPr>
          <w:p w14:paraId="212A3641">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b w:val="0"/>
                <w:bCs w:val="0"/>
                <w:color w:val="000000" w:themeColor="text1"/>
                <w:kern w:val="0"/>
                <w:sz w:val="21"/>
                <w:szCs w:val="21"/>
                <w:highlight w:val="none"/>
                <w:lang w:val="en-US" w:eastAsia="zh-CN" w:bidi="ar"/>
                <w14:textFill>
                  <w14:solidFill>
                    <w14:schemeClr w14:val="tx1"/>
                  </w14:solidFill>
                </w14:textFill>
              </w:rPr>
              <w:t>污染物项目</w:t>
            </w:r>
          </w:p>
        </w:tc>
        <w:tc>
          <w:tcPr>
            <w:tcW w:w="2284" w:type="dxa"/>
            <w:tcBorders>
              <w:tl2br w:val="nil"/>
              <w:tr2bl w:val="nil"/>
            </w:tcBorders>
            <w:vAlign w:val="center"/>
          </w:tcPr>
          <w:p w14:paraId="05FDED84">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b w:val="0"/>
                <w:bCs w:val="0"/>
                <w:color w:val="000000" w:themeColor="text1"/>
                <w:kern w:val="0"/>
                <w:sz w:val="21"/>
                <w:szCs w:val="21"/>
                <w:highlight w:val="none"/>
                <w:lang w:val="en-US" w:eastAsia="zh-CN" w:bidi="ar"/>
                <w14:textFill>
                  <w14:solidFill>
                    <w14:schemeClr w14:val="tx1"/>
                  </w14:solidFill>
                </w14:textFill>
              </w:rPr>
              <w:t>平均时间</w:t>
            </w:r>
          </w:p>
        </w:tc>
        <w:tc>
          <w:tcPr>
            <w:tcW w:w="2095" w:type="dxa"/>
            <w:tcBorders>
              <w:tl2br w:val="nil"/>
              <w:tr2bl w:val="nil"/>
            </w:tcBorders>
            <w:vAlign w:val="center"/>
          </w:tcPr>
          <w:p w14:paraId="05A7FE50">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b w:val="0"/>
                <w:bCs w:val="0"/>
                <w:color w:val="000000" w:themeColor="text1"/>
                <w:kern w:val="0"/>
                <w:sz w:val="21"/>
                <w:szCs w:val="21"/>
                <w:highlight w:val="none"/>
                <w:lang w:val="en-US" w:eastAsia="zh-CN" w:bidi="ar"/>
                <w14:textFill>
                  <w14:solidFill>
                    <w14:schemeClr w14:val="tx1"/>
                  </w14:solidFill>
                </w14:textFill>
              </w:rPr>
              <w:t>二级浓度限值</w:t>
            </w:r>
          </w:p>
        </w:tc>
        <w:tc>
          <w:tcPr>
            <w:tcW w:w="1340" w:type="dxa"/>
            <w:tcBorders>
              <w:tl2br w:val="nil"/>
              <w:tr2bl w:val="nil"/>
            </w:tcBorders>
            <w:vAlign w:val="center"/>
          </w:tcPr>
          <w:p w14:paraId="448D813E">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b w:val="0"/>
                <w:bCs w:val="0"/>
                <w:color w:val="000000" w:themeColor="text1"/>
                <w:kern w:val="0"/>
                <w:sz w:val="21"/>
                <w:szCs w:val="21"/>
                <w:highlight w:val="none"/>
                <w:lang w:val="en-US" w:eastAsia="zh-CN" w:bidi="ar"/>
                <w14:textFill>
                  <w14:solidFill>
                    <w14:schemeClr w14:val="tx1"/>
                  </w14:solidFill>
                </w14:textFill>
              </w:rPr>
              <w:t>单位</w:t>
            </w:r>
          </w:p>
        </w:tc>
      </w:tr>
      <w:tr w14:paraId="5FD1EC8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753" w:type="dxa"/>
            <w:vMerge w:val="restart"/>
            <w:tcBorders>
              <w:tl2br w:val="nil"/>
              <w:tr2bl w:val="nil"/>
            </w:tcBorders>
            <w:vAlign w:val="center"/>
          </w:tcPr>
          <w:p w14:paraId="4691B84B">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1</w:t>
            </w:r>
          </w:p>
        </w:tc>
        <w:tc>
          <w:tcPr>
            <w:tcW w:w="2512" w:type="dxa"/>
            <w:vMerge w:val="restart"/>
            <w:tcBorders>
              <w:tl2br w:val="nil"/>
              <w:tr2bl w:val="nil"/>
            </w:tcBorders>
            <w:vAlign w:val="center"/>
          </w:tcPr>
          <w:p w14:paraId="5BB892CF">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二氧化硫(SO</w:t>
            </w:r>
            <w:r>
              <w:rPr>
                <w:rFonts w:hint="default" w:ascii="Times New Roman" w:hAnsi="Times New Roman" w:cs="Times New Roman" w:eastAsiaTheme="minorEastAsia"/>
                <w:color w:val="000000" w:themeColor="text1"/>
                <w:kern w:val="0"/>
                <w:sz w:val="21"/>
                <w:szCs w:val="21"/>
                <w:highlight w:val="none"/>
                <w:vertAlign w:val="subscript"/>
                <w:lang w:val="en-US" w:eastAsia="zh-CN" w:bidi="ar"/>
                <w14:textFill>
                  <w14:solidFill>
                    <w14:schemeClr w14:val="tx1"/>
                  </w14:solidFill>
                </w14:textFill>
              </w:rPr>
              <w:t>2</w:t>
            </w: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w:t>
            </w:r>
          </w:p>
        </w:tc>
        <w:tc>
          <w:tcPr>
            <w:tcW w:w="2284" w:type="dxa"/>
            <w:tcBorders>
              <w:tl2br w:val="nil"/>
              <w:tr2bl w:val="nil"/>
            </w:tcBorders>
            <w:vAlign w:val="center"/>
          </w:tcPr>
          <w:p w14:paraId="69803E8B">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年平均</w:t>
            </w:r>
          </w:p>
        </w:tc>
        <w:tc>
          <w:tcPr>
            <w:tcW w:w="2095" w:type="dxa"/>
            <w:tcBorders>
              <w:tl2br w:val="nil"/>
              <w:tr2bl w:val="nil"/>
            </w:tcBorders>
            <w:vAlign w:val="center"/>
          </w:tcPr>
          <w:p w14:paraId="0CA5A7CC">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60</w:t>
            </w:r>
          </w:p>
        </w:tc>
        <w:tc>
          <w:tcPr>
            <w:tcW w:w="1340" w:type="dxa"/>
            <w:vMerge w:val="restart"/>
            <w:tcBorders>
              <w:tl2br w:val="nil"/>
              <w:tr2bl w:val="nil"/>
            </w:tcBorders>
            <w:vAlign w:val="center"/>
          </w:tcPr>
          <w:p w14:paraId="41A0E407">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μg/m</w:t>
            </w:r>
            <w:r>
              <w:rPr>
                <w:rFonts w:hint="default" w:ascii="Times New Roman" w:hAnsi="Times New Roman" w:cs="Times New Roman" w:eastAsiaTheme="minorEastAsia"/>
                <w:color w:val="000000" w:themeColor="text1"/>
                <w:kern w:val="0"/>
                <w:sz w:val="21"/>
                <w:szCs w:val="21"/>
                <w:highlight w:val="none"/>
                <w:vertAlign w:val="superscript"/>
                <w:lang w:val="en-US" w:eastAsia="zh-CN" w:bidi="ar"/>
                <w14:textFill>
                  <w14:solidFill>
                    <w14:schemeClr w14:val="tx1"/>
                  </w14:solidFill>
                </w14:textFill>
              </w:rPr>
              <w:t>3</w:t>
            </w:r>
          </w:p>
        </w:tc>
      </w:tr>
      <w:tr w14:paraId="41842E2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753" w:type="dxa"/>
            <w:vMerge w:val="continue"/>
            <w:tcBorders>
              <w:tl2br w:val="nil"/>
              <w:tr2bl w:val="nil"/>
            </w:tcBorders>
            <w:vAlign w:val="center"/>
          </w:tcPr>
          <w:p w14:paraId="6A0CC752">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p>
        </w:tc>
        <w:tc>
          <w:tcPr>
            <w:tcW w:w="2512" w:type="dxa"/>
            <w:vMerge w:val="continue"/>
            <w:tcBorders>
              <w:tl2br w:val="nil"/>
              <w:tr2bl w:val="nil"/>
            </w:tcBorders>
            <w:vAlign w:val="center"/>
          </w:tcPr>
          <w:p w14:paraId="5F4AB40A">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p>
        </w:tc>
        <w:tc>
          <w:tcPr>
            <w:tcW w:w="2284" w:type="dxa"/>
            <w:tcBorders>
              <w:tl2br w:val="nil"/>
              <w:tr2bl w:val="nil"/>
            </w:tcBorders>
            <w:vAlign w:val="center"/>
          </w:tcPr>
          <w:p w14:paraId="20621937">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24小时平均</w:t>
            </w:r>
          </w:p>
        </w:tc>
        <w:tc>
          <w:tcPr>
            <w:tcW w:w="2095" w:type="dxa"/>
            <w:tcBorders>
              <w:tl2br w:val="nil"/>
              <w:tr2bl w:val="nil"/>
            </w:tcBorders>
            <w:vAlign w:val="center"/>
          </w:tcPr>
          <w:p w14:paraId="5F52777F">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150</w:t>
            </w:r>
          </w:p>
        </w:tc>
        <w:tc>
          <w:tcPr>
            <w:tcW w:w="1340" w:type="dxa"/>
            <w:vMerge w:val="continue"/>
            <w:tcBorders>
              <w:tl2br w:val="nil"/>
              <w:tr2bl w:val="nil"/>
            </w:tcBorders>
            <w:vAlign w:val="center"/>
          </w:tcPr>
          <w:p w14:paraId="1B36ABE6">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p>
        </w:tc>
      </w:tr>
      <w:tr w14:paraId="588B25E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753" w:type="dxa"/>
            <w:vMerge w:val="continue"/>
            <w:tcBorders>
              <w:tl2br w:val="nil"/>
              <w:tr2bl w:val="nil"/>
            </w:tcBorders>
            <w:vAlign w:val="center"/>
          </w:tcPr>
          <w:p w14:paraId="1DA63A9B">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p>
        </w:tc>
        <w:tc>
          <w:tcPr>
            <w:tcW w:w="2512" w:type="dxa"/>
            <w:vMerge w:val="continue"/>
            <w:tcBorders>
              <w:tl2br w:val="nil"/>
              <w:tr2bl w:val="nil"/>
            </w:tcBorders>
            <w:vAlign w:val="center"/>
          </w:tcPr>
          <w:p w14:paraId="241FF1DA">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p>
        </w:tc>
        <w:tc>
          <w:tcPr>
            <w:tcW w:w="2284" w:type="dxa"/>
            <w:tcBorders>
              <w:tl2br w:val="nil"/>
              <w:tr2bl w:val="nil"/>
            </w:tcBorders>
            <w:vAlign w:val="center"/>
          </w:tcPr>
          <w:p w14:paraId="71717F18">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1小时平均</w:t>
            </w:r>
          </w:p>
        </w:tc>
        <w:tc>
          <w:tcPr>
            <w:tcW w:w="2095" w:type="dxa"/>
            <w:tcBorders>
              <w:tl2br w:val="nil"/>
              <w:tr2bl w:val="nil"/>
            </w:tcBorders>
            <w:vAlign w:val="center"/>
          </w:tcPr>
          <w:p w14:paraId="473C0BA1">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500</w:t>
            </w:r>
          </w:p>
        </w:tc>
        <w:tc>
          <w:tcPr>
            <w:tcW w:w="1340" w:type="dxa"/>
            <w:vMerge w:val="continue"/>
            <w:tcBorders>
              <w:tl2br w:val="nil"/>
              <w:tr2bl w:val="nil"/>
            </w:tcBorders>
            <w:vAlign w:val="center"/>
          </w:tcPr>
          <w:p w14:paraId="76391C27">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p>
        </w:tc>
      </w:tr>
      <w:tr w14:paraId="5D98DA6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753" w:type="dxa"/>
            <w:vMerge w:val="restart"/>
            <w:tcBorders>
              <w:tl2br w:val="nil"/>
              <w:tr2bl w:val="nil"/>
            </w:tcBorders>
            <w:vAlign w:val="center"/>
          </w:tcPr>
          <w:p w14:paraId="11A300C5">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2</w:t>
            </w:r>
          </w:p>
        </w:tc>
        <w:tc>
          <w:tcPr>
            <w:tcW w:w="2512" w:type="dxa"/>
            <w:vMerge w:val="restart"/>
            <w:tcBorders>
              <w:tl2br w:val="nil"/>
              <w:tr2bl w:val="nil"/>
            </w:tcBorders>
            <w:vAlign w:val="center"/>
          </w:tcPr>
          <w:p w14:paraId="113D23BA">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二氧化氮(NO</w:t>
            </w:r>
            <w:r>
              <w:rPr>
                <w:rFonts w:hint="default" w:ascii="Times New Roman" w:hAnsi="Times New Roman" w:cs="Times New Roman" w:eastAsiaTheme="minorEastAsia"/>
                <w:color w:val="000000" w:themeColor="text1"/>
                <w:kern w:val="0"/>
                <w:sz w:val="21"/>
                <w:szCs w:val="21"/>
                <w:highlight w:val="none"/>
                <w:vertAlign w:val="subscript"/>
                <w:lang w:val="en-US" w:eastAsia="zh-CN" w:bidi="ar"/>
                <w14:textFill>
                  <w14:solidFill>
                    <w14:schemeClr w14:val="tx1"/>
                  </w14:solidFill>
                </w14:textFill>
              </w:rPr>
              <w:t>2</w:t>
            </w: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w:t>
            </w:r>
          </w:p>
        </w:tc>
        <w:tc>
          <w:tcPr>
            <w:tcW w:w="2284" w:type="dxa"/>
            <w:tcBorders>
              <w:tl2br w:val="nil"/>
              <w:tr2bl w:val="nil"/>
            </w:tcBorders>
            <w:vAlign w:val="center"/>
          </w:tcPr>
          <w:p w14:paraId="4947608A">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年平均</w:t>
            </w:r>
          </w:p>
        </w:tc>
        <w:tc>
          <w:tcPr>
            <w:tcW w:w="2095" w:type="dxa"/>
            <w:tcBorders>
              <w:tl2br w:val="nil"/>
              <w:tr2bl w:val="nil"/>
            </w:tcBorders>
            <w:vAlign w:val="center"/>
          </w:tcPr>
          <w:p w14:paraId="6AEBB71E">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40</w:t>
            </w:r>
          </w:p>
        </w:tc>
        <w:tc>
          <w:tcPr>
            <w:tcW w:w="1340" w:type="dxa"/>
            <w:vMerge w:val="restart"/>
            <w:tcBorders>
              <w:tl2br w:val="nil"/>
              <w:tr2bl w:val="nil"/>
            </w:tcBorders>
            <w:vAlign w:val="center"/>
          </w:tcPr>
          <w:p w14:paraId="5C7627CF">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μg/m</w:t>
            </w:r>
            <w:r>
              <w:rPr>
                <w:rFonts w:hint="default" w:ascii="Times New Roman" w:hAnsi="Times New Roman" w:cs="Times New Roman" w:eastAsiaTheme="minorEastAsia"/>
                <w:color w:val="000000" w:themeColor="text1"/>
                <w:kern w:val="0"/>
                <w:sz w:val="21"/>
                <w:szCs w:val="21"/>
                <w:highlight w:val="none"/>
                <w:vertAlign w:val="superscript"/>
                <w:lang w:val="en-US" w:eastAsia="zh-CN" w:bidi="ar"/>
                <w14:textFill>
                  <w14:solidFill>
                    <w14:schemeClr w14:val="tx1"/>
                  </w14:solidFill>
                </w14:textFill>
              </w:rPr>
              <w:t>3</w:t>
            </w:r>
          </w:p>
        </w:tc>
      </w:tr>
      <w:tr w14:paraId="1AFF22D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753" w:type="dxa"/>
            <w:vMerge w:val="continue"/>
            <w:tcBorders>
              <w:tl2br w:val="nil"/>
              <w:tr2bl w:val="nil"/>
            </w:tcBorders>
            <w:vAlign w:val="center"/>
          </w:tcPr>
          <w:p w14:paraId="4E05799B">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p>
        </w:tc>
        <w:tc>
          <w:tcPr>
            <w:tcW w:w="2512" w:type="dxa"/>
            <w:vMerge w:val="continue"/>
            <w:tcBorders>
              <w:tl2br w:val="nil"/>
              <w:tr2bl w:val="nil"/>
            </w:tcBorders>
            <w:vAlign w:val="center"/>
          </w:tcPr>
          <w:p w14:paraId="17C1A0AB">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p>
        </w:tc>
        <w:tc>
          <w:tcPr>
            <w:tcW w:w="2284" w:type="dxa"/>
            <w:tcBorders>
              <w:tl2br w:val="nil"/>
              <w:tr2bl w:val="nil"/>
            </w:tcBorders>
            <w:vAlign w:val="center"/>
          </w:tcPr>
          <w:p w14:paraId="30925739">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24小时平均</w:t>
            </w:r>
          </w:p>
        </w:tc>
        <w:tc>
          <w:tcPr>
            <w:tcW w:w="2095" w:type="dxa"/>
            <w:tcBorders>
              <w:tl2br w:val="nil"/>
              <w:tr2bl w:val="nil"/>
            </w:tcBorders>
            <w:vAlign w:val="center"/>
          </w:tcPr>
          <w:p w14:paraId="533F2905">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80</w:t>
            </w:r>
          </w:p>
        </w:tc>
        <w:tc>
          <w:tcPr>
            <w:tcW w:w="1340" w:type="dxa"/>
            <w:vMerge w:val="continue"/>
            <w:tcBorders>
              <w:tl2br w:val="nil"/>
              <w:tr2bl w:val="nil"/>
            </w:tcBorders>
            <w:vAlign w:val="center"/>
          </w:tcPr>
          <w:p w14:paraId="465A4094">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p>
        </w:tc>
      </w:tr>
      <w:tr w14:paraId="5E7B352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753" w:type="dxa"/>
            <w:vMerge w:val="continue"/>
            <w:tcBorders>
              <w:tl2br w:val="nil"/>
              <w:tr2bl w:val="nil"/>
            </w:tcBorders>
            <w:vAlign w:val="center"/>
          </w:tcPr>
          <w:p w14:paraId="41582E79">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p>
        </w:tc>
        <w:tc>
          <w:tcPr>
            <w:tcW w:w="2512" w:type="dxa"/>
            <w:vMerge w:val="continue"/>
            <w:tcBorders>
              <w:tl2br w:val="nil"/>
              <w:tr2bl w:val="nil"/>
            </w:tcBorders>
            <w:vAlign w:val="center"/>
          </w:tcPr>
          <w:p w14:paraId="10EDAE41">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p>
        </w:tc>
        <w:tc>
          <w:tcPr>
            <w:tcW w:w="2284" w:type="dxa"/>
            <w:tcBorders>
              <w:tl2br w:val="nil"/>
              <w:tr2bl w:val="nil"/>
            </w:tcBorders>
            <w:vAlign w:val="center"/>
          </w:tcPr>
          <w:p w14:paraId="0CE914B4">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1小时平均</w:t>
            </w:r>
          </w:p>
        </w:tc>
        <w:tc>
          <w:tcPr>
            <w:tcW w:w="2095" w:type="dxa"/>
            <w:tcBorders>
              <w:tl2br w:val="nil"/>
              <w:tr2bl w:val="nil"/>
            </w:tcBorders>
            <w:vAlign w:val="center"/>
          </w:tcPr>
          <w:p w14:paraId="12C3E971">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200</w:t>
            </w:r>
          </w:p>
        </w:tc>
        <w:tc>
          <w:tcPr>
            <w:tcW w:w="1340" w:type="dxa"/>
            <w:vMerge w:val="continue"/>
            <w:tcBorders>
              <w:tl2br w:val="nil"/>
              <w:tr2bl w:val="nil"/>
            </w:tcBorders>
            <w:vAlign w:val="center"/>
          </w:tcPr>
          <w:p w14:paraId="45659B12">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p>
        </w:tc>
      </w:tr>
      <w:tr w14:paraId="008CE60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753" w:type="dxa"/>
            <w:vMerge w:val="restart"/>
            <w:tcBorders>
              <w:tl2br w:val="nil"/>
              <w:tr2bl w:val="nil"/>
            </w:tcBorders>
            <w:vAlign w:val="center"/>
          </w:tcPr>
          <w:p w14:paraId="57C7159C">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3</w:t>
            </w:r>
          </w:p>
        </w:tc>
        <w:tc>
          <w:tcPr>
            <w:tcW w:w="2512" w:type="dxa"/>
            <w:vMerge w:val="restart"/>
            <w:tcBorders>
              <w:tl2br w:val="nil"/>
              <w:tr2bl w:val="nil"/>
            </w:tcBorders>
            <w:vAlign w:val="center"/>
          </w:tcPr>
          <w:p w14:paraId="4BFC4211">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一氧化碳(CO)</w:t>
            </w:r>
          </w:p>
        </w:tc>
        <w:tc>
          <w:tcPr>
            <w:tcW w:w="2284" w:type="dxa"/>
            <w:tcBorders>
              <w:tl2br w:val="nil"/>
              <w:tr2bl w:val="nil"/>
            </w:tcBorders>
            <w:vAlign w:val="center"/>
          </w:tcPr>
          <w:p w14:paraId="268B7C2A">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24小时平均</w:t>
            </w:r>
          </w:p>
        </w:tc>
        <w:tc>
          <w:tcPr>
            <w:tcW w:w="2095" w:type="dxa"/>
            <w:tcBorders>
              <w:tl2br w:val="nil"/>
              <w:tr2bl w:val="nil"/>
            </w:tcBorders>
            <w:vAlign w:val="center"/>
          </w:tcPr>
          <w:p w14:paraId="5ED4F1C2">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4</w:t>
            </w:r>
          </w:p>
        </w:tc>
        <w:tc>
          <w:tcPr>
            <w:tcW w:w="1340" w:type="dxa"/>
            <w:vMerge w:val="restart"/>
            <w:tcBorders>
              <w:tl2br w:val="nil"/>
              <w:tr2bl w:val="nil"/>
            </w:tcBorders>
            <w:vAlign w:val="center"/>
          </w:tcPr>
          <w:p w14:paraId="34158C6B">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mg/m</w:t>
            </w:r>
            <w:r>
              <w:rPr>
                <w:rFonts w:hint="default" w:ascii="Times New Roman" w:hAnsi="Times New Roman" w:cs="Times New Roman" w:eastAsiaTheme="minorEastAsia"/>
                <w:color w:val="000000" w:themeColor="text1"/>
                <w:kern w:val="0"/>
                <w:sz w:val="21"/>
                <w:szCs w:val="21"/>
                <w:highlight w:val="none"/>
                <w:vertAlign w:val="superscript"/>
                <w:lang w:val="en-US" w:eastAsia="zh-CN" w:bidi="ar"/>
                <w14:textFill>
                  <w14:solidFill>
                    <w14:schemeClr w14:val="tx1"/>
                  </w14:solidFill>
                </w14:textFill>
              </w:rPr>
              <w:t>3</w:t>
            </w:r>
          </w:p>
        </w:tc>
      </w:tr>
      <w:tr w14:paraId="2DA5E47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753" w:type="dxa"/>
            <w:vMerge w:val="continue"/>
            <w:tcBorders>
              <w:tl2br w:val="nil"/>
              <w:tr2bl w:val="nil"/>
            </w:tcBorders>
            <w:vAlign w:val="center"/>
          </w:tcPr>
          <w:p w14:paraId="0D7FFAC6">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p>
        </w:tc>
        <w:tc>
          <w:tcPr>
            <w:tcW w:w="2512" w:type="dxa"/>
            <w:vMerge w:val="continue"/>
            <w:tcBorders>
              <w:tl2br w:val="nil"/>
              <w:tr2bl w:val="nil"/>
            </w:tcBorders>
            <w:vAlign w:val="center"/>
          </w:tcPr>
          <w:p w14:paraId="36B427A7">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p>
        </w:tc>
        <w:tc>
          <w:tcPr>
            <w:tcW w:w="2284" w:type="dxa"/>
            <w:tcBorders>
              <w:tl2br w:val="nil"/>
              <w:tr2bl w:val="nil"/>
            </w:tcBorders>
            <w:vAlign w:val="center"/>
          </w:tcPr>
          <w:p w14:paraId="3ED92E1D">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1小时平均</w:t>
            </w:r>
          </w:p>
        </w:tc>
        <w:tc>
          <w:tcPr>
            <w:tcW w:w="2095" w:type="dxa"/>
            <w:tcBorders>
              <w:tl2br w:val="nil"/>
              <w:tr2bl w:val="nil"/>
            </w:tcBorders>
            <w:vAlign w:val="center"/>
          </w:tcPr>
          <w:p w14:paraId="610CD904">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10</w:t>
            </w:r>
          </w:p>
        </w:tc>
        <w:tc>
          <w:tcPr>
            <w:tcW w:w="1340" w:type="dxa"/>
            <w:vMerge w:val="continue"/>
            <w:tcBorders>
              <w:tl2br w:val="nil"/>
              <w:tr2bl w:val="nil"/>
            </w:tcBorders>
            <w:vAlign w:val="center"/>
          </w:tcPr>
          <w:p w14:paraId="6AD6AF6A">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p>
        </w:tc>
      </w:tr>
      <w:tr w14:paraId="7D698F0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753" w:type="dxa"/>
            <w:vMerge w:val="restart"/>
            <w:tcBorders>
              <w:tl2br w:val="nil"/>
              <w:tr2bl w:val="nil"/>
            </w:tcBorders>
            <w:vAlign w:val="center"/>
          </w:tcPr>
          <w:p w14:paraId="729F5D0A">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4</w:t>
            </w:r>
          </w:p>
        </w:tc>
        <w:tc>
          <w:tcPr>
            <w:tcW w:w="2512" w:type="dxa"/>
            <w:vMerge w:val="restart"/>
            <w:tcBorders>
              <w:tl2br w:val="nil"/>
              <w:tr2bl w:val="nil"/>
            </w:tcBorders>
            <w:vAlign w:val="center"/>
          </w:tcPr>
          <w:p w14:paraId="15E6BEAB">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臭氧(O</w:t>
            </w:r>
            <w:r>
              <w:rPr>
                <w:rFonts w:hint="default" w:ascii="Times New Roman" w:hAnsi="Times New Roman" w:cs="Times New Roman" w:eastAsiaTheme="minorEastAsia"/>
                <w:color w:val="000000" w:themeColor="text1"/>
                <w:kern w:val="0"/>
                <w:sz w:val="21"/>
                <w:szCs w:val="21"/>
                <w:highlight w:val="none"/>
                <w:vertAlign w:val="subscript"/>
                <w:lang w:val="en-US" w:eastAsia="zh-CN" w:bidi="ar"/>
                <w14:textFill>
                  <w14:solidFill>
                    <w14:schemeClr w14:val="tx1"/>
                  </w14:solidFill>
                </w14:textFill>
              </w:rPr>
              <w:t>3</w:t>
            </w: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w:t>
            </w:r>
          </w:p>
        </w:tc>
        <w:tc>
          <w:tcPr>
            <w:tcW w:w="2284" w:type="dxa"/>
            <w:tcBorders>
              <w:tl2br w:val="nil"/>
              <w:tr2bl w:val="nil"/>
            </w:tcBorders>
            <w:vAlign w:val="center"/>
          </w:tcPr>
          <w:p w14:paraId="6EEBAD0A">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日最大8小时平均</w:t>
            </w:r>
          </w:p>
        </w:tc>
        <w:tc>
          <w:tcPr>
            <w:tcW w:w="2095" w:type="dxa"/>
            <w:tcBorders>
              <w:tl2br w:val="nil"/>
              <w:tr2bl w:val="nil"/>
            </w:tcBorders>
            <w:vAlign w:val="center"/>
          </w:tcPr>
          <w:p w14:paraId="6F3F47E8">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160</w:t>
            </w:r>
          </w:p>
        </w:tc>
        <w:tc>
          <w:tcPr>
            <w:tcW w:w="1340" w:type="dxa"/>
            <w:vMerge w:val="restart"/>
            <w:tcBorders>
              <w:tl2br w:val="nil"/>
              <w:tr2bl w:val="nil"/>
            </w:tcBorders>
            <w:vAlign w:val="center"/>
          </w:tcPr>
          <w:p w14:paraId="1F72B7B5">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μg/m</w:t>
            </w:r>
            <w:r>
              <w:rPr>
                <w:rFonts w:hint="default" w:ascii="Times New Roman" w:hAnsi="Times New Roman" w:cs="Times New Roman" w:eastAsiaTheme="minorEastAsia"/>
                <w:color w:val="000000" w:themeColor="text1"/>
                <w:kern w:val="0"/>
                <w:sz w:val="21"/>
                <w:szCs w:val="21"/>
                <w:highlight w:val="none"/>
                <w:vertAlign w:val="superscript"/>
                <w:lang w:val="en-US" w:eastAsia="zh-CN" w:bidi="ar"/>
                <w14:textFill>
                  <w14:solidFill>
                    <w14:schemeClr w14:val="tx1"/>
                  </w14:solidFill>
                </w14:textFill>
              </w:rPr>
              <w:t>3</w:t>
            </w:r>
          </w:p>
        </w:tc>
      </w:tr>
      <w:tr w14:paraId="481B756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753" w:type="dxa"/>
            <w:vMerge w:val="continue"/>
            <w:tcBorders>
              <w:tl2br w:val="nil"/>
              <w:tr2bl w:val="nil"/>
            </w:tcBorders>
            <w:vAlign w:val="center"/>
          </w:tcPr>
          <w:p w14:paraId="7471862D">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p>
        </w:tc>
        <w:tc>
          <w:tcPr>
            <w:tcW w:w="2512" w:type="dxa"/>
            <w:vMerge w:val="continue"/>
            <w:tcBorders>
              <w:tl2br w:val="nil"/>
              <w:tr2bl w:val="nil"/>
            </w:tcBorders>
            <w:vAlign w:val="center"/>
          </w:tcPr>
          <w:p w14:paraId="45451A3F">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p>
        </w:tc>
        <w:tc>
          <w:tcPr>
            <w:tcW w:w="2284" w:type="dxa"/>
            <w:tcBorders>
              <w:tl2br w:val="nil"/>
              <w:tr2bl w:val="nil"/>
            </w:tcBorders>
            <w:vAlign w:val="center"/>
          </w:tcPr>
          <w:p w14:paraId="5D511AF1">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1小时平均</w:t>
            </w:r>
          </w:p>
        </w:tc>
        <w:tc>
          <w:tcPr>
            <w:tcW w:w="2095" w:type="dxa"/>
            <w:tcBorders>
              <w:tl2br w:val="nil"/>
              <w:tr2bl w:val="nil"/>
            </w:tcBorders>
            <w:vAlign w:val="center"/>
          </w:tcPr>
          <w:p w14:paraId="3DCD043A">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200</w:t>
            </w:r>
          </w:p>
        </w:tc>
        <w:tc>
          <w:tcPr>
            <w:tcW w:w="1340" w:type="dxa"/>
            <w:vMerge w:val="continue"/>
            <w:tcBorders>
              <w:tl2br w:val="nil"/>
              <w:tr2bl w:val="nil"/>
            </w:tcBorders>
            <w:vAlign w:val="center"/>
          </w:tcPr>
          <w:p w14:paraId="2FE73CB3">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p>
        </w:tc>
      </w:tr>
      <w:tr w14:paraId="49CA161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753" w:type="dxa"/>
            <w:vMerge w:val="restart"/>
            <w:tcBorders>
              <w:tl2br w:val="nil"/>
              <w:tr2bl w:val="nil"/>
            </w:tcBorders>
            <w:vAlign w:val="center"/>
          </w:tcPr>
          <w:p w14:paraId="7D6510E3">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5</w:t>
            </w:r>
          </w:p>
        </w:tc>
        <w:tc>
          <w:tcPr>
            <w:tcW w:w="2512" w:type="dxa"/>
            <w:vMerge w:val="restart"/>
            <w:tcBorders>
              <w:tl2br w:val="nil"/>
              <w:tr2bl w:val="nil"/>
            </w:tcBorders>
            <w:vAlign w:val="center"/>
          </w:tcPr>
          <w:p w14:paraId="4D5B2E87">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PM</w:t>
            </w:r>
            <w:r>
              <w:rPr>
                <w:rFonts w:hint="default" w:ascii="Times New Roman" w:hAnsi="Times New Roman" w:cs="Times New Roman" w:eastAsiaTheme="minorEastAsia"/>
                <w:color w:val="000000" w:themeColor="text1"/>
                <w:kern w:val="0"/>
                <w:sz w:val="21"/>
                <w:szCs w:val="21"/>
                <w:highlight w:val="none"/>
                <w:vertAlign w:val="subscript"/>
                <w:lang w:val="en-US" w:eastAsia="zh-CN" w:bidi="ar"/>
                <w14:textFill>
                  <w14:solidFill>
                    <w14:schemeClr w14:val="tx1"/>
                  </w14:solidFill>
                </w14:textFill>
              </w:rPr>
              <w:t>10</w:t>
            </w:r>
          </w:p>
        </w:tc>
        <w:tc>
          <w:tcPr>
            <w:tcW w:w="2284" w:type="dxa"/>
            <w:tcBorders>
              <w:tl2br w:val="nil"/>
              <w:tr2bl w:val="nil"/>
            </w:tcBorders>
            <w:vAlign w:val="center"/>
          </w:tcPr>
          <w:p w14:paraId="00E22590">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年平均</w:t>
            </w:r>
          </w:p>
        </w:tc>
        <w:tc>
          <w:tcPr>
            <w:tcW w:w="2095" w:type="dxa"/>
            <w:tcBorders>
              <w:tl2br w:val="nil"/>
              <w:tr2bl w:val="nil"/>
            </w:tcBorders>
            <w:vAlign w:val="center"/>
          </w:tcPr>
          <w:p w14:paraId="09E89143">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70</w:t>
            </w:r>
          </w:p>
        </w:tc>
        <w:tc>
          <w:tcPr>
            <w:tcW w:w="1340" w:type="dxa"/>
            <w:vMerge w:val="restart"/>
            <w:tcBorders>
              <w:tl2br w:val="nil"/>
              <w:tr2bl w:val="nil"/>
            </w:tcBorders>
            <w:vAlign w:val="center"/>
          </w:tcPr>
          <w:p w14:paraId="0124C66C">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μg/m</w:t>
            </w:r>
            <w:r>
              <w:rPr>
                <w:rFonts w:hint="default" w:ascii="Times New Roman" w:hAnsi="Times New Roman" w:cs="Times New Roman" w:eastAsiaTheme="minorEastAsia"/>
                <w:color w:val="000000" w:themeColor="text1"/>
                <w:kern w:val="0"/>
                <w:sz w:val="21"/>
                <w:szCs w:val="21"/>
                <w:highlight w:val="none"/>
                <w:vertAlign w:val="superscript"/>
                <w:lang w:val="en-US" w:eastAsia="zh-CN" w:bidi="ar"/>
                <w14:textFill>
                  <w14:solidFill>
                    <w14:schemeClr w14:val="tx1"/>
                  </w14:solidFill>
                </w14:textFill>
              </w:rPr>
              <w:t>3</w:t>
            </w:r>
          </w:p>
        </w:tc>
      </w:tr>
      <w:tr w14:paraId="293F362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753" w:type="dxa"/>
            <w:vMerge w:val="continue"/>
            <w:tcBorders>
              <w:tl2br w:val="nil"/>
              <w:tr2bl w:val="nil"/>
            </w:tcBorders>
            <w:vAlign w:val="center"/>
          </w:tcPr>
          <w:p w14:paraId="471771DD">
            <w:pPr>
              <w:pStyle w:val="8"/>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p>
        </w:tc>
        <w:tc>
          <w:tcPr>
            <w:tcW w:w="2512" w:type="dxa"/>
            <w:vMerge w:val="continue"/>
            <w:tcBorders>
              <w:tl2br w:val="nil"/>
              <w:tr2bl w:val="nil"/>
            </w:tcBorders>
            <w:vAlign w:val="center"/>
          </w:tcPr>
          <w:p w14:paraId="5CD3656C">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p>
        </w:tc>
        <w:tc>
          <w:tcPr>
            <w:tcW w:w="2284" w:type="dxa"/>
            <w:tcBorders>
              <w:tl2br w:val="nil"/>
              <w:tr2bl w:val="nil"/>
            </w:tcBorders>
            <w:vAlign w:val="center"/>
          </w:tcPr>
          <w:p w14:paraId="5FC6A1F6">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24小时平均</w:t>
            </w:r>
          </w:p>
        </w:tc>
        <w:tc>
          <w:tcPr>
            <w:tcW w:w="2095" w:type="dxa"/>
            <w:tcBorders>
              <w:tl2br w:val="nil"/>
              <w:tr2bl w:val="nil"/>
            </w:tcBorders>
            <w:vAlign w:val="center"/>
          </w:tcPr>
          <w:p w14:paraId="1983A921">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150</w:t>
            </w:r>
          </w:p>
        </w:tc>
        <w:tc>
          <w:tcPr>
            <w:tcW w:w="1340" w:type="dxa"/>
            <w:vMerge w:val="continue"/>
            <w:tcBorders>
              <w:tl2br w:val="nil"/>
              <w:tr2bl w:val="nil"/>
            </w:tcBorders>
            <w:vAlign w:val="center"/>
          </w:tcPr>
          <w:p w14:paraId="07B085DC">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p>
        </w:tc>
      </w:tr>
      <w:tr w14:paraId="2C050D7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753" w:type="dxa"/>
            <w:vMerge w:val="restart"/>
            <w:tcBorders>
              <w:tl2br w:val="nil"/>
              <w:tr2bl w:val="nil"/>
            </w:tcBorders>
            <w:vAlign w:val="center"/>
          </w:tcPr>
          <w:p w14:paraId="7E4E1101">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6</w:t>
            </w:r>
          </w:p>
        </w:tc>
        <w:tc>
          <w:tcPr>
            <w:tcW w:w="2512" w:type="dxa"/>
            <w:vMerge w:val="restart"/>
            <w:tcBorders>
              <w:tl2br w:val="nil"/>
              <w:tr2bl w:val="nil"/>
            </w:tcBorders>
            <w:vAlign w:val="center"/>
          </w:tcPr>
          <w:p w14:paraId="3A96A4A4">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PM</w:t>
            </w:r>
            <w:r>
              <w:rPr>
                <w:rFonts w:hint="default" w:ascii="Times New Roman" w:hAnsi="Times New Roman" w:cs="Times New Roman" w:eastAsiaTheme="minorEastAsia"/>
                <w:color w:val="000000" w:themeColor="text1"/>
                <w:kern w:val="0"/>
                <w:sz w:val="21"/>
                <w:szCs w:val="21"/>
                <w:highlight w:val="none"/>
                <w:vertAlign w:val="subscript"/>
                <w:lang w:val="en-US" w:eastAsia="zh-CN" w:bidi="ar"/>
                <w14:textFill>
                  <w14:solidFill>
                    <w14:schemeClr w14:val="tx1"/>
                  </w14:solidFill>
                </w14:textFill>
              </w:rPr>
              <w:t>2.5</w:t>
            </w:r>
          </w:p>
        </w:tc>
        <w:tc>
          <w:tcPr>
            <w:tcW w:w="2284" w:type="dxa"/>
            <w:tcBorders>
              <w:tl2br w:val="nil"/>
              <w:tr2bl w:val="nil"/>
            </w:tcBorders>
            <w:vAlign w:val="center"/>
          </w:tcPr>
          <w:p w14:paraId="437CA2A0">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年平均</w:t>
            </w:r>
          </w:p>
        </w:tc>
        <w:tc>
          <w:tcPr>
            <w:tcW w:w="2095" w:type="dxa"/>
            <w:tcBorders>
              <w:tl2br w:val="nil"/>
              <w:tr2bl w:val="nil"/>
            </w:tcBorders>
            <w:vAlign w:val="center"/>
          </w:tcPr>
          <w:p w14:paraId="2FFB8DC8">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35</w:t>
            </w:r>
          </w:p>
        </w:tc>
        <w:tc>
          <w:tcPr>
            <w:tcW w:w="1340" w:type="dxa"/>
            <w:vMerge w:val="restart"/>
            <w:tcBorders>
              <w:tl2br w:val="nil"/>
              <w:tr2bl w:val="nil"/>
            </w:tcBorders>
            <w:vAlign w:val="center"/>
          </w:tcPr>
          <w:p w14:paraId="789279BA">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μg/m</w:t>
            </w:r>
            <w:r>
              <w:rPr>
                <w:rFonts w:hint="default" w:ascii="Times New Roman" w:hAnsi="Times New Roman" w:cs="Times New Roman" w:eastAsiaTheme="minorEastAsia"/>
                <w:color w:val="000000" w:themeColor="text1"/>
                <w:kern w:val="0"/>
                <w:sz w:val="21"/>
                <w:szCs w:val="21"/>
                <w:highlight w:val="none"/>
                <w:vertAlign w:val="superscript"/>
                <w:lang w:val="en-US" w:eastAsia="zh-CN" w:bidi="ar"/>
                <w14:textFill>
                  <w14:solidFill>
                    <w14:schemeClr w14:val="tx1"/>
                  </w14:solidFill>
                </w14:textFill>
              </w:rPr>
              <w:t>3</w:t>
            </w:r>
          </w:p>
        </w:tc>
      </w:tr>
      <w:tr w14:paraId="080FCA0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753" w:type="dxa"/>
            <w:vMerge w:val="continue"/>
            <w:tcBorders>
              <w:tl2br w:val="nil"/>
              <w:tr2bl w:val="nil"/>
            </w:tcBorders>
            <w:vAlign w:val="center"/>
          </w:tcPr>
          <w:p w14:paraId="52918F4F">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p>
        </w:tc>
        <w:tc>
          <w:tcPr>
            <w:tcW w:w="2512" w:type="dxa"/>
            <w:vMerge w:val="continue"/>
            <w:tcBorders>
              <w:tl2br w:val="nil"/>
              <w:tr2bl w:val="nil"/>
            </w:tcBorders>
            <w:vAlign w:val="center"/>
          </w:tcPr>
          <w:p w14:paraId="6FDB7EA9">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p>
        </w:tc>
        <w:tc>
          <w:tcPr>
            <w:tcW w:w="2284" w:type="dxa"/>
            <w:tcBorders>
              <w:tl2br w:val="nil"/>
              <w:tr2bl w:val="nil"/>
            </w:tcBorders>
            <w:vAlign w:val="center"/>
          </w:tcPr>
          <w:p w14:paraId="3C32AB5C">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24小时平均</w:t>
            </w:r>
          </w:p>
        </w:tc>
        <w:tc>
          <w:tcPr>
            <w:tcW w:w="2095" w:type="dxa"/>
            <w:tcBorders>
              <w:tl2br w:val="nil"/>
              <w:tr2bl w:val="nil"/>
            </w:tcBorders>
            <w:vAlign w:val="center"/>
          </w:tcPr>
          <w:p w14:paraId="1923FCC5">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75</w:t>
            </w:r>
          </w:p>
        </w:tc>
        <w:tc>
          <w:tcPr>
            <w:tcW w:w="1340" w:type="dxa"/>
            <w:vMerge w:val="continue"/>
            <w:tcBorders>
              <w:tl2br w:val="nil"/>
              <w:tr2bl w:val="nil"/>
            </w:tcBorders>
            <w:vAlign w:val="center"/>
          </w:tcPr>
          <w:p w14:paraId="380E7D13">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p>
        </w:tc>
      </w:tr>
    </w:tbl>
    <w:p w14:paraId="47D8AEC4">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FF0000"/>
          <w:sz w:val="24"/>
          <w:highlight w:val="none"/>
          <w:lang w:val="en-US" w:eastAsia="zh-CN"/>
        </w:rPr>
      </w:pPr>
    </w:p>
    <w:p w14:paraId="2FD165FD">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(2)地表水环境</w:t>
      </w:r>
    </w:p>
    <w:p w14:paraId="36784473">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snapToGrid w:val="0"/>
          <w:color w:val="000000" w:themeColor="text1"/>
          <w:sz w:val="24"/>
          <w:highlight w:val="none"/>
          <w:lang w:val="en-US" w:eastAsia="zh-CN"/>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本项目用地较分散，</w:t>
      </w:r>
      <w:r>
        <w:rPr>
          <w:rFonts w:hint="eastAsia" w:cs="Times New Roman" w:eastAsiaTheme="minorEastAsia"/>
          <w:snapToGrid w:val="0"/>
          <w:color w:val="000000" w:themeColor="text1"/>
          <w:sz w:val="24"/>
          <w:highlight w:val="none"/>
          <w:lang w:val="en-US" w:eastAsia="zh-CN"/>
          <w14:textFill>
            <w14:solidFill>
              <w14:schemeClr w14:val="tx1"/>
            </w14:solidFill>
          </w14:textFill>
        </w:rPr>
        <w:t>距H1风机5.1km、3.7km处分别为乌拉泊水库和乌鲁木齐河，</w:t>
      </w:r>
      <w:r>
        <w:rPr>
          <w:rFonts w:hint="eastAsia" w:ascii="宋体" w:hAnsi="宋体" w:eastAsia="宋体"/>
          <w:color w:val="000000" w:themeColor="text1"/>
          <w:sz w:val="24"/>
          <w14:textFill>
            <w14:solidFill>
              <w14:schemeClr w14:val="tx1"/>
            </w14:solidFill>
          </w14:textFill>
        </w:rPr>
        <w:t>根据《中国新疆水环境功能区划》（</w:t>
      </w:r>
      <w:r>
        <w:rPr>
          <w:rFonts w:hint="eastAsia" w:ascii="TimesNewRomanPSMT" w:hAnsi="TimesNewRomanPSMT" w:eastAsia="TimesNewRomanPSMT"/>
          <w:color w:val="000000" w:themeColor="text1"/>
          <w:sz w:val="24"/>
          <w14:textFill>
            <w14:solidFill>
              <w14:schemeClr w14:val="tx1"/>
            </w14:solidFill>
          </w14:textFill>
        </w:rPr>
        <w:t xml:space="preserve">2002 </w:t>
      </w:r>
      <w:r>
        <w:rPr>
          <w:rFonts w:hint="eastAsia" w:ascii="宋体" w:hAnsi="宋体" w:eastAsia="宋体"/>
          <w:color w:val="000000" w:themeColor="text1"/>
          <w:sz w:val="24"/>
          <w14:textFill>
            <w14:solidFill>
              <w14:schemeClr w14:val="tx1"/>
            </w14:solidFill>
          </w14:textFill>
        </w:rPr>
        <w:t>版），地表水的环境功能见表</w:t>
      </w:r>
      <w:r>
        <w:rPr>
          <w:rFonts w:hint="eastAsia" w:ascii="TimesNewRomanPSMT" w:hAnsi="TimesNewRomanPSMT" w:eastAsia="TimesNewRomanPSMT"/>
          <w:color w:val="000000" w:themeColor="text1"/>
          <w:sz w:val="24"/>
          <w14:textFill>
            <w14:solidFill>
              <w14:schemeClr w14:val="tx1"/>
            </w14:solidFill>
          </w14:textFill>
        </w:rPr>
        <w:t>2.</w:t>
      </w:r>
      <w:r>
        <w:rPr>
          <w:rFonts w:hint="eastAsia" w:ascii="TimesNewRomanPSMT" w:hAnsi="TimesNewRomanPSMT" w:eastAsia="宋体"/>
          <w:color w:val="000000" w:themeColor="text1"/>
          <w:sz w:val="24"/>
          <w:lang w:val="en-US" w:eastAsia="zh-CN"/>
          <w14:textFill>
            <w14:solidFill>
              <w14:schemeClr w14:val="tx1"/>
            </w14:solidFill>
          </w14:textFill>
        </w:rPr>
        <w:t>4</w:t>
      </w:r>
      <w:r>
        <w:rPr>
          <w:rFonts w:hint="eastAsia" w:ascii="TimesNewRomanPSMT" w:hAnsi="TimesNewRomanPSMT" w:eastAsia="TimesNewRomanPSMT"/>
          <w:color w:val="000000" w:themeColor="text1"/>
          <w:sz w:val="24"/>
          <w14:textFill>
            <w14:solidFill>
              <w14:schemeClr w14:val="tx1"/>
            </w14:solidFill>
          </w14:textFill>
        </w:rPr>
        <w:t>-1</w:t>
      </w:r>
      <w:r>
        <w:rPr>
          <w:rFonts w:hint="eastAsia" w:ascii="TimesNewRomanPSMT" w:hAnsi="TimesNewRomanPSMT" w:eastAsia="宋体"/>
          <w:color w:val="000000" w:themeColor="text1"/>
          <w:sz w:val="24"/>
          <w:lang w:eastAsia="zh-CN"/>
          <w14:textFill>
            <w14:solidFill>
              <w14:schemeClr w14:val="tx1"/>
            </w14:solidFill>
          </w14:textFill>
        </w:rPr>
        <w:t>，</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水质参照执行《地表水环境质量标准》(GB3838-2002)Ⅱ</w:t>
      </w:r>
      <w:r>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类、</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Ⅲ类标准，</w:t>
      </w:r>
      <w:r>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详见表2.4-4。</w:t>
      </w:r>
    </w:p>
    <w:p w14:paraId="7C0971FA">
      <w:pPr>
        <w:keepNext w:val="0"/>
        <w:keepLines w:val="0"/>
        <w:pageBreakBefore w:val="0"/>
        <w:widowControl w:val="0"/>
        <w:kinsoku/>
        <w:wordWrap/>
        <w:overflowPunct/>
        <w:topLinePunct w:val="0"/>
        <w:autoSpaceDE/>
        <w:autoSpaceDN/>
        <w:bidi w:val="0"/>
        <w:adjustRightInd/>
        <w:snapToGrid/>
        <w:spacing w:line="240" w:lineRule="auto"/>
        <w:ind w:firstLine="241" w:firstLineChars="100"/>
        <w:jc w:val="both"/>
        <w:textAlignment w:val="auto"/>
        <w:rPr>
          <w:rFonts w:hint="default" w:ascii="Times New Roman" w:hAnsi="Times New Roman" w:cs="Times New Roman" w:eastAsiaTheme="minorEastAsia"/>
          <w:b/>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b/>
          <w:color w:val="000000" w:themeColor="text1"/>
          <w:sz w:val="24"/>
          <w:highlight w:val="none"/>
          <w:lang w:val="en-US" w:eastAsia="zh-CN"/>
          <w14:textFill>
            <w14:solidFill>
              <w14:schemeClr w14:val="tx1"/>
            </w14:solidFill>
          </w14:textFill>
        </w:rPr>
        <w:t>表2.4-</w:t>
      </w:r>
      <w:r>
        <w:rPr>
          <w:rFonts w:hint="eastAsia" w:cs="Times New Roman" w:eastAsiaTheme="minorEastAsia"/>
          <w:b/>
          <w:color w:val="000000" w:themeColor="text1"/>
          <w:sz w:val="24"/>
          <w:highlight w:val="none"/>
          <w:lang w:val="en-US" w:eastAsia="zh-CN"/>
          <w14:textFill>
            <w14:solidFill>
              <w14:schemeClr w14:val="tx1"/>
            </w14:solidFill>
          </w14:textFill>
        </w:rPr>
        <w:t>4</w:t>
      </w:r>
      <w:r>
        <w:rPr>
          <w:rFonts w:hint="default" w:ascii="Times New Roman" w:hAnsi="Times New Roman" w:cs="Times New Roman" w:eastAsiaTheme="minorEastAsia"/>
          <w:b/>
          <w:color w:val="000000" w:themeColor="text1"/>
          <w:sz w:val="24"/>
          <w:highlight w:val="none"/>
          <w:lang w:val="en-US" w:eastAsia="zh-CN"/>
          <w14:textFill>
            <w14:solidFill>
              <w14:schemeClr w14:val="tx1"/>
            </w14:solidFill>
          </w14:textFill>
        </w:rPr>
        <w:t xml:space="preserve">    </w:t>
      </w:r>
      <w:r>
        <w:rPr>
          <w:rFonts w:hint="eastAsia" w:cs="Times New Roman" w:eastAsiaTheme="minorEastAsia"/>
          <w:b/>
          <w:color w:val="000000" w:themeColor="text1"/>
          <w:sz w:val="24"/>
          <w:highlight w:val="none"/>
          <w:lang w:val="en-US" w:eastAsia="zh-CN"/>
          <w14:textFill>
            <w14:solidFill>
              <w14:schemeClr w14:val="tx1"/>
            </w14:solidFill>
          </w14:textFill>
        </w:rPr>
        <w:t xml:space="preserve">       </w:t>
      </w:r>
      <w:r>
        <w:rPr>
          <w:rFonts w:hint="default" w:ascii="Times New Roman" w:hAnsi="Times New Roman" w:cs="Times New Roman" w:eastAsiaTheme="minorEastAsia"/>
          <w:b/>
          <w:color w:val="000000" w:themeColor="text1"/>
          <w:sz w:val="24"/>
          <w:highlight w:val="none"/>
          <w:lang w:val="en-US" w:eastAsia="zh-CN"/>
          <w14:textFill>
            <w14:solidFill>
              <w14:schemeClr w14:val="tx1"/>
            </w14:solidFill>
          </w14:textFill>
        </w:rPr>
        <w:t>《地表水环境质量标准》                 (部分)</w:t>
      </w:r>
    </w:p>
    <w:p w14:paraId="3449C0A9">
      <w:pPr>
        <w:spacing w:line="19" w:lineRule="exact"/>
        <w:rPr>
          <w:rFonts w:hint="default" w:ascii="Times New Roman" w:hAnsi="Times New Roman" w:cs="Times New Roman" w:eastAsiaTheme="minorEastAsia"/>
          <w:color w:val="FF0000"/>
          <w:highlight w:val="none"/>
        </w:rPr>
      </w:pPr>
    </w:p>
    <w:tbl>
      <w:tblPr>
        <w:tblStyle w:val="76"/>
        <w:tblW w:w="883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763"/>
        <w:gridCol w:w="1767"/>
        <w:gridCol w:w="1768"/>
        <w:gridCol w:w="1770"/>
        <w:gridCol w:w="1770"/>
      </w:tblGrid>
      <w:tr w14:paraId="4B2590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8" w:hRule="atLeast"/>
          <w:tblHeader/>
        </w:trPr>
        <w:tc>
          <w:tcPr>
            <w:tcW w:w="1763" w:type="dxa"/>
            <w:tcBorders>
              <w:tl2br w:val="nil"/>
              <w:tr2bl w:val="nil"/>
            </w:tcBorders>
            <w:vAlign w:val="center"/>
          </w:tcPr>
          <w:p w14:paraId="3248D275">
            <w:pPr>
              <w:keepNext w:val="0"/>
              <w:keepLines w:val="0"/>
              <w:pageBreakBefore w:val="0"/>
              <w:widowControl/>
              <w:suppressLineNumbers w:val="0"/>
              <w:kinsoku/>
              <w:wordWrap/>
              <w:overflowPunct/>
              <w:topLinePunct/>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序号</w:t>
            </w:r>
          </w:p>
        </w:tc>
        <w:tc>
          <w:tcPr>
            <w:tcW w:w="1767" w:type="dxa"/>
            <w:tcBorders>
              <w:tl2br w:val="nil"/>
              <w:tr2bl w:val="nil"/>
            </w:tcBorders>
            <w:vAlign w:val="center"/>
          </w:tcPr>
          <w:p w14:paraId="6D9B55C9">
            <w:pPr>
              <w:keepNext w:val="0"/>
              <w:keepLines w:val="0"/>
              <w:pageBreakBefore w:val="0"/>
              <w:widowControl/>
              <w:suppressLineNumbers w:val="0"/>
              <w:kinsoku/>
              <w:wordWrap/>
              <w:overflowPunct/>
              <w:topLinePunct/>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项目名称</w:t>
            </w:r>
          </w:p>
        </w:tc>
        <w:tc>
          <w:tcPr>
            <w:tcW w:w="1768" w:type="dxa"/>
            <w:tcBorders>
              <w:tl2br w:val="nil"/>
              <w:tr2bl w:val="nil"/>
            </w:tcBorders>
            <w:vAlign w:val="center"/>
          </w:tcPr>
          <w:p w14:paraId="11CD247F">
            <w:pPr>
              <w:keepNext w:val="0"/>
              <w:keepLines w:val="0"/>
              <w:pageBreakBefore w:val="0"/>
              <w:widowControl/>
              <w:suppressLineNumbers w:val="0"/>
              <w:kinsoku/>
              <w:wordWrap/>
              <w:overflowPunct/>
              <w:topLinePunct/>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单位</w:t>
            </w:r>
          </w:p>
        </w:tc>
        <w:tc>
          <w:tcPr>
            <w:tcW w:w="1770" w:type="dxa"/>
            <w:tcBorders>
              <w:tl2br w:val="nil"/>
              <w:tr2bl w:val="nil"/>
            </w:tcBorders>
            <w:vAlign w:val="center"/>
          </w:tcPr>
          <w:p w14:paraId="3D6A8751">
            <w:pPr>
              <w:keepNext w:val="0"/>
              <w:keepLines w:val="0"/>
              <w:pageBreakBefore w:val="0"/>
              <w:widowControl/>
              <w:suppressLineNumbers w:val="0"/>
              <w:kinsoku/>
              <w:wordWrap/>
              <w:overflowPunct/>
              <w:topLinePunct/>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Ⅱ</w:t>
            </w:r>
            <w:r>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类标准值</w:t>
            </w:r>
          </w:p>
        </w:tc>
        <w:tc>
          <w:tcPr>
            <w:tcW w:w="1770" w:type="dxa"/>
            <w:tcBorders>
              <w:tl2br w:val="nil"/>
              <w:tr2bl w:val="nil"/>
            </w:tcBorders>
            <w:vAlign w:val="center"/>
          </w:tcPr>
          <w:p w14:paraId="36479152">
            <w:pPr>
              <w:keepNext w:val="0"/>
              <w:keepLines w:val="0"/>
              <w:pageBreakBefore w:val="0"/>
              <w:widowControl/>
              <w:suppressLineNumbers w:val="0"/>
              <w:kinsoku/>
              <w:wordWrap/>
              <w:overflowPunct/>
              <w:topLinePunct/>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Ⅲ类标准值</w:t>
            </w:r>
          </w:p>
        </w:tc>
      </w:tr>
      <w:tr w14:paraId="2F7F43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8" w:hRule="atLeast"/>
        </w:trPr>
        <w:tc>
          <w:tcPr>
            <w:tcW w:w="1763" w:type="dxa"/>
            <w:tcBorders>
              <w:tl2br w:val="nil"/>
              <w:tr2bl w:val="nil"/>
            </w:tcBorders>
            <w:vAlign w:val="center"/>
          </w:tcPr>
          <w:p w14:paraId="2476FA9A">
            <w:pPr>
              <w:keepNext w:val="0"/>
              <w:keepLines w:val="0"/>
              <w:pageBreakBefore w:val="0"/>
              <w:widowControl/>
              <w:suppressLineNumbers w:val="0"/>
              <w:kinsoku/>
              <w:wordWrap/>
              <w:overflowPunct/>
              <w:topLinePunct/>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1</w:t>
            </w:r>
          </w:p>
        </w:tc>
        <w:tc>
          <w:tcPr>
            <w:tcW w:w="1767" w:type="dxa"/>
            <w:tcBorders>
              <w:tl2br w:val="nil"/>
              <w:tr2bl w:val="nil"/>
            </w:tcBorders>
            <w:vAlign w:val="center"/>
          </w:tcPr>
          <w:p w14:paraId="73C4C2B3">
            <w:pPr>
              <w:keepNext w:val="0"/>
              <w:keepLines w:val="0"/>
              <w:pageBreakBefore w:val="0"/>
              <w:widowControl/>
              <w:suppressLineNumbers w:val="0"/>
              <w:kinsoku/>
              <w:wordWrap/>
              <w:overflowPunct/>
              <w:topLinePunct/>
              <w:autoSpaceDE/>
              <w:autoSpaceDN/>
              <w:bidi w:val="0"/>
              <w:adjustRightInd/>
              <w:snapToGrid/>
              <w:spacing w:line="240" w:lineRule="auto"/>
              <w:ind w:left="0" w:leftChars="0"/>
              <w:jc w:val="center"/>
              <w:textAlignment w:val="bottom"/>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t>pH</w:t>
            </w:r>
          </w:p>
        </w:tc>
        <w:tc>
          <w:tcPr>
            <w:tcW w:w="1768" w:type="dxa"/>
            <w:tcBorders>
              <w:tl2br w:val="nil"/>
              <w:tr2bl w:val="nil"/>
            </w:tcBorders>
            <w:vAlign w:val="center"/>
          </w:tcPr>
          <w:p w14:paraId="2000C1DC">
            <w:pPr>
              <w:keepNext w:val="0"/>
              <w:keepLines w:val="0"/>
              <w:pageBreakBefore w:val="0"/>
              <w:widowControl/>
              <w:suppressLineNumbers w:val="0"/>
              <w:kinsoku/>
              <w:wordWrap/>
              <w:overflowPunct/>
              <w:topLinePunct/>
              <w:autoSpaceDE/>
              <w:autoSpaceDN/>
              <w:bidi w:val="0"/>
              <w:adjustRightInd/>
              <w:snapToGrid/>
              <w:spacing w:line="240" w:lineRule="auto"/>
              <w:ind w:left="0" w:leftChars="0"/>
              <w:jc w:val="center"/>
              <w:textAlignment w:val="bottom"/>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t>无量纲</w:t>
            </w:r>
          </w:p>
        </w:tc>
        <w:tc>
          <w:tcPr>
            <w:tcW w:w="1770" w:type="dxa"/>
            <w:tcBorders>
              <w:tl2br w:val="nil"/>
              <w:tr2bl w:val="nil"/>
            </w:tcBorders>
            <w:vAlign w:val="center"/>
          </w:tcPr>
          <w:p w14:paraId="4ABF86B5">
            <w:pPr>
              <w:keepNext w:val="0"/>
              <w:keepLines w:val="0"/>
              <w:pageBreakBefore w:val="0"/>
              <w:widowControl/>
              <w:suppressLineNumbers w:val="0"/>
              <w:kinsoku/>
              <w:wordWrap/>
              <w:overflowPunct/>
              <w:topLinePunct/>
              <w:autoSpaceDE/>
              <w:autoSpaceDN/>
              <w:bidi w:val="0"/>
              <w:adjustRightInd/>
              <w:snapToGrid/>
              <w:spacing w:line="240" w:lineRule="auto"/>
              <w:ind w:left="0" w:leftChars="0"/>
              <w:jc w:val="center"/>
              <w:textAlignment w:val="bottom"/>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t>6～9</w:t>
            </w:r>
          </w:p>
        </w:tc>
        <w:tc>
          <w:tcPr>
            <w:tcW w:w="1770" w:type="dxa"/>
            <w:tcBorders>
              <w:tl2br w:val="nil"/>
              <w:tr2bl w:val="nil"/>
            </w:tcBorders>
            <w:vAlign w:val="center"/>
          </w:tcPr>
          <w:p w14:paraId="2E378A74">
            <w:pPr>
              <w:keepNext w:val="0"/>
              <w:keepLines w:val="0"/>
              <w:pageBreakBefore w:val="0"/>
              <w:widowControl/>
              <w:suppressLineNumbers w:val="0"/>
              <w:kinsoku/>
              <w:wordWrap/>
              <w:overflowPunct/>
              <w:topLinePunct/>
              <w:autoSpaceDE/>
              <w:autoSpaceDN/>
              <w:bidi w:val="0"/>
              <w:adjustRightInd/>
              <w:snapToGrid/>
              <w:spacing w:line="240" w:lineRule="auto"/>
              <w:ind w:left="0" w:leftChars="0"/>
              <w:jc w:val="center"/>
              <w:textAlignment w:val="bottom"/>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t>6～9</w:t>
            </w:r>
          </w:p>
        </w:tc>
      </w:tr>
      <w:tr w14:paraId="6BFB4C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8" w:hRule="atLeast"/>
        </w:trPr>
        <w:tc>
          <w:tcPr>
            <w:tcW w:w="1763" w:type="dxa"/>
            <w:tcBorders>
              <w:tl2br w:val="nil"/>
              <w:tr2bl w:val="nil"/>
            </w:tcBorders>
            <w:vAlign w:val="center"/>
          </w:tcPr>
          <w:p w14:paraId="38F67D68">
            <w:pPr>
              <w:keepNext w:val="0"/>
              <w:keepLines w:val="0"/>
              <w:pageBreakBefore w:val="0"/>
              <w:widowControl/>
              <w:suppressLineNumbers w:val="0"/>
              <w:kinsoku/>
              <w:wordWrap/>
              <w:overflowPunct/>
              <w:topLinePunct/>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2</w:t>
            </w:r>
          </w:p>
        </w:tc>
        <w:tc>
          <w:tcPr>
            <w:tcW w:w="1767" w:type="dxa"/>
            <w:tcBorders>
              <w:tl2br w:val="nil"/>
              <w:tr2bl w:val="nil"/>
            </w:tcBorders>
            <w:vAlign w:val="center"/>
          </w:tcPr>
          <w:p w14:paraId="019624CD">
            <w:pPr>
              <w:keepNext w:val="0"/>
              <w:keepLines w:val="0"/>
              <w:pageBreakBefore w:val="0"/>
              <w:widowControl/>
              <w:suppressLineNumbers w:val="0"/>
              <w:kinsoku/>
              <w:wordWrap/>
              <w:overflowPunct/>
              <w:topLinePunct/>
              <w:autoSpaceDE/>
              <w:autoSpaceDN/>
              <w:bidi w:val="0"/>
              <w:adjustRightInd/>
              <w:snapToGrid/>
              <w:spacing w:line="240" w:lineRule="auto"/>
              <w:ind w:left="0" w:leftChars="0"/>
              <w:jc w:val="center"/>
              <w:textAlignment w:val="bottom"/>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t>总磷</w:t>
            </w:r>
          </w:p>
        </w:tc>
        <w:tc>
          <w:tcPr>
            <w:tcW w:w="1768" w:type="dxa"/>
            <w:tcBorders>
              <w:tl2br w:val="nil"/>
              <w:tr2bl w:val="nil"/>
            </w:tcBorders>
            <w:vAlign w:val="center"/>
          </w:tcPr>
          <w:p w14:paraId="77561CC5">
            <w:pPr>
              <w:keepNext w:val="0"/>
              <w:keepLines w:val="0"/>
              <w:pageBreakBefore w:val="0"/>
              <w:widowControl/>
              <w:suppressLineNumbers w:val="0"/>
              <w:kinsoku/>
              <w:wordWrap/>
              <w:overflowPunct/>
              <w:topLinePunct/>
              <w:autoSpaceDE/>
              <w:autoSpaceDN/>
              <w:bidi w:val="0"/>
              <w:adjustRightInd/>
              <w:snapToGrid/>
              <w:spacing w:line="240" w:lineRule="auto"/>
              <w:ind w:left="0" w:leftChars="0"/>
              <w:jc w:val="center"/>
              <w:textAlignment w:val="bottom"/>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t>mg/L</w:t>
            </w:r>
          </w:p>
        </w:tc>
        <w:tc>
          <w:tcPr>
            <w:tcW w:w="1770" w:type="dxa"/>
            <w:tcBorders>
              <w:tl2br w:val="nil"/>
              <w:tr2bl w:val="nil"/>
            </w:tcBorders>
            <w:vAlign w:val="center"/>
          </w:tcPr>
          <w:p w14:paraId="5CB918CA">
            <w:pPr>
              <w:keepNext w:val="0"/>
              <w:keepLines w:val="0"/>
              <w:pageBreakBefore w:val="0"/>
              <w:widowControl/>
              <w:suppressLineNumbers w:val="0"/>
              <w:kinsoku/>
              <w:wordWrap/>
              <w:overflowPunct/>
              <w:topLinePunct/>
              <w:autoSpaceDE/>
              <w:autoSpaceDN/>
              <w:bidi w:val="0"/>
              <w:adjustRightInd/>
              <w:snapToGrid/>
              <w:spacing w:line="240" w:lineRule="auto"/>
              <w:ind w:left="0" w:leftChars="0"/>
              <w:jc w:val="center"/>
              <w:textAlignment w:val="bottom"/>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t>0.1</w:t>
            </w:r>
          </w:p>
        </w:tc>
        <w:tc>
          <w:tcPr>
            <w:tcW w:w="1770" w:type="dxa"/>
            <w:tcBorders>
              <w:tl2br w:val="nil"/>
              <w:tr2bl w:val="nil"/>
            </w:tcBorders>
            <w:vAlign w:val="center"/>
          </w:tcPr>
          <w:p w14:paraId="362FBB23">
            <w:pPr>
              <w:keepNext w:val="0"/>
              <w:keepLines w:val="0"/>
              <w:pageBreakBefore w:val="0"/>
              <w:widowControl/>
              <w:suppressLineNumbers w:val="0"/>
              <w:kinsoku/>
              <w:wordWrap/>
              <w:overflowPunct/>
              <w:topLinePunct/>
              <w:autoSpaceDE/>
              <w:autoSpaceDN/>
              <w:bidi w:val="0"/>
              <w:adjustRightInd/>
              <w:snapToGrid/>
              <w:spacing w:line="240" w:lineRule="auto"/>
              <w:ind w:left="0" w:leftChars="0"/>
              <w:jc w:val="center"/>
              <w:textAlignment w:val="bottom"/>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t>0.2</w:t>
            </w:r>
          </w:p>
        </w:tc>
      </w:tr>
      <w:tr w14:paraId="28031D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8" w:hRule="atLeast"/>
        </w:trPr>
        <w:tc>
          <w:tcPr>
            <w:tcW w:w="1763" w:type="dxa"/>
            <w:tcBorders>
              <w:tl2br w:val="nil"/>
              <w:tr2bl w:val="nil"/>
            </w:tcBorders>
            <w:vAlign w:val="top"/>
          </w:tcPr>
          <w:p w14:paraId="0BCC4B87">
            <w:pPr>
              <w:keepNext w:val="0"/>
              <w:keepLines w:val="0"/>
              <w:pageBreakBefore w:val="0"/>
              <w:widowControl/>
              <w:suppressLineNumbers w:val="0"/>
              <w:kinsoku/>
              <w:wordWrap/>
              <w:overflowPunct/>
              <w:topLinePunct/>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3</w:t>
            </w:r>
          </w:p>
        </w:tc>
        <w:tc>
          <w:tcPr>
            <w:tcW w:w="1767" w:type="dxa"/>
            <w:tcBorders>
              <w:tl2br w:val="nil"/>
              <w:tr2bl w:val="nil"/>
            </w:tcBorders>
            <w:vAlign w:val="center"/>
          </w:tcPr>
          <w:p w14:paraId="00C66C2B">
            <w:pPr>
              <w:keepNext w:val="0"/>
              <w:keepLines w:val="0"/>
              <w:pageBreakBefore w:val="0"/>
              <w:widowControl/>
              <w:suppressLineNumbers w:val="0"/>
              <w:kinsoku/>
              <w:wordWrap/>
              <w:overflowPunct/>
              <w:topLinePunct/>
              <w:autoSpaceDE/>
              <w:autoSpaceDN/>
              <w:bidi w:val="0"/>
              <w:adjustRightInd/>
              <w:snapToGrid/>
              <w:spacing w:line="240" w:lineRule="auto"/>
              <w:ind w:left="0" w:leftChars="0"/>
              <w:jc w:val="center"/>
              <w:textAlignment w:val="bottom"/>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t>高锰酸盐指数</w:t>
            </w:r>
          </w:p>
        </w:tc>
        <w:tc>
          <w:tcPr>
            <w:tcW w:w="1768" w:type="dxa"/>
            <w:tcBorders>
              <w:tl2br w:val="nil"/>
              <w:tr2bl w:val="nil"/>
            </w:tcBorders>
            <w:vAlign w:val="center"/>
          </w:tcPr>
          <w:p w14:paraId="35761583">
            <w:pPr>
              <w:keepNext w:val="0"/>
              <w:keepLines w:val="0"/>
              <w:pageBreakBefore w:val="0"/>
              <w:widowControl/>
              <w:suppressLineNumbers w:val="0"/>
              <w:kinsoku/>
              <w:wordWrap/>
              <w:overflowPunct/>
              <w:topLinePunct/>
              <w:autoSpaceDE/>
              <w:autoSpaceDN/>
              <w:bidi w:val="0"/>
              <w:adjustRightInd/>
              <w:snapToGrid/>
              <w:spacing w:line="240" w:lineRule="auto"/>
              <w:ind w:left="0" w:leftChars="0"/>
              <w:jc w:val="center"/>
              <w:textAlignment w:val="bottom"/>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t>mg/L</w:t>
            </w:r>
          </w:p>
        </w:tc>
        <w:tc>
          <w:tcPr>
            <w:tcW w:w="1770" w:type="dxa"/>
            <w:tcBorders>
              <w:tl2br w:val="nil"/>
              <w:tr2bl w:val="nil"/>
            </w:tcBorders>
            <w:vAlign w:val="center"/>
          </w:tcPr>
          <w:p w14:paraId="1ED5D01D">
            <w:pPr>
              <w:keepNext w:val="0"/>
              <w:keepLines w:val="0"/>
              <w:pageBreakBefore w:val="0"/>
              <w:widowControl/>
              <w:suppressLineNumbers w:val="0"/>
              <w:kinsoku/>
              <w:wordWrap/>
              <w:overflowPunct/>
              <w:topLinePunct/>
              <w:autoSpaceDE/>
              <w:autoSpaceDN/>
              <w:bidi w:val="0"/>
              <w:adjustRightInd/>
              <w:snapToGrid/>
              <w:spacing w:line="240" w:lineRule="auto"/>
              <w:ind w:left="0" w:leftChars="0"/>
              <w:jc w:val="center"/>
              <w:textAlignment w:val="bottom"/>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t>4</w:t>
            </w:r>
          </w:p>
        </w:tc>
        <w:tc>
          <w:tcPr>
            <w:tcW w:w="1770" w:type="dxa"/>
            <w:tcBorders>
              <w:tl2br w:val="nil"/>
              <w:tr2bl w:val="nil"/>
            </w:tcBorders>
            <w:vAlign w:val="center"/>
          </w:tcPr>
          <w:p w14:paraId="4054504E">
            <w:pPr>
              <w:keepNext w:val="0"/>
              <w:keepLines w:val="0"/>
              <w:pageBreakBefore w:val="0"/>
              <w:widowControl/>
              <w:suppressLineNumbers w:val="0"/>
              <w:kinsoku/>
              <w:wordWrap/>
              <w:overflowPunct/>
              <w:topLinePunct/>
              <w:autoSpaceDE/>
              <w:autoSpaceDN/>
              <w:bidi w:val="0"/>
              <w:adjustRightInd/>
              <w:snapToGrid/>
              <w:spacing w:line="240" w:lineRule="auto"/>
              <w:ind w:left="0" w:leftChars="0"/>
              <w:jc w:val="center"/>
              <w:textAlignment w:val="bottom"/>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t>6</w:t>
            </w:r>
          </w:p>
        </w:tc>
      </w:tr>
      <w:tr w14:paraId="77D58C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8" w:hRule="atLeast"/>
        </w:trPr>
        <w:tc>
          <w:tcPr>
            <w:tcW w:w="1763" w:type="dxa"/>
            <w:tcBorders>
              <w:tl2br w:val="nil"/>
              <w:tr2bl w:val="nil"/>
            </w:tcBorders>
            <w:vAlign w:val="top"/>
          </w:tcPr>
          <w:p w14:paraId="4F071618">
            <w:pPr>
              <w:keepNext w:val="0"/>
              <w:keepLines w:val="0"/>
              <w:pageBreakBefore w:val="0"/>
              <w:widowControl/>
              <w:suppressLineNumbers w:val="0"/>
              <w:kinsoku/>
              <w:wordWrap/>
              <w:overflowPunct/>
              <w:topLinePunct/>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4</w:t>
            </w:r>
          </w:p>
        </w:tc>
        <w:tc>
          <w:tcPr>
            <w:tcW w:w="1767" w:type="dxa"/>
            <w:tcBorders>
              <w:tl2br w:val="nil"/>
              <w:tr2bl w:val="nil"/>
            </w:tcBorders>
            <w:vAlign w:val="center"/>
          </w:tcPr>
          <w:p w14:paraId="70DA1CE4">
            <w:pPr>
              <w:keepNext w:val="0"/>
              <w:keepLines w:val="0"/>
              <w:pageBreakBefore w:val="0"/>
              <w:widowControl/>
              <w:suppressLineNumbers w:val="0"/>
              <w:kinsoku/>
              <w:wordWrap/>
              <w:overflowPunct/>
              <w:topLinePunct/>
              <w:autoSpaceDE/>
              <w:autoSpaceDN/>
              <w:bidi w:val="0"/>
              <w:adjustRightInd/>
              <w:snapToGrid/>
              <w:spacing w:line="240" w:lineRule="auto"/>
              <w:ind w:left="0" w:leftChars="0"/>
              <w:jc w:val="center"/>
              <w:textAlignment w:val="bottom"/>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t>溶解氧</w:t>
            </w:r>
          </w:p>
        </w:tc>
        <w:tc>
          <w:tcPr>
            <w:tcW w:w="1768" w:type="dxa"/>
            <w:tcBorders>
              <w:tl2br w:val="nil"/>
              <w:tr2bl w:val="nil"/>
            </w:tcBorders>
            <w:vAlign w:val="center"/>
          </w:tcPr>
          <w:p w14:paraId="4A1A1F4A">
            <w:pPr>
              <w:keepNext w:val="0"/>
              <w:keepLines w:val="0"/>
              <w:pageBreakBefore w:val="0"/>
              <w:widowControl/>
              <w:suppressLineNumbers w:val="0"/>
              <w:kinsoku/>
              <w:wordWrap/>
              <w:overflowPunct/>
              <w:topLinePunct/>
              <w:autoSpaceDE/>
              <w:autoSpaceDN/>
              <w:bidi w:val="0"/>
              <w:adjustRightInd/>
              <w:snapToGrid/>
              <w:spacing w:line="240" w:lineRule="auto"/>
              <w:ind w:left="0" w:leftChars="0"/>
              <w:jc w:val="center"/>
              <w:textAlignment w:val="bottom"/>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t>mg/L</w:t>
            </w:r>
          </w:p>
        </w:tc>
        <w:tc>
          <w:tcPr>
            <w:tcW w:w="1770" w:type="dxa"/>
            <w:tcBorders>
              <w:tl2br w:val="nil"/>
              <w:tr2bl w:val="nil"/>
            </w:tcBorders>
            <w:vAlign w:val="center"/>
          </w:tcPr>
          <w:p w14:paraId="7A279CC1">
            <w:pPr>
              <w:keepNext w:val="0"/>
              <w:keepLines w:val="0"/>
              <w:pageBreakBefore w:val="0"/>
              <w:widowControl/>
              <w:suppressLineNumbers w:val="0"/>
              <w:kinsoku/>
              <w:wordWrap/>
              <w:overflowPunct/>
              <w:topLinePunct/>
              <w:autoSpaceDE/>
              <w:autoSpaceDN/>
              <w:bidi w:val="0"/>
              <w:adjustRightInd/>
              <w:snapToGrid/>
              <w:spacing w:line="240" w:lineRule="auto"/>
              <w:ind w:left="0" w:leftChars="0"/>
              <w:jc w:val="center"/>
              <w:textAlignment w:val="bottom"/>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t>6</w:t>
            </w:r>
          </w:p>
        </w:tc>
        <w:tc>
          <w:tcPr>
            <w:tcW w:w="1770" w:type="dxa"/>
            <w:tcBorders>
              <w:tl2br w:val="nil"/>
              <w:tr2bl w:val="nil"/>
            </w:tcBorders>
            <w:vAlign w:val="center"/>
          </w:tcPr>
          <w:p w14:paraId="429EE3C4">
            <w:pPr>
              <w:keepNext w:val="0"/>
              <w:keepLines w:val="0"/>
              <w:pageBreakBefore w:val="0"/>
              <w:widowControl/>
              <w:suppressLineNumbers w:val="0"/>
              <w:kinsoku/>
              <w:wordWrap/>
              <w:overflowPunct/>
              <w:topLinePunct/>
              <w:autoSpaceDE/>
              <w:autoSpaceDN/>
              <w:bidi w:val="0"/>
              <w:adjustRightInd/>
              <w:snapToGrid/>
              <w:spacing w:line="240" w:lineRule="auto"/>
              <w:ind w:left="0" w:leftChars="0"/>
              <w:jc w:val="center"/>
              <w:textAlignment w:val="bottom"/>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t>5</w:t>
            </w:r>
          </w:p>
        </w:tc>
      </w:tr>
      <w:tr w14:paraId="084CD6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8" w:hRule="atLeast"/>
        </w:trPr>
        <w:tc>
          <w:tcPr>
            <w:tcW w:w="1763" w:type="dxa"/>
            <w:tcBorders>
              <w:tl2br w:val="nil"/>
              <w:tr2bl w:val="nil"/>
            </w:tcBorders>
            <w:vAlign w:val="top"/>
          </w:tcPr>
          <w:p w14:paraId="27705CC5">
            <w:pPr>
              <w:keepNext w:val="0"/>
              <w:keepLines w:val="0"/>
              <w:pageBreakBefore w:val="0"/>
              <w:widowControl/>
              <w:suppressLineNumbers w:val="0"/>
              <w:kinsoku/>
              <w:wordWrap/>
              <w:overflowPunct/>
              <w:topLinePunct/>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5</w:t>
            </w:r>
          </w:p>
        </w:tc>
        <w:tc>
          <w:tcPr>
            <w:tcW w:w="1767" w:type="dxa"/>
            <w:tcBorders>
              <w:tl2br w:val="nil"/>
              <w:tr2bl w:val="nil"/>
            </w:tcBorders>
            <w:vAlign w:val="center"/>
          </w:tcPr>
          <w:p w14:paraId="4355DE43">
            <w:pPr>
              <w:keepNext w:val="0"/>
              <w:keepLines w:val="0"/>
              <w:pageBreakBefore w:val="0"/>
              <w:widowControl/>
              <w:suppressLineNumbers w:val="0"/>
              <w:kinsoku/>
              <w:wordWrap/>
              <w:overflowPunct/>
              <w:topLinePunct/>
              <w:autoSpaceDE/>
              <w:autoSpaceDN/>
              <w:bidi w:val="0"/>
              <w:adjustRightInd/>
              <w:snapToGrid/>
              <w:spacing w:line="240" w:lineRule="auto"/>
              <w:ind w:left="0" w:leftChars="0"/>
              <w:jc w:val="center"/>
              <w:textAlignment w:val="bottom"/>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t>氟化物</w:t>
            </w:r>
          </w:p>
        </w:tc>
        <w:tc>
          <w:tcPr>
            <w:tcW w:w="1768" w:type="dxa"/>
            <w:tcBorders>
              <w:tl2br w:val="nil"/>
              <w:tr2bl w:val="nil"/>
            </w:tcBorders>
            <w:vAlign w:val="center"/>
          </w:tcPr>
          <w:p w14:paraId="1CC6006F">
            <w:pPr>
              <w:keepNext w:val="0"/>
              <w:keepLines w:val="0"/>
              <w:pageBreakBefore w:val="0"/>
              <w:widowControl/>
              <w:suppressLineNumbers w:val="0"/>
              <w:kinsoku/>
              <w:wordWrap/>
              <w:overflowPunct/>
              <w:topLinePunct/>
              <w:autoSpaceDE/>
              <w:autoSpaceDN/>
              <w:bidi w:val="0"/>
              <w:adjustRightInd/>
              <w:snapToGrid/>
              <w:spacing w:line="240" w:lineRule="auto"/>
              <w:ind w:left="0" w:leftChars="0"/>
              <w:jc w:val="center"/>
              <w:textAlignment w:val="bottom"/>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t>mg/L</w:t>
            </w:r>
          </w:p>
        </w:tc>
        <w:tc>
          <w:tcPr>
            <w:tcW w:w="1770" w:type="dxa"/>
            <w:tcBorders>
              <w:tl2br w:val="nil"/>
              <w:tr2bl w:val="nil"/>
            </w:tcBorders>
            <w:vAlign w:val="center"/>
          </w:tcPr>
          <w:p w14:paraId="3C467958">
            <w:pPr>
              <w:keepNext w:val="0"/>
              <w:keepLines w:val="0"/>
              <w:pageBreakBefore w:val="0"/>
              <w:widowControl/>
              <w:suppressLineNumbers w:val="0"/>
              <w:kinsoku/>
              <w:wordWrap/>
              <w:overflowPunct/>
              <w:topLinePunct/>
              <w:autoSpaceDE/>
              <w:autoSpaceDN/>
              <w:bidi w:val="0"/>
              <w:adjustRightInd/>
              <w:snapToGrid/>
              <w:spacing w:line="240" w:lineRule="auto"/>
              <w:ind w:left="0" w:leftChars="0"/>
              <w:jc w:val="center"/>
              <w:textAlignment w:val="bottom"/>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t>1.0</w:t>
            </w:r>
          </w:p>
        </w:tc>
        <w:tc>
          <w:tcPr>
            <w:tcW w:w="1770" w:type="dxa"/>
            <w:tcBorders>
              <w:tl2br w:val="nil"/>
              <w:tr2bl w:val="nil"/>
            </w:tcBorders>
            <w:vAlign w:val="center"/>
          </w:tcPr>
          <w:p w14:paraId="0A1824DD">
            <w:pPr>
              <w:keepNext w:val="0"/>
              <w:keepLines w:val="0"/>
              <w:pageBreakBefore w:val="0"/>
              <w:widowControl/>
              <w:suppressLineNumbers w:val="0"/>
              <w:kinsoku/>
              <w:wordWrap/>
              <w:overflowPunct/>
              <w:topLinePunct/>
              <w:autoSpaceDE/>
              <w:autoSpaceDN/>
              <w:bidi w:val="0"/>
              <w:adjustRightInd/>
              <w:snapToGrid/>
              <w:spacing w:line="240" w:lineRule="auto"/>
              <w:ind w:left="0" w:leftChars="0"/>
              <w:jc w:val="center"/>
              <w:textAlignment w:val="bottom"/>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t>1.0</w:t>
            </w:r>
          </w:p>
        </w:tc>
      </w:tr>
      <w:tr w14:paraId="390022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8" w:hRule="atLeast"/>
        </w:trPr>
        <w:tc>
          <w:tcPr>
            <w:tcW w:w="1763" w:type="dxa"/>
            <w:tcBorders>
              <w:tl2br w:val="nil"/>
              <w:tr2bl w:val="nil"/>
            </w:tcBorders>
            <w:vAlign w:val="top"/>
          </w:tcPr>
          <w:p w14:paraId="2228EAB9">
            <w:pPr>
              <w:keepNext w:val="0"/>
              <w:keepLines w:val="0"/>
              <w:pageBreakBefore w:val="0"/>
              <w:widowControl/>
              <w:suppressLineNumbers w:val="0"/>
              <w:kinsoku/>
              <w:wordWrap/>
              <w:overflowPunct/>
              <w:topLinePunct/>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6</w:t>
            </w:r>
          </w:p>
        </w:tc>
        <w:tc>
          <w:tcPr>
            <w:tcW w:w="1767" w:type="dxa"/>
            <w:tcBorders>
              <w:tl2br w:val="nil"/>
              <w:tr2bl w:val="nil"/>
            </w:tcBorders>
            <w:vAlign w:val="center"/>
          </w:tcPr>
          <w:p w14:paraId="212E1A41">
            <w:pPr>
              <w:keepNext w:val="0"/>
              <w:keepLines w:val="0"/>
              <w:pageBreakBefore w:val="0"/>
              <w:widowControl/>
              <w:suppressLineNumbers w:val="0"/>
              <w:kinsoku/>
              <w:wordWrap/>
              <w:overflowPunct/>
              <w:topLinePunct/>
              <w:autoSpaceDE/>
              <w:autoSpaceDN/>
              <w:bidi w:val="0"/>
              <w:adjustRightInd/>
              <w:snapToGrid/>
              <w:spacing w:line="240" w:lineRule="auto"/>
              <w:ind w:left="0" w:leftChars="0"/>
              <w:jc w:val="center"/>
              <w:textAlignment w:val="bottom"/>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t>挥发酚</w:t>
            </w:r>
          </w:p>
        </w:tc>
        <w:tc>
          <w:tcPr>
            <w:tcW w:w="1768" w:type="dxa"/>
            <w:tcBorders>
              <w:tl2br w:val="nil"/>
              <w:tr2bl w:val="nil"/>
            </w:tcBorders>
            <w:vAlign w:val="center"/>
          </w:tcPr>
          <w:p w14:paraId="3D18996E">
            <w:pPr>
              <w:keepNext w:val="0"/>
              <w:keepLines w:val="0"/>
              <w:pageBreakBefore w:val="0"/>
              <w:widowControl/>
              <w:suppressLineNumbers w:val="0"/>
              <w:kinsoku/>
              <w:wordWrap/>
              <w:overflowPunct/>
              <w:topLinePunct/>
              <w:autoSpaceDE/>
              <w:autoSpaceDN/>
              <w:bidi w:val="0"/>
              <w:adjustRightInd/>
              <w:snapToGrid/>
              <w:spacing w:line="240" w:lineRule="auto"/>
              <w:ind w:left="0" w:leftChars="0"/>
              <w:jc w:val="center"/>
              <w:textAlignment w:val="bottom"/>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t>mg/L</w:t>
            </w:r>
          </w:p>
        </w:tc>
        <w:tc>
          <w:tcPr>
            <w:tcW w:w="1770" w:type="dxa"/>
            <w:tcBorders>
              <w:tl2br w:val="nil"/>
              <w:tr2bl w:val="nil"/>
            </w:tcBorders>
            <w:vAlign w:val="center"/>
          </w:tcPr>
          <w:p w14:paraId="2D5468D3">
            <w:pPr>
              <w:keepNext w:val="0"/>
              <w:keepLines w:val="0"/>
              <w:pageBreakBefore w:val="0"/>
              <w:widowControl/>
              <w:suppressLineNumbers w:val="0"/>
              <w:kinsoku/>
              <w:wordWrap/>
              <w:overflowPunct/>
              <w:topLinePunct/>
              <w:autoSpaceDE/>
              <w:autoSpaceDN/>
              <w:bidi w:val="0"/>
              <w:adjustRightInd/>
              <w:snapToGrid/>
              <w:spacing w:line="240" w:lineRule="auto"/>
              <w:ind w:left="0" w:leftChars="0"/>
              <w:jc w:val="center"/>
              <w:textAlignment w:val="bottom"/>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t>0.002</w:t>
            </w:r>
          </w:p>
        </w:tc>
        <w:tc>
          <w:tcPr>
            <w:tcW w:w="1770" w:type="dxa"/>
            <w:tcBorders>
              <w:tl2br w:val="nil"/>
              <w:tr2bl w:val="nil"/>
            </w:tcBorders>
            <w:vAlign w:val="center"/>
          </w:tcPr>
          <w:p w14:paraId="6714764A">
            <w:pPr>
              <w:keepNext w:val="0"/>
              <w:keepLines w:val="0"/>
              <w:pageBreakBefore w:val="0"/>
              <w:widowControl/>
              <w:suppressLineNumbers w:val="0"/>
              <w:kinsoku/>
              <w:wordWrap/>
              <w:overflowPunct/>
              <w:topLinePunct/>
              <w:autoSpaceDE/>
              <w:autoSpaceDN/>
              <w:bidi w:val="0"/>
              <w:adjustRightInd/>
              <w:snapToGrid/>
              <w:spacing w:line="240" w:lineRule="auto"/>
              <w:ind w:left="0" w:leftChars="0"/>
              <w:jc w:val="center"/>
              <w:textAlignment w:val="bottom"/>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t>0.005</w:t>
            </w:r>
          </w:p>
        </w:tc>
      </w:tr>
      <w:tr w14:paraId="1C9B9D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8" w:hRule="atLeast"/>
        </w:trPr>
        <w:tc>
          <w:tcPr>
            <w:tcW w:w="1763" w:type="dxa"/>
            <w:tcBorders>
              <w:tl2br w:val="nil"/>
              <w:tr2bl w:val="nil"/>
            </w:tcBorders>
            <w:vAlign w:val="top"/>
          </w:tcPr>
          <w:p w14:paraId="39FE375C">
            <w:pPr>
              <w:keepNext w:val="0"/>
              <w:keepLines w:val="0"/>
              <w:pageBreakBefore w:val="0"/>
              <w:widowControl/>
              <w:suppressLineNumbers w:val="0"/>
              <w:kinsoku/>
              <w:wordWrap/>
              <w:overflowPunct/>
              <w:topLinePunct/>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7</w:t>
            </w:r>
          </w:p>
        </w:tc>
        <w:tc>
          <w:tcPr>
            <w:tcW w:w="1767" w:type="dxa"/>
            <w:tcBorders>
              <w:tl2br w:val="nil"/>
              <w:tr2bl w:val="nil"/>
            </w:tcBorders>
            <w:vAlign w:val="center"/>
          </w:tcPr>
          <w:p w14:paraId="02BA5957">
            <w:pPr>
              <w:keepNext w:val="0"/>
              <w:keepLines w:val="0"/>
              <w:pageBreakBefore w:val="0"/>
              <w:widowControl/>
              <w:suppressLineNumbers w:val="0"/>
              <w:kinsoku/>
              <w:wordWrap/>
              <w:overflowPunct/>
              <w:topLinePunct/>
              <w:autoSpaceDE/>
              <w:autoSpaceDN/>
              <w:bidi w:val="0"/>
              <w:adjustRightInd/>
              <w:snapToGrid/>
              <w:spacing w:line="240" w:lineRule="auto"/>
              <w:ind w:left="0" w:leftChars="0"/>
              <w:jc w:val="center"/>
              <w:textAlignment w:val="bottom"/>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t>石油类</w:t>
            </w:r>
          </w:p>
        </w:tc>
        <w:tc>
          <w:tcPr>
            <w:tcW w:w="1768" w:type="dxa"/>
            <w:tcBorders>
              <w:tl2br w:val="nil"/>
              <w:tr2bl w:val="nil"/>
            </w:tcBorders>
            <w:vAlign w:val="center"/>
          </w:tcPr>
          <w:p w14:paraId="1FBF45EC">
            <w:pPr>
              <w:keepNext w:val="0"/>
              <w:keepLines w:val="0"/>
              <w:pageBreakBefore w:val="0"/>
              <w:widowControl/>
              <w:suppressLineNumbers w:val="0"/>
              <w:kinsoku/>
              <w:wordWrap/>
              <w:overflowPunct/>
              <w:topLinePunct/>
              <w:autoSpaceDE/>
              <w:autoSpaceDN/>
              <w:bidi w:val="0"/>
              <w:adjustRightInd/>
              <w:snapToGrid/>
              <w:spacing w:line="240" w:lineRule="auto"/>
              <w:ind w:left="0" w:leftChars="0"/>
              <w:jc w:val="center"/>
              <w:textAlignment w:val="bottom"/>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t>mg/L</w:t>
            </w:r>
          </w:p>
        </w:tc>
        <w:tc>
          <w:tcPr>
            <w:tcW w:w="1770" w:type="dxa"/>
            <w:tcBorders>
              <w:tl2br w:val="nil"/>
              <w:tr2bl w:val="nil"/>
            </w:tcBorders>
            <w:vAlign w:val="center"/>
          </w:tcPr>
          <w:p w14:paraId="687936BF">
            <w:pPr>
              <w:keepNext w:val="0"/>
              <w:keepLines w:val="0"/>
              <w:pageBreakBefore w:val="0"/>
              <w:widowControl/>
              <w:suppressLineNumbers w:val="0"/>
              <w:kinsoku/>
              <w:wordWrap/>
              <w:overflowPunct/>
              <w:topLinePunct/>
              <w:autoSpaceDE/>
              <w:autoSpaceDN/>
              <w:bidi w:val="0"/>
              <w:adjustRightInd/>
              <w:snapToGrid/>
              <w:spacing w:line="240" w:lineRule="auto"/>
              <w:ind w:left="0" w:leftChars="0"/>
              <w:jc w:val="center"/>
              <w:textAlignment w:val="bottom"/>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t>0.05</w:t>
            </w:r>
          </w:p>
        </w:tc>
        <w:tc>
          <w:tcPr>
            <w:tcW w:w="1770" w:type="dxa"/>
            <w:tcBorders>
              <w:tl2br w:val="nil"/>
              <w:tr2bl w:val="nil"/>
            </w:tcBorders>
            <w:vAlign w:val="center"/>
          </w:tcPr>
          <w:p w14:paraId="3CA4246C">
            <w:pPr>
              <w:keepNext w:val="0"/>
              <w:keepLines w:val="0"/>
              <w:pageBreakBefore w:val="0"/>
              <w:widowControl/>
              <w:suppressLineNumbers w:val="0"/>
              <w:kinsoku/>
              <w:wordWrap/>
              <w:overflowPunct/>
              <w:topLinePunct/>
              <w:autoSpaceDE/>
              <w:autoSpaceDN/>
              <w:bidi w:val="0"/>
              <w:adjustRightInd/>
              <w:snapToGrid/>
              <w:spacing w:line="240" w:lineRule="auto"/>
              <w:ind w:left="0" w:leftChars="0"/>
              <w:jc w:val="center"/>
              <w:textAlignment w:val="bottom"/>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t>0.05</w:t>
            </w:r>
          </w:p>
        </w:tc>
      </w:tr>
      <w:tr w14:paraId="575EF3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8" w:hRule="atLeast"/>
        </w:trPr>
        <w:tc>
          <w:tcPr>
            <w:tcW w:w="1763" w:type="dxa"/>
            <w:tcBorders>
              <w:tl2br w:val="nil"/>
              <w:tr2bl w:val="nil"/>
            </w:tcBorders>
            <w:vAlign w:val="top"/>
          </w:tcPr>
          <w:p w14:paraId="26D26749">
            <w:pPr>
              <w:keepNext w:val="0"/>
              <w:keepLines w:val="0"/>
              <w:pageBreakBefore w:val="0"/>
              <w:widowControl/>
              <w:suppressLineNumbers w:val="0"/>
              <w:kinsoku/>
              <w:wordWrap/>
              <w:overflowPunct/>
              <w:topLinePunct/>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8</w:t>
            </w:r>
          </w:p>
        </w:tc>
        <w:tc>
          <w:tcPr>
            <w:tcW w:w="1767" w:type="dxa"/>
            <w:tcBorders>
              <w:tl2br w:val="nil"/>
              <w:tr2bl w:val="nil"/>
            </w:tcBorders>
            <w:vAlign w:val="center"/>
          </w:tcPr>
          <w:p w14:paraId="011CE9F5">
            <w:pPr>
              <w:keepNext w:val="0"/>
              <w:keepLines w:val="0"/>
              <w:pageBreakBefore w:val="0"/>
              <w:widowControl/>
              <w:suppressLineNumbers w:val="0"/>
              <w:kinsoku/>
              <w:wordWrap/>
              <w:overflowPunct/>
              <w:topLinePunct/>
              <w:autoSpaceDE/>
              <w:autoSpaceDN/>
              <w:bidi w:val="0"/>
              <w:adjustRightInd/>
              <w:snapToGrid/>
              <w:spacing w:line="240" w:lineRule="auto"/>
              <w:ind w:left="0" w:leftChars="0"/>
              <w:jc w:val="center"/>
              <w:textAlignment w:val="bottom"/>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t>氨氨</w:t>
            </w:r>
          </w:p>
        </w:tc>
        <w:tc>
          <w:tcPr>
            <w:tcW w:w="1768" w:type="dxa"/>
            <w:tcBorders>
              <w:tl2br w:val="nil"/>
              <w:tr2bl w:val="nil"/>
            </w:tcBorders>
            <w:vAlign w:val="center"/>
          </w:tcPr>
          <w:p w14:paraId="18796C19">
            <w:pPr>
              <w:keepNext w:val="0"/>
              <w:keepLines w:val="0"/>
              <w:pageBreakBefore w:val="0"/>
              <w:widowControl/>
              <w:suppressLineNumbers w:val="0"/>
              <w:kinsoku/>
              <w:wordWrap/>
              <w:overflowPunct/>
              <w:topLinePunct/>
              <w:autoSpaceDE/>
              <w:autoSpaceDN/>
              <w:bidi w:val="0"/>
              <w:adjustRightInd/>
              <w:snapToGrid/>
              <w:spacing w:line="240" w:lineRule="auto"/>
              <w:ind w:left="0" w:leftChars="0"/>
              <w:jc w:val="center"/>
              <w:textAlignment w:val="bottom"/>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t>mg/L</w:t>
            </w:r>
          </w:p>
        </w:tc>
        <w:tc>
          <w:tcPr>
            <w:tcW w:w="1770" w:type="dxa"/>
            <w:tcBorders>
              <w:tl2br w:val="nil"/>
              <w:tr2bl w:val="nil"/>
            </w:tcBorders>
            <w:vAlign w:val="center"/>
          </w:tcPr>
          <w:p w14:paraId="22645BD4">
            <w:pPr>
              <w:keepNext w:val="0"/>
              <w:keepLines w:val="0"/>
              <w:pageBreakBefore w:val="0"/>
              <w:widowControl/>
              <w:suppressLineNumbers w:val="0"/>
              <w:kinsoku/>
              <w:wordWrap/>
              <w:overflowPunct/>
              <w:topLinePunct/>
              <w:autoSpaceDE/>
              <w:autoSpaceDN/>
              <w:bidi w:val="0"/>
              <w:adjustRightInd/>
              <w:snapToGrid/>
              <w:spacing w:line="240" w:lineRule="auto"/>
              <w:ind w:left="0" w:leftChars="0"/>
              <w:jc w:val="center"/>
              <w:textAlignment w:val="bottom"/>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t>0.5</w:t>
            </w:r>
          </w:p>
        </w:tc>
        <w:tc>
          <w:tcPr>
            <w:tcW w:w="1770" w:type="dxa"/>
            <w:tcBorders>
              <w:tl2br w:val="nil"/>
              <w:tr2bl w:val="nil"/>
            </w:tcBorders>
            <w:vAlign w:val="center"/>
          </w:tcPr>
          <w:p w14:paraId="21F71E3E">
            <w:pPr>
              <w:keepNext w:val="0"/>
              <w:keepLines w:val="0"/>
              <w:pageBreakBefore w:val="0"/>
              <w:widowControl/>
              <w:suppressLineNumbers w:val="0"/>
              <w:kinsoku/>
              <w:wordWrap/>
              <w:overflowPunct/>
              <w:topLinePunct/>
              <w:autoSpaceDE/>
              <w:autoSpaceDN/>
              <w:bidi w:val="0"/>
              <w:adjustRightInd/>
              <w:snapToGrid/>
              <w:spacing w:line="240" w:lineRule="auto"/>
              <w:ind w:left="0" w:leftChars="0"/>
              <w:jc w:val="center"/>
              <w:textAlignment w:val="bottom"/>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t>1.0</w:t>
            </w:r>
          </w:p>
        </w:tc>
      </w:tr>
      <w:tr w14:paraId="45EA85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8" w:hRule="atLeast"/>
        </w:trPr>
        <w:tc>
          <w:tcPr>
            <w:tcW w:w="1763" w:type="dxa"/>
            <w:tcBorders>
              <w:tl2br w:val="nil"/>
              <w:tr2bl w:val="nil"/>
            </w:tcBorders>
            <w:vAlign w:val="center"/>
          </w:tcPr>
          <w:p w14:paraId="77506F4E">
            <w:pPr>
              <w:keepNext w:val="0"/>
              <w:keepLines w:val="0"/>
              <w:pageBreakBefore w:val="0"/>
              <w:widowControl/>
              <w:suppressLineNumbers w:val="0"/>
              <w:kinsoku/>
              <w:wordWrap/>
              <w:overflowPunct/>
              <w:topLinePunct/>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9</w:t>
            </w:r>
          </w:p>
        </w:tc>
        <w:tc>
          <w:tcPr>
            <w:tcW w:w="1767" w:type="dxa"/>
            <w:tcBorders>
              <w:tl2br w:val="nil"/>
              <w:tr2bl w:val="nil"/>
            </w:tcBorders>
            <w:vAlign w:val="center"/>
          </w:tcPr>
          <w:p w14:paraId="0C37F95A">
            <w:pPr>
              <w:keepNext w:val="0"/>
              <w:keepLines w:val="0"/>
              <w:pageBreakBefore w:val="0"/>
              <w:widowControl/>
              <w:suppressLineNumbers w:val="0"/>
              <w:kinsoku/>
              <w:wordWrap/>
              <w:overflowPunct/>
              <w:topLinePunct/>
              <w:autoSpaceDE/>
              <w:autoSpaceDN/>
              <w:bidi w:val="0"/>
              <w:adjustRightInd/>
              <w:snapToGrid/>
              <w:spacing w:line="240" w:lineRule="auto"/>
              <w:ind w:left="0" w:leftChars="0"/>
              <w:jc w:val="center"/>
              <w:textAlignment w:val="bottom"/>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t>五日生化需氧量</w:t>
            </w:r>
          </w:p>
        </w:tc>
        <w:tc>
          <w:tcPr>
            <w:tcW w:w="1768" w:type="dxa"/>
            <w:tcBorders>
              <w:tl2br w:val="nil"/>
              <w:tr2bl w:val="nil"/>
            </w:tcBorders>
            <w:vAlign w:val="center"/>
          </w:tcPr>
          <w:p w14:paraId="538563E6">
            <w:pPr>
              <w:keepNext w:val="0"/>
              <w:keepLines w:val="0"/>
              <w:pageBreakBefore w:val="0"/>
              <w:widowControl/>
              <w:suppressLineNumbers w:val="0"/>
              <w:kinsoku/>
              <w:wordWrap/>
              <w:overflowPunct/>
              <w:topLinePunct/>
              <w:autoSpaceDE/>
              <w:autoSpaceDN/>
              <w:bidi w:val="0"/>
              <w:adjustRightInd/>
              <w:snapToGrid/>
              <w:spacing w:line="240" w:lineRule="auto"/>
              <w:ind w:left="0" w:leftChars="0"/>
              <w:jc w:val="center"/>
              <w:textAlignment w:val="bottom"/>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t>mg/L</w:t>
            </w:r>
          </w:p>
        </w:tc>
        <w:tc>
          <w:tcPr>
            <w:tcW w:w="1770" w:type="dxa"/>
            <w:tcBorders>
              <w:tl2br w:val="nil"/>
              <w:tr2bl w:val="nil"/>
            </w:tcBorders>
            <w:vAlign w:val="center"/>
          </w:tcPr>
          <w:p w14:paraId="16288675">
            <w:pPr>
              <w:keepNext w:val="0"/>
              <w:keepLines w:val="0"/>
              <w:pageBreakBefore w:val="0"/>
              <w:widowControl/>
              <w:suppressLineNumbers w:val="0"/>
              <w:kinsoku/>
              <w:wordWrap/>
              <w:overflowPunct/>
              <w:topLinePunct/>
              <w:autoSpaceDE/>
              <w:autoSpaceDN/>
              <w:bidi w:val="0"/>
              <w:adjustRightInd/>
              <w:snapToGrid/>
              <w:spacing w:line="240" w:lineRule="auto"/>
              <w:ind w:left="0" w:leftChars="0"/>
              <w:jc w:val="center"/>
              <w:textAlignment w:val="bottom"/>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t>3</w:t>
            </w:r>
          </w:p>
        </w:tc>
        <w:tc>
          <w:tcPr>
            <w:tcW w:w="1770" w:type="dxa"/>
            <w:tcBorders>
              <w:tl2br w:val="nil"/>
              <w:tr2bl w:val="nil"/>
            </w:tcBorders>
            <w:vAlign w:val="center"/>
          </w:tcPr>
          <w:p w14:paraId="6E960AA1">
            <w:pPr>
              <w:keepNext w:val="0"/>
              <w:keepLines w:val="0"/>
              <w:pageBreakBefore w:val="0"/>
              <w:widowControl/>
              <w:suppressLineNumbers w:val="0"/>
              <w:kinsoku/>
              <w:wordWrap/>
              <w:overflowPunct/>
              <w:topLinePunct/>
              <w:autoSpaceDE/>
              <w:autoSpaceDN/>
              <w:bidi w:val="0"/>
              <w:adjustRightInd/>
              <w:snapToGrid/>
              <w:spacing w:line="240" w:lineRule="auto"/>
              <w:ind w:left="0" w:leftChars="0"/>
              <w:jc w:val="center"/>
              <w:textAlignment w:val="bottom"/>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t>4</w:t>
            </w:r>
          </w:p>
        </w:tc>
      </w:tr>
      <w:tr w14:paraId="12A45D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8" w:hRule="atLeast"/>
        </w:trPr>
        <w:tc>
          <w:tcPr>
            <w:tcW w:w="1763" w:type="dxa"/>
            <w:tcBorders>
              <w:tl2br w:val="nil"/>
              <w:tr2bl w:val="nil"/>
            </w:tcBorders>
            <w:vAlign w:val="center"/>
          </w:tcPr>
          <w:p w14:paraId="730B031D">
            <w:pPr>
              <w:keepNext w:val="0"/>
              <w:keepLines w:val="0"/>
              <w:pageBreakBefore w:val="0"/>
              <w:widowControl/>
              <w:suppressLineNumbers w:val="0"/>
              <w:kinsoku/>
              <w:wordWrap/>
              <w:overflowPunct/>
              <w:topLinePunct/>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10</w:t>
            </w:r>
          </w:p>
        </w:tc>
        <w:tc>
          <w:tcPr>
            <w:tcW w:w="1767" w:type="dxa"/>
            <w:tcBorders>
              <w:tl2br w:val="nil"/>
              <w:tr2bl w:val="nil"/>
            </w:tcBorders>
            <w:vAlign w:val="center"/>
          </w:tcPr>
          <w:p w14:paraId="61BB5045">
            <w:pPr>
              <w:keepNext w:val="0"/>
              <w:keepLines w:val="0"/>
              <w:pageBreakBefore w:val="0"/>
              <w:widowControl/>
              <w:suppressLineNumbers w:val="0"/>
              <w:kinsoku/>
              <w:wordWrap/>
              <w:overflowPunct/>
              <w:topLinePunct/>
              <w:autoSpaceDE/>
              <w:autoSpaceDN/>
              <w:bidi w:val="0"/>
              <w:adjustRightInd/>
              <w:snapToGrid/>
              <w:spacing w:line="240" w:lineRule="auto"/>
              <w:ind w:left="0" w:leftChars="0"/>
              <w:jc w:val="center"/>
              <w:textAlignment w:val="bottom"/>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t>铜</w:t>
            </w:r>
          </w:p>
        </w:tc>
        <w:tc>
          <w:tcPr>
            <w:tcW w:w="1768" w:type="dxa"/>
            <w:tcBorders>
              <w:tl2br w:val="nil"/>
              <w:tr2bl w:val="nil"/>
            </w:tcBorders>
            <w:vAlign w:val="center"/>
          </w:tcPr>
          <w:p w14:paraId="5BA9704C">
            <w:pPr>
              <w:keepNext w:val="0"/>
              <w:keepLines w:val="0"/>
              <w:pageBreakBefore w:val="0"/>
              <w:widowControl/>
              <w:suppressLineNumbers w:val="0"/>
              <w:kinsoku/>
              <w:wordWrap/>
              <w:overflowPunct/>
              <w:topLinePunct/>
              <w:autoSpaceDE/>
              <w:autoSpaceDN/>
              <w:bidi w:val="0"/>
              <w:adjustRightInd/>
              <w:snapToGrid/>
              <w:spacing w:line="240" w:lineRule="auto"/>
              <w:ind w:left="0" w:leftChars="0"/>
              <w:jc w:val="center"/>
              <w:textAlignment w:val="bottom"/>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t>mg/L</w:t>
            </w:r>
          </w:p>
        </w:tc>
        <w:tc>
          <w:tcPr>
            <w:tcW w:w="1770" w:type="dxa"/>
            <w:tcBorders>
              <w:tl2br w:val="nil"/>
              <w:tr2bl w:val="nil"/>
            </w:tcBorders>
            <w:vAlign w:val="center"/>
          </w:tcPr>
          <w:p w14:paraId="46E350FD">
            <w:pPr>
              <w:keepNext w:val="0"/>
              <w:keepLines w:val="0"/>
              <w:pageBreakBefore w:val="0"/>
              <w:widowControl/>
              <w:suppressLineNumbers w:val="0"/>
              <w:kinsoku/>
              <w:wordWrap/>
              <w:overflowPunct/>
              <w:topLinePunct/>
              <w:autoSpaceDE/>
              <w:autoSpaceDN/>
              <w:bidi w:val="0"/>
              <w:adjustRightInd/>
              <w:snapToGrid/>
              <w:spacing w:line="240" w:lineRule="auto"/>
              <w:ind w:left="0" w:leftChars="0"/>
              <w:jc w:val="center"/>
              <w:textAlignment w:val="bottom"/>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t>1.0</w:t>
            </w:r>
          </w:p>
        </w:tc>
        <w:tc>
          <w:tcPr>
            <w:tcW w:w="1770" w:type="dxa"/>
            <w:tcBorders>
              <w:tl2br w:val="nil"/>
              <w:tr2bl w:val="nil"/>
            </w:tcBorders>
            <w:vAlign w:val="center"/>
          </w:tcPr>
          <w:p w14:paraId="3E8A2D23">
            <w:pPr>
              <w:keepNext w:val="0"/>
              <w:keepLines w:val="0"/>
              <w:pageBreakBefore w:val="0"/>
              <w:widowControl/>
              <w:suppressLineNumbers w:val="0"/>
              <w:kinsoku/>
              <w:wordWrap/>
              <w:overflowPunct/>
              <w:topLinePunct/>
              <w:autoSpaceDE/>
              <w:autoSpaceDN/>
              <w:bidi w:val="0"/>
              <w:adjustRightInd/>
              <w:snapToGrid/>
              <w:spacing w:line="240" w:lineRule="auto"/>
              <w:ind w:left="0" w:leftChars="0"/>
              <w:jc w:val="center"/>
              <w:textAlignment w:val="bottom"/>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t>1.0</w:t>
            </w:r>
          </w:p>
        </w:tc>
      </w:tr>
      <w:tr w14:paraId="45E6E6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8" w:hRule="atLeast"/>
        </w:trPr>
        <w:tc>
          <w:tcPr>
            <w:tcW w:w="1763" w:type="dxa"/>
            <w:tcBorders>
              <w:tl2br w:val="nil"/>
              <w:tr2bl w:val="nil"/>
            </w:tcBorders>
            <w:vAlign w:val="center"/>
          </w:tcPr>
          <w:p w14:paraId="592E52CA">
            <w:pPr>
              <w:keepNext w:val="0"/>
              <w:keepLines w:val="0"/>
              <w:pageBreakBefore w:val="0"/>
              <w:widowControl/>
              <w:suppressLineNumbers w:val="0"/>
              <w:kinsoku/>
              <w:wordWrap/>
              <w:overflowPunct/>
              <w:topLinePunct/>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11</w:t>
            </w:r>
          </w:p>
        </w:tc>
        <w:tc>
          <w:tcPr>
            <w:tcW w:w="1767" w:type="dxa"/>
            <w:tcBorders>
              <w:tl2br w:val="nil"/>
              <w:tr2bl w:val="nil"/>
            </w:tcBorders>
            <w:vAlign w:val="center"/>
          </w:tcPr>
          <w:p w14:paraId="3DBE37AB">
            <w:pPr>
              <w:keepNext w:val="0"/>
              <w:keepLines w:val="0"/>
              <w:pageBreakBefore w:val="0"/>
              <w:widowControl/>
              <w:suppressLineNumbers w:val="0"/>
              <w:kinsoku/>
              <w:wordWrap/>
              <w:overflowPunct/>
              <w:topLinePunct/>
              <w:autoSpaceDE/>
              <w:autoSpaceDN/>
              <w:bidi w:val="0"/>
              <w:adjustRightInd/>
              <w:snapToGrid/>
              <w:spacing w:line="240" w:lineRule="auto"/>
              <w:ind w:left="0" w:leftChars="0"/>
              <w:jc w:val="center"/>
              <w:textAlignment w:val="bottom"/>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t>锌</w:t>
            </w:r>
          </w:p>
        </w:tc>
        <w:tc>
          <w:tcPr>
            <w:tcW w:w="1768" w:type="dxa"/>
            <w:tcBorders>
              <w:tl2br w:val="nil"/>
              <w:tr2bl w:val="nil"/>
            </w:tcBorders>
            <w:vAlign w:val="center"/>
          </w:tcPr>
          <w:p w14:paraId="6ABBACFD">
            <w:pPr>
              <w:keepNext w:val="0"/>
              <w:keepLines w:val="0"/>
              <w:pageBreakBefore w:val="0"/>
              <w:widowControl/>
              <w:suppressLineNumbers w:val="0"/>
              <w:kinsoku/>
              <w:wordWrap/>
              <w:overflowPunct/>
              <w:topLinePunct/>
              <w:autoSpaceDE/>
              <w:autoSpaceDN/>
              <w:bidi w:val="0"/>
              <w:adjustRightInd/>
              <w:snapToGrid/>
              <w:spacing w:line="240" w:lineRule="auto"/>
              <w:ind w:left="0" w:leftChars="0"/>
              <w:jc w:val="center"/>
              <w:textAlignment w:val="bottom"/>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t>mg/L</w:t>
            </w:r>
          </w:p>
        </w:tc>
        <w:tc>
          <w:tcPr>
            <w:tcW w:w="1770" w:type="dxa"/>
            <w:tcBorders>
              <w:tl2br w:val="nil"/>
              <w:tr2bl w:val="nil"/>
            </w:tcBorders>
            <w:vAlign w:val="center"/>
          </w:tcPr>
          <w:p w14:paraId="40F11148">
            <w:pPr>
              <w:keepNext w:val="0"/>
              <w:keepLines w:val="0"/>
              <w:pageBreakBefore w:val="0"/>
              <w:widowControl/>
              <w:suppressLineNumbers w:val="0"/>
              <w:kinsoku/>
              <w:wordWrap/>
              <w:overflowPunct/>
              <w:topLinePunct/>
              <w:autoSpaceDE/>
              <w:autoSpaceDN/>
              <w:bidi w:val="0"/>
              <w:adjustRightInd/>
              <w:snapToGrid/>
              <w:spacing w:line="240" w:lineRule="auto"/>
              <w:ind w:left="0" w:leftChars="0"/>
              <w:jc w:val="center"/>
              <w:textAlignment w:val="bottom"/>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t>1.0</w:t>
            </w:r>
          </w:p>
        </w:tc>
        <w:tc>
          <w:tcPr>
            <w:tcW w:w="1770" w:type="dxa"/>
            <w:tcBorders>
              <w:tl2br w:val="nil"/>
              <w:tr2bl w:val="nil"/>
            </w:tcBorders>
            <w:vAlign w:val="center"/>
          </w:tcPr>
          <w:p w14:paraId="292A746F">
            <w:pPr>
              <w:keepNext w:val="0"/>
              <w:keepLines w:val="0"/>
              <w:pageBreakBefore w:val="0"/>
              <w:widowControl/>
              <w:suppressLineNumbers w:val="0"/>
              <w:kinsoku/>
              <w:wordWrap/>
              <w:overflowPunct/>
              <w:topLinePunct/>
              <w:autoSpaceDE/>
              <w:autoSpaceDN/>
              <w:bidi w:val="0"/>
              <w:adjustRightInd/>
              <w:snapToGrid/>
              <w:spacing w:line="240" w:lineRule="auto"/>
              <w:ind w:left="0" w:leftChars="0"/>
              <w:jc w:val="center"/>
              <w:textAlignment w:val="bottom"/>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t>1.0</w:t>
            </w:r>
          </w:p>
        </w:tc>
      </w:tr>
      <w:tr w14:paraId="00AF3B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8" w:hRule="atLeast"/>
        </w:trPr>
        <w:tc>
          <w:tcPr>
            <w:tcW w:w="1763" w:type="dxa"/>
            <w:tcBorders>
              <w:tl2br w:val="nil"/>
              <w:tr2bl w:val="nil"/>
            </w:tcBorders>
            <w:vAlign w:val="center"/>
          </w:tcPr>
          <w:p w14:paraId="5A77E814">
            <w:pPr>
              <w:keepNext w:val="0"/>
              <w:keepLines w:val="0"/>
              <w:pageBreakBefore w:val="0"/>
              <w:widowControl/>
              <w:suppressLineNumbers w:val="0"/>
              <w:kinsoku/>
              <w:wordWrap/>
              <w:overflowPunct/>
              <w:topLinePunct/>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12</w:t>
            </w:r>
          </w:p>
        </w:tc>
        <w:tc>
          <w:tcPr>
            <w:tcW w:w="1767" w:type="dxa"/>
            <w:tcBorders>
              <w:tl2br w:val="nil"/>
              <w:tr2bl w:val="nil"/>
            </w:tcBorders>
            <w:vAlign w:val="center"/>
          </w:tcPr>
          <w:p w14:paraId="2452D684">
            <w:pPr>
              <w:keepNext w:val="0"/>
              <w:keepLines w:val="0"/>
              <w:pageBreakBefore w:val="0"/>
              <w:widowControl/>
              <w:suppressLineNumbers w:val="0"/>
              <w:kinsoku/>
              <w:wordWrap/>
              <w:overflowPunct/>
              <w:topLinePunct/>
              <w:autoSpaceDE/>
              <w:autoSpaceDN/>
              <w:bidi w:val="0"/>
              <w:adjustRightInd/>
              <w:snapToGrid/>
              <w:spacing w:line="240" w:lineRule="auto"/>
              <w:ind w:left="0" w:leftChars="0"/>
              <w:jc w:val="center"/>
              <w:textAlignment w:val="bottom"/>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t>硒</w:t>
            </w:r>
          </w:p>
        </w:tc>
        <w:tc>
          <w:tcPr>
            <w:tcW w:w="1768" w:type="dxa"/>
            <w:tcBorders>
              <w:tl2br w:val="nil"/>
              <w:tr2bl w:val="nil"/>
            </w:tcBorders>
            <w:vAlign w:val="center"/>
          </w:tcPr>
          <w:p w14:paraId="69B0E8DF">
            <w:pPr>
              <w:keepNext w:val="0"/>
              <w:keepLines w:val="0"/>
              <w:pageBreakBefore w:val="0"/>
              <w:widowControl/>
              <w:suppressLineNumbers w:val="0"/>
              <w:kinsoku/>
              <w:wordWrap/>
              <w:overflowPunct/>
              <w:topLinePunct/>
              <w:autoSpaceDE/>
              <w:autoSpaceDN/>
              <w:bidi w:val="0"/>
              <w:adjustRightInd/>
              <w:snapToGrid/>
              <w:spacing w:line="240" w:lineRule="auto"/>
              <w:ind w:left="0" w:leftChars="0"/>
              <w:jc w:val="center"/>
              <w:textAlignment w:val="bottom"/>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t>mg/L</w:t>
            </w:r>
          </w:p>
        </w:tc>
        <w:tc>
          <w:tcPr>
            <w:tcW w:w="1770" w:type="dxa"/>
            <w:tcBorders>
              <w:tl2br w:val="nil"/>
              <w:tr2bl w:val="nil"/>
            </w:tcBorders>
            <w:vAlign w:val="center"/>
          </w:tcPr>
          <w:p w14:paraId="088F4498">
            <w:pPr>
              <w:keepNext w:val="0"/>
              <w:keepLines w:val="0"/>
              <w:pageBreakBefore w:val="0"/>
              <w:widowControl/>
              <w:suppressLineNumbers w:val="0"/>
              <w:kinsoku/>
              <w:wordWrap/>
              <w:overflowPunct/>
              <w:topLinePunct/>
              <w:autoSpaceDE/>
              <w:autoSpaceDN/>
              <w:bidi w:val="0"/>
              <w:adjustRightInd/>
              <w:snapToGrid/>
              <w:spacing w:line="240" w:lineRule="auto"/>
              <w:ind w:left="0" w:leftChars="0"/>
              <w:jc w:val="center"/>
              <w:textAlignment w:val="bottom"/>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t>0.01</w:t>
            </w:r>
          </w:p>
        </w:tc>
        <w:tc>
          <w:tcPr>
            <w:tcW w:w="1770" w:type="dxa"/>
            <w:tcBorders>
              <w:tl2br w:val="nil"/>
              <w:tr2bl w:val="nil"/>
            </w:tcBorders>
            <w:vAlign w:val="center"/>
          </w:tcPr>
          <w:p w14:paraId="509D7D76">
            <w:pPr>
              <w:keepNext w:val="0"/>
              <w:keepLines w:val="0"/>
              <w:pageBreakBefore w:val="0"/>
              <w:widowControl/>
              <w:suppressLineNumbers w:val="0"/>
              <w:kinsoku/>
              <w:wordWrap/>
              <w:overflowPunct/>
              <w:topLinePunct/>
              <w:autoSpaceDE/>
              <w:autoSpaceDN/>
              <w:bidi w:val="0"/>
              <w:adjustRightInd/>
              <w:snapToGrid/>
              <w:spacing w:line="240" w:lineRule="auto"/>
              <w:ind w:left="0" w:leftChars="0"/>
              <w:jc w:val="center"/>
              <w:textAlignment w:val="bottom"/>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t>0.01</w:t>
            </w:r>
          </w:p>
        </w:tc>
      </w:tr>
      <w:tr w14:paraId="73FB32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8" w:hRule="atLeast"/>
        </w:trPr>
        <w:tc>
          <w:tcPr>
            <w:tcW w:w="1763" w:type="dxa"/>
            <w:tcBorders>
              <w:tl2br w:val="nil"/>
              <w:tr2bl w:val="nil"/>
            </w:tcBorders>
            <w:vAlign w:val="center"/>
          </w:tcPr>
          <w:p w14:paraId="7F448EF9">
            <w:pPr>
              <w:keepNext w:val="0"/>
              <w:keepLines w:val="0"/>
              <w:pageBreakBefore w:val="0"/>
              <w:widowControl/>
              <w:suppressLineNumbers w:val="0"/>
              <w:kinsoku/>
              <w:wordWrap/>
              <w:overflowPunct/>
              <w:topLinePunct/>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13</w:t>
            </w:r>
          </w:p>
        </w:tc>
        <w:tc>
          <w:tcPr>
            <w:tcW w:w="1767" w:type="dxa"/>
            <w:tcBorders>
              <w:tl2br w:val="nil"/>
              <w:tr2bl w:val="nil"/>
            </w:tcBorders>
            <w:vAlign w:val="center"/>
          </w:tcPr>
          <w:p w14:paraId="0F3FA156">
            <w:pPr>
              <w:keepNext w:val="0"/>
              <w:keepLines w:val="0"/>
              <w:pageBreakBefore w:val="0"/>
              <w:widowControl/>
              <w:suppressLineNumbers w:val="0"/>
              <w:kinsoku/>
              <w:wordWrap/>
              <w:overflowPunct/>
              <w:topLinePunct/>
              <w:autoSpaceDE/>
              <w:autoSpaceDN/>
              <w:bidi w:val="0"/>
              <w:adjustRightInd/>
              <w:snapToGrid/>
              <w:spacing w:line="240" w:lineRule="auto"/>
              <w:ind w:left="0" w:leftChars="0"/>
              <w:jc w:val="center"/>
              <w:textAlignment w:val="bottom"/>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t>砷</w:t>
            </w:r>
          </w:p>
        </w:tc>
        <w:tc>
          <w:tcPr>
            <w:tcW w:w="1768" w:type="dxa"/>
            <w:tcBorders>
              <w:tl2br w:val="nil"/>
              <w:tr2bl w:val="nil"/>
            </w:tcBorders>
            <w:vAlign w:val="center"/>
          </w:tcPr>
          <w:p w14:paraId="2867645B">
            <w:pPr>
              <w:keepNext w:val="0"/>
              <w:keepLines w:val="0"/>
              <w:pageBreakBefore w:val="0"/>
              <w:widowControl/>
              <w:suppressLineNumbers w:val="0"/>
              <w:kinsoku/>
              <w:wordWrap/>
              <w:overflowPunct/>
              <w:topLinePunct/>
              <w:autoSpaceDE/>
              <w:autoSpaceDN/>
              <w:bidi w:val="0"/>
              <w:adjustRightInd/>
              <w:snapToGrid/>
              <w:spacing w:line="240" w:lineRule="auto"/>
              <w:ind w:left="0" w:leftChars="0"/>
              <w:jc w:val="center"/>
              <w:textAlignment w:val="bottom"/>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t>mg/L</w:t>
            </w:r>
          </w:p>
        </w:tc>
        <w:tc>
          <w:tcPr>
            <w:tcW w:w="1770" w:type="dxa"/>
            <w:tcBorders>
              <w:tl2br w:val="nil"/>
              <w:tr2bl w:val="nil"/>
            </w:tcBorders>
            <w:vAlign w:val="center"/>
          </w:tcPr>
          <w:p w14:paraId="1C65C3A8">
            <w:pPr>
              <w:keepNext w:val="0"/>
              <w:keepLines w:val="0"/>
              <w:pageBreakBefore w:val="0"/>
              <w:widowControl/>
              <w:suppressLineNumbers w:val="0"/>
              <w:kinsoku/>
              <w:wordWrap/>
              <w:overflowPunct/>
              <w:topLinePunct/>
              <w:autoSpaceDE/>
              <w:autoSpaceDN/>
              <w:bidi w:val="0"/>
              <w:adjustRightInd/>
              <w:snapToGrid/>
              <w:spacing w:line="240" w:lineRule="auto"/>
              <w:ind w:left="0" w:leftChars="0"/>
              <w:jc w:val="center"/>
              <w:textAlignment w:val="bottom"/>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t>0.05</w:t>
            </w:r>
          </w:p>
        </w:tc>
        <w:tc>
          <w:tcPr>
            <w:tcW w:w="1770" w:type="dxa"/>
            <w:tcBorders>
              <w:tl2br w:val="nil"/>
              <w:tr2bl w:val="nil"/>
            </w:tcBorders>
            <w:vAlign w:val="center"/>
          </w:tcPr>
          <w:p w14:paraId="03D4C960">
            <w:pPr>
              <w:keepNext w:val="0"/>
              <w:keepLines w:val="0"/>
              <w:pageBreakBefore w:val="0"/>
              <w:widowControl/>
              <w:suppressLineNumbers w:val="0"/>
              <w:kinsoku/>
              <w:wordWrap/>
              <w:overflowPunct/>
              <w:topLinePunct/>
              <w:autoSpaceDE/>
              <w:autoSpaceDN/>
              <w:bidi w:val="0"/>
              <w:adjustRightInd/>
              <w:snapToGrid/>
              <w:spacing w:line="240" w:lineRule="auto"/>
              <w:ind w:left="0" w:leftChars="0"/>
              <w:jc w:val="center"/>
              <w:textAlignment w:val="bottom"/>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t>0.05</w:t>
            </w:r>
          </w:p>
        </w:tc>
      </w:tr>
      <w:tr w14:paraId="3D1A9F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8" w:hRule="atLeast"/>
        </w:trPr>
        <w:tc>
          <w:tcPr>
            <w:tcW w:w="1763" w:type="dxa"/>
            <w:tcBorders>
              <w:tl2br w:val="nil"/>
              <w:tr2bl w:val="nil"/>
            </w:tcBorders>
            <w:vAlign w:val="center"/>
          </w:tcPr>
          <w:p w14:paraId="230CF19A">
            <w:pPr>
              <w:keepNext w:val="0"/>
              <w:keepLines w:val="0"/>
              <w:pageBreakBefore w:val="0"/>
              <w:widowControl/>
              <w:suppressLineNumbers w:val="0"/>
              <w:kinsoku/>
              <w:wordWrap/>
              <w:overflowPunct/>
              <w:topLinePunct/>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14</w:t>
            </w:r>
          </w:p>
        </w:tc>
        <w:tc>
          <w:tcPr>
            <w:tcW w:w="1767" w:type="dxa"/>
            <w:tcBorders>
              <w:tl2br w:val="nil"/>
              <w:tr2bl w:val="nil"/>
            </w:tcBorders>
            <w:vAlign w:val="center"/>
          </w:tcPr>
          <w:p w14:paraId="4546356D">
            <w:pPr>
              <w:keepNext w:val="0"/>
              <w:keepLines w:val="0"/>
              <w:pageBreakBefore w:val="0"/>
              <w:widowControl/>
              <w:suppressLineNumbers w:val="0"/>
              <w:kinsoku/>
              <w:wordWrap/>
              <w:overflowPunct/>
              <w:topLinePunct/>
              <w:autoSpaceDE/>
              <w:autoSpaceDN/>
              <w:bidi w:val="0"/>
              <w:adjustRightInd/>
              <w:snapToGrid/>
              <w:spacing w:line="240" w:lineRule="auto"/>
              <w:ind w:left="0" w:leftChars="0"/>
              <w:jc w:val="center"/>
              <w:textAlignment w:val="bottom"/>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t>镉</w:t>
            </w:r>
          </w:p>
        </w:tc>
        <w:tc>
          <w:tcPr>
            <w:tcW w:w="1768" w:type="dxa"/>
            <w:tcBorders>
              <w:tl2br w:val="nil"/>
              <w:tr2bl w:val="nil"/>
            </w:tcBorders>
            <w:vAlign w:val="center"/>
          </w:tcPr>
          <w:p w14:paraId="18D3D8B0">
            <w:pPr>
              <w:keepNext w:val="0"/>
              <w:keepLines w:val="0"/>
              <w:pageBreakBefore w:val="0"/>
              <w:widowControl/>
              <w:suppressLineNumbers w:val="0"/>
              <w:kinsoku/>
              <w:wordWrap/>
              <w:overflowPunct/>
              <w:topLinePunct/>
              <w:autoSpaceDE/>
              <w:autoSpaceDN/>
              <w:bidi w:val="0"/>
              <w:adjustRightInd/>
              <w:snapToGrid/>
              <w:spacing w:line="240" w:lineRule="auto"/>
              <w:ind w:left="0" w:leftChars="0"/>
              <w:jc w:val="center"/>
              <w:textAlignment w:val="bottom"/>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t>mg/L</w:t>
            </w:r>
          </w:p>
        </w:tc>
        <w:tc>
          <w:tcPr>
            <w:tcW w:w="1770" w:type="dxa"/>
            <w:tcBorders>
              <w:tl2br w:val="nil"/>
              <w:tr2bl w:val="nil"/>
            </w:tcBorders>
            <w:vAlign w:val="center"/>
          </w:tcPr>
          <w:p w14:paraId="60913286">
            <w:pPr>
              <w:keepNext w:val="0"/>
              <w:keepLines w:val="0"/>
              <w:pageBreakBefore w:val="0"/>
              <w:widowControl/>
              <w:suppressLineNumbers w:val="0"/>
              <w:kinsoku/>
              <w:wordWrap/>
              <w:overflowPunct/>
              <w:topLinePunct/>
              <w:autoSpaceDE/>
              <w:autoSpaceDN/>
              <w:bidi w:val="0"/>
              <w:adjustRightInd/>
              <w:snapToGrid/>
              <w:spacing w:line="240" w:lineRule="auto"/>
              <w:ind w:left="0" w:leftChars="0"/>
              <w:jc w:val="center"/>
              <w:textAlignment w:val="bottom"/>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t>0.005</w:t>
            </w:r>
          </w:p>
        </w:tc>
        <w:tc>
          <w:tcPr>
            <w:tcW w:w="1770" w:type="dxa"/>
            <w:tcBorders>
              <w:tl2br w:val="nil"/>
              <w:tr2bl w:val="nil"/>
            </w:tcBorders>
            <w:vAlign w:val="center"/>
          </w:tcPr>
          <w:p w14:paraId="7AF476DA">
            <w:pPr>
              <w:keepNext w:val="0"/>
              <w:keepLines w:val="0"/>
              <w:pageBreakBefore w:val="0"/>
              <w:widowControl/>
              <w:suppressLineNumbers w:val="0"/>
              <w:kinsoku/>
              <w:wordWrap/>
              <w:overflowPunct/>
              <w:topLinePunct/>
              <w:autoSpaceDE/>
              <w:autoSpaceDN/>
              <w:bidi w:val="0"/>
              <w:adjustRightInd/>
              <w:snapToGrid/>
              <w:spacing w:line="240" w:lineRule="auto"/>
              <w:ind w:left="0" w:leftChars="0"/>
              <w:jc w:val="center"/>
              <w:textAlignment w:val="bottom"/>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t>0.005</w:t>
            </w:r>
          </w:p>
        </w:tc>
      </w:tr>
      <w:tr w14:paraId="7C30D3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8" w:hRule="atLeast"/>
        </w:trPr>
        <w:tc>
          <w:tcPr>
            <w:tcW w:w="1763" w:type="dxa"/>
            <w:tcBorders>
              <w:tl2br w:val="nil"/>
              <w:tr2bl w:val="nil"/>
            </w:tcBorders>
            <w:vAlign w:val="center"/>
          </w:tcPr>
          <w:p w14:paraId="02424546">
            <w:pPr>
              <w:keepNext w:val="0"/>
              <w:keepLines w:val="0"/>
              <w:pageBreakBefore w:val="0"/>
              <w:widowControl/>
              <w:suppressLineNumbers w:val="0"/>
              <w:kinsoku/>
              <w:wordWrap/>
              <w:overflowPunct/>
              <w:topLinePunct/>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15</w:t>
            </w:r>
          </w:p>
        </w:tc>
        <w:tc>
          <w:tcPr>
            <w:tcW w:w="1767" w:type="dxa"/>
            <w:tcBorders>
              <w:tl2br w:val="nil"/>
              <w:tr2bl w:val="nil"/>
            </w:tcBorders>
            <w:vAlign w:val="center"/>
          </w:tcPr>
          <w:p w14:paraId="6E5D4EFB">
            <w:pPr>
              <w:keepNext w:val="0"/>
              <w:keepLines w:val="0"/>
              <w:pageBreakBefore w:val="0"/>
              <w:widowControl/>
              <w:suppressLineNumbers w:val="0"/>
              <w:kinsoku/>
              <w:wordWrap/>
              <w:overflowPunct/>
              <w:topLinePunct/>
              <w:autoSpaceDE/>
              <w:autoSpaceDN/>
              <w:bidi w:val="0"/>
              <w:adjustRightInd/>
              <w:snapToGrid/>
              <w:spacing w:line="240" w:lineRule="auto"/>
              <w:ind w:left="0" w:leftChars="0"/>
              <w:jc w:val="center"/>
              <w:textAlignment w:val="bottom"/>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t>铬(六价)</w:t>
            </w:r>
          </w:p>
        </w:tc>
        <w:tc>
          <w:tcPr>
            <w:tcW w:w="1768" w:type="dxa"/>
            <w:tcBorders>
              <w:tl2br w:val="nil"/>
              <w:tr2bl w:val="nil"/>
            </w:tcBorders>
            <w:vAlign w:val="center"/>
          </w:tcPr>
          <w:p w14:paraId="0F6DC2B4">
            <w:pPr>
              <w:keepNext w:val="0"/>
              <w:keepLines w:val="0"/>
              <w:pageBreakBefore w:val="0"/>
              <w:widowControl/>
              <w:suppressLineNumbers w:val="0"/>
              <w:kinsoku/>
              <w:wordWrap/>
              <w:overflowPunct/>
              <w:topLinePunct/>
              <w:autoSpaceDE/>
              <w:autoSpaceDN/>
              <w:bidi w:val="0"/>
              <w:adjustRightInd/>
              <w:snapToGrid/>
              <w:spacing w:line="240" w:lineRule="auto"/>
              <w:ind w:left="0" w:leftChars="0"/>
              <w:jc w:val="center"/>
              <w:textAlignment w:val="bottom"/>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t>mg/L</w:t>
            </w:r>
          </w:p>
        </w:tc>
        <w:tc>
          <w:tcPr>
            <w:tcW w:w="1770" w:type="dxa"/>
            <w:tcBorders>
              <w:tl2br w:val="nil"/>
              <w:tr2bl w:val="nil"/>
            </w:tcBorders>
            <w:vAlign w:val="center"/>
          </w:tcPr>
          <w:p w14:paraId="3D497A44">
            <w:pPr>
              <w:keepNext w:val="0"/>
              <w:keepLines w:val="0"/>
              <w:pageBreakBefore w:val="0"/>
              <w:widowControl/>
              <w:suppressLineNumbers w:val="0"/>
              <w:kinsoku/>
              <w:wordWrap/>
              <w:overflowPunct/>
              <w:topLinePunct/>
              <w:autoSpaceDE/>
              <w:autoSpaceDN/>
              <w:bidi w:val="0"/>
              <w:adjustRightInd/>
              <w:snapToGrid/>
              <w:spacing w:line="240" w:lineRule="auto"/>
              <w:ind w:left="0" w:leftChars="0"/>
              <w:jc w:val="center"/>
              <w:textAlignment w:val="bottom"/>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t>0.05</w:t>
            </w:r>
          </w:p>
        </w:tc>
        <w:tc>
          <w:tcPr>
            <w:tcW w:w="1770" w:type="dxa"/>
            <w:tcBorders>
              <w:tl2br w:val="nil"/>
              <w:tr2bl w:val="nil"/>
            </w:tcBorders>
            <w:vAlign w:val="center"/>
          </w:tcPr>
          <w:p w14:paraId="0194CFFF">
            <w:pPr>
              <w:keepNext w:val="0"/>
              <w:keepLines w:val="0"/>
              <w:pageBreakBefore w:val="0"/>
              <w:widowControl/>
              <w:suppressLineNumbers w:val="0"/>
              <w:kinsoku/>
              <w:wordWrap/>
              <w:overflowPunct/>
              <w:topLinePunct/>
              <w:autoSpaceDE/>
              <w:autoSpaceDN/>
              <w:bidi w:val="0"/>
              <w:adjustRightInd/>
              <w:snapToGrid/>
              <w:spacing w:line="240" w:lineRule="auto"/>
              <w:ind w:left="0" w:leftChars="0"/>
              <w:jc w:val="center"/>
              <w:textAlignment w:val="bottom"/>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t>0.05</w:t>
            </w:r>
          </w:p>
        </w:tc>
      </w:tr>
      <w:tr w14:paraId="6D9643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8" w:hRule="atLeast"/>
        </w:trPr>
        <w:tc>
          <w:tcPr>
            <w:tcW w:w="1763" w:type="dxa"/>
            <w:tcBorders>
              <w:tl2br w:val="nil"/>
              <w:tr2bl w:val="nil"/>
            </w:tcBorders>
            <w:vAlign w:val="center"/>
          </w:tcPr>
          <w:p w14:paraId="269A8667">
            <w:pPr>
              <w:keepNext w:val="0"/>
              <w:keepLines w:val="0"/>
              <w:pageBreakBefore w:val="0"/>
              <w:widowControl/>
              <w:suppressLineNumbers w:val="0"/>
              <w:kinsoku/>
              <w:wordWrap/>
              <w:overflowPunct/>
              <w:topLinePunct/>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16</w:t>
            </w:r>
          </w:p>
        </w:tc>
        <w:tc>
          <w:tcPr>
            <w:tcW w:w="1767" w:type="dxa"/>
            <w:tcBorders>
              <w:tl2br w:val="nil"/>
              <w:tr2bl w:val="nil"/>
            </w:tcBorders>
            <w:vAlign w:val="center"/>
          </w:tcPr>
          <w:p w14:paraId="7C57A43F">
            <w:pPr>
              <w:keepNext w:val="0"/>
              <w:keepLines w:val="0"/>
              <w:pageBreakBefore w:val="0"/>
              <w:widowControl/>
              <w:suppressLineNumbers w:val="0"/>
              <w:kinsoku/>
              <w:wordWrap/>
              <w:overflowPunct/>
              <w:topLinePunct/>
              <w:autoSpaceDE/>
              <w:autoSpaceDN/>
              <w:bidi w:val="0"/>
              <w:adjustRightInd/>
              <w:snapToGrid/>
              <w:spacing w:line="240" w:lineRule="auto"/>
              <w:ind w:left="0" w:leftChars="0"/>
              <w:jc w:val="center"/>
              <w:textAlignment w:val="bottom"/>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t>汞</w:t>
            </w:r>
          </w:p>
        </w:tc>
        <w:tc>
          <w:tcPr>
            <w:tcW w:w="1768" w:type="dxa"/>
            <w:tcBorders>
              <w:tl2br w:val="nil"/>
              <w:tr2bl w:val="nil"/>
            </w:tcBorders>
            <w:vAlign w:val="center"/>
          </w:tcPr>
          <w:p w14:paraId="3B7274EF">
            <w:pPr>
              <w:keepNext w:val="0"/>
              <w:keepLines w:val="0"/>
              <w:pageBreakBefore w:val="0"/>
              <w:widowControl/>
              <w:suppressLineNumbers w:val="0"/>
              <w:kinsoku/>
              <w:wordWrap/>
              <w:overflowPunct/>
              <w:topLinePunct/>
              <w:autoSpaceDE/>
              <w:autoSpaceDN/>
              <w:bidi w:val="0"/>
              <w:adjustRightInd/>
              <w:snapToGrid/>
              <w:spacing w:line="240" w:lineRule="auto"/>
              <w:ind w:left="0" w:leftChars="0"/>
              <w:jc w:val="center"/>
              <w:textAlignment w:val="bottom"/>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t>mg/L</w:t>
            </w:r>
          </w:p>
        </w:tc>
        <w:tc>
          <w:tcPr>
            <w:tcW w:w="1770" w:type="dxa"/>
            <w:tcBorders>
              <w:tl2br w:val="nil"/>
              <w:tr2bl w:val="nil"/>
            </w:tcBorders>
            <w:vAlign w:val="center"/>
          </w:tcPr>
          <w:p w14:paraId="7E4EA711">
            <w:pPr>
              <w:keepNext w:val="0"/>
              <w:keepLines w:val="0"/>
              <w:pageBreakBefore w:val="0"/>
              <w:widowControl/>
              <w:suppressLineNumbers w:val="0"/>
              <w:kinsoku/>
              <w:wordWrap/>
              <w:overflowPunct/>
              <w:topLinePunct/>
              <w:autoSpaceDE/>
              <w:autoSpaceDN/>
              <w:bidi w:val="0"/>
              <w:adjustRightInd/>
              <w:snapToGrid/>
              <w:spacing w:line="240" w:lineRule="auto"/>
              <w:ind w:left="0" w:leftChars="0"/>
              <w:jc w:val="center"/>
              <w:textAlignment w:val="bottom"/>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t>0.00005</w:t>
            </w:r>
          </w:p>
        </w:tc>
        <w:tc>
          <w:tcPr>
            <w:tcW w:w="1770" w:type="dxa"/>
            <w:tcBorders>
              <w:tl2br w:val="nil"/>
              <w:tr2bl w:val="nil"/>
            </w:tcBorders>
            <w:vAlign w:val="center"/>
          </w:tcPr>
          <w:p w14:paraId="71F59427">
            <w:pPr>
              <w:keepNext w:val="0"/>
              <w:keepLines w:val="0"/>
              <w:pageBreakBefore w:val="0"/>
              <w:widowControl/>
              <w:suppressLineNumbers w:val="0"/>
              <w:kinsoku/>
              <w:wordWrap/>
              <w:overflowPunct/>
              <w:topLinePunct/>
              <w:autoSpaceDE/>
              <w:autoSpaceDN/>
              <w:bidi w:val="0"/>
              <w:adjustRightInd/>
              <w:snapToGrid/>
              <w:spacing w:line="240" w:lineRule="auto"/>
              <w:ind w:left="0" w:leftChars="0"/>
              <w:jc w:val="center"/>
              <w:textAlignment w:val="bottom"/>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t>0.0001</w:t>
            </w:r>
          </w:p>
        </w:tc>
      </w:tr>
      <w:tr w14:paraId="01E1AE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8" w:hRule="atLeast"/>
        </w:trPr>
        <w:tc>
          <w:tcPr>
            <w:tcW w:w="1763" w:type="dxa"/>
            <w:tcBorders>
              <w:tl2br w:val="nil"/>
              <w:tr2bl w:val="nil"/>
            </w:tcBorders>
            <w:vAlign w:val="center"/>
          </w:tcPr>
          <w:p w14:paraId="02BBE7EF">
            <w:pPr>
              <w:keepNext w:val="0"/>
              <w:keepLines w:val="0"/>
              <w:pageBreakBefore w:val="0"/>
              <w:widowControl/>
              <w:suppressLineNumbers w:val="0"/>
              <w:kinsoku/>
              <w:wordWrap/>
              <w:overflowPunct/>
              <w:topLinePunct/>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17</w:t>
            </w:r>
          </w:p>
        </w:tc>
        <w:tc>
          <w:tcPr>
            <w:tcW w:w="1767" w:type="dxa"/>
            <w:tcBorders>
              <w:tl2br w:val="nil"/>
              <w:tr2bl w:val="nil"/>
            </w:tcBorders>
            <w:vAlign w:val="center"/>
          </w:tcPr>
          <w:p w14:paraId="641289B8">
            <w:pPr>
              <w:keepNext w:val="0"/>
              <w:keepLines w:val="0"/>
              <w:pageBreakBefore w:val="0"/>
              <w:widowControl/>
              <w:suppressLineNumbers w:val="0"/>
              <w:kinsoku/>
              <w:wordWrap/>
              <w:overflowPunct/>
              <w:topLinePunct/>
              <w:autoSpaceDE/>
              <w:autoSpaceDN/>
              <w:bidi w:val="0"/>
              <w:adjustRightInd/>
              <w:snapToGrid/>
              <w:spacing w:line="240" w:lineRule="auto"/>
              <w:ind w:left="0" w:leftChars="0"/>
              <w:jc w:val="center"/>
              <w:textAlignment w:val="bottom"/>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t>铅</w:t>
            </w:r>
          </w:p>
        </w:tc>
        <w:tc>
          <w:tcPr>
            <w:tcW w:w="1768" w:type="dxa"/>
            <w:tcBorders>
              <w:tl2br w:val="nil"/>
              <w:tr2bl w:val="nil"/>
            </w:tcBorders>
            <w:vAlign w:val="center"/>
          </w:tcPr>
          <w:p w14:paraId="4D33DEF8">
            <w:pPr>
              <w:keepNext w:val="0"/>
              <w:keepLines w:val="0"/>
              <w:pageBreakBefore w:val="0"/>
              <w:widowControl/>
              <w:suppressLineNumbers w:val="0"/>
              <w:kinsoku/>
              <w:wordWrap/>
              <w:overflowPunct/>
              <w:topLinePunct/>
              <w:autoSpaceDE/>
              <w:autoSpaceDN/>
              <w:bidi w:val="0"/>
              <w:adjustRightInd/>
              <w:snapToGrid/>
              <w:spacing w:line="240" w:lineRule="auto"/>
              <w:ind w:left="0" w:leftChars="0"/>
              <w:jc w:val="center"/>
              <w:textAlignment w:val="bottom"/>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t>mg/L</w:t>
            </w:r>
          </w:p>
        </w:tc>
        <w:tc>
          <w:tcPr>
            <w:tcW w:w="1770" w:type="dxa"/>
            <w:tcBorders>
              <w:tl2br w:val="nil"/>
              <w:tr2bl w:val="nil"/>
            </w:tcBorders>
            <w:vAlign w:val="center"/>
          </w:tcPr>
          <w:p w14:paraId="64E00C46">
            <w:pPr>
              <w:keepNext w:val="0"/>
              <w:keepLines w:val="0"/>
              <w:pageBreakBefore w:val="0"/>
              <w:widowControl/>
              <w:suppressLineNumbers w:val="0"/>
              <w:kinsoku/>
              <w:wordWrap/>
              <w:overflowPunct/>
              <w:topLinePunct/>
              <w:autoSpaceDE/>
              <w:autoSpaceDN/>
              <w:bidi w:val="0"/>
              <w:adjustRightInd/>
              <w:snapToGrid/>
              <w:spacing w:line="240" w:lineRule="auto"/>
              <w:ind w:left="0" w:leftChars="0"/>
              <w:jc w:val="center"/>
              <w:textAlignment w:val="bottom"/>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t>0.01</w:t>
            </w:r>
          </w:p>
        </w:tc>
        <w:tc>
          <w:tcPr>
            <w:tcW w:w="1770" w:type="dxa"/>
            <w:tcBorders>
              <w:tl2br w:val="nil"/>
              <w:tr2bl w:val="nil"/>
            </w:tcBorders>
            <w:vAlign w:val="center"/>
          </w:tcPr>
          <w:p w14:paraId="0738F14D">
            <w:pPr>
              <w:keepNext w:val="0"/>
              <w:keepLines w:val="0"/>
              <w:pageBreakBefore w:val="0"/>
              <w:widowControl/>
              <w:suppressLineNumbers w:val="0"/>
              <w:kinsoku/>
              <w:wordWrap/>
              <w:overflowPunct/>
              <w:topLinePunct/>
              <w:autoSpaceDE/>
              <w:autoSpaceDN/>
              <w:bidi w:val="0"/>
              <w:adjustRightInd/>
              <w:snapToGrid/>
              <w:spacing w:line="240" w:lineRule="auto"/>
              <w:ind w:left="0" w:leftChars="0"/>
              <w:jc w:val="center"/>
              <w:textAlignment w:val="bottom"/>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t>0.05</w:t>
            </w:r>
          </w:p>
        </w:tc>
      </w:tr>
      <w:tr w14:paraId="160B6E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3" w:hRule="atLeast"/>
        </w:trPr>
        <w:tc>
          <w:tcPr>
            <w:tcW w:w="1763" w:type="dxa"/>
            <w:tcBorders>
              <w:tl2br w:val="nil"/>
              <w:tr2bl w:val="nil"/>
            </w:tcBorders>
            <w:vAlign w:val="center"/>
          </w:tcPr>
          <w:p w14:paraId="24EF1E57">
            <w:pPr>
              <w:keepNext w:val="0"/>
              <w:keepLines w:val="0"/>
              <w:pageBreakBefore w:val="0"/>
              <w:widowControl/>
              <w:suppressLineNumbers w:val="0"/>
              <w:kinsoku/>
              <w:wordWrap/>
              <w:overflowPunct/>
              <w:topLinePunct/>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18</w:t>
            </w:r>
          </w:p>
        </w:tc>
        <w:tc>
          <w:tcPr>
            <w:tcW w:w="1767" w:type="dxa"/>
            <w:tcBorders>
              <w:tl2br w:val="nil"/>
              <w:tr2bl w:val="nil"/>
            </w:tcBorders>
            <w:vAlign w:val="center"/>
          </w:tcPr>
          <w:p w14:paraId="432D01BE">
            <w:pPr>
              <w:keepNext w:val="0"/>
              <w:keepLines w:val="0"/>
              <w:pageBreakBefore w:val="0"/>
              <w:widowControl/>
              <w:suppressLineNumbers w:val="0"/>
              <w:kinsoku/>
              <w:wordWrap/>
              <w:overflowPunct/>
              <w:topLinePunct/>
              <w:autoSpaceDE/>
              <w:autoSpaceDN/>
              <w:bidi w:val="0"/>
              <w:adjustRightInd/>
              <w:snapToGrid/>
              <w:spacing w:line="240" w:lineRule="auto"/>
              <w:ind w:left="0" w:leftChars="0"/>
              <w:jc w:val="center"/>
              <w:textAlignment w:val="bottom"/>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t>阴离子表面活性剂</w:t>
            </w:r>
          </w:p>
        </w:tc>
        <w:tc>
          <w:tcPr>
            <w:tcW w:w="1768" w:type="dxa"/>
            <w:tcBorders>
              <w:tl2br w:val="nil"/>
              <w:tr2bl w:val="nil"/>
            </w:tcBorders>
            <w:vAlign w:val="center"/>
          </w:tcPr>
          <w:p w14:paraId="0BD046E8">
            <w:pPr>
              <w:keepNext w:val="0"/>
              <w:keepLines w:val="0"/>
              <w:pageBreakBefore w:val="0"/>
              <w:widowControl/>
              <w:suppressLineNumbers w:val="0"/>
              <w:kinsoku/>
              <w:wordWrap/>
              <w:overflowPunct/>
              <w:topLinePunct/>
              <w:autoSpaceDE/>
              <w:autoSpaceDN/>
              <w:bidi w:val="0"/>
              <w:adjustRightInd/>
              <w:snapToGrid/>
              <w:spacing w:line="240" w:lineRule="auto"/>
              <w:ind w:left="0" w:leftChars="0"/>
              <w:jc w:val="center"/>
              <w:textAlignment w:val="bottom"/>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t>mg/L</w:t>
            </w:r>
          </w:p>
        </w:tc>
        <w:tc>
          <w:tcPr>
            <w:tcW w:w="1770" w:type="dxa"/>
            <w:tcBorders>
              <w:tl2br w:val="nil"/>
              <w:tr2bl w:val="nil"/>
            </w:tcBorders>
            <w:vAlign w:val="center"/>
          </w:tcPr>
          <w:p w14:paraId="43CC73D5">
            <w:pPr>
              <w:keepNext w:val="0"/>
              <w:keepLines w:val="0"/>
              <w:pageBreakBefore w:val="0"/>
              <w:widowControl/>
              <w:suppressLineNumbers w:val="0"/>
              <w:kinsoku/>
              <w:wordWrap/>
              <w:overflowPunct/>
              <w:topLinePunct/>
              <w:autoSpaceDE/>
              <w:autoSpaceDN/>
              <w:bidi w:val="0"/>
              <w:adjustRightInd/>
              <w:snapToGrid/>
              <w:spacing w:line="240" w:lineRule="auto"/>
              <w:ind w:left="0" w:leftChars="0"/>
              <w:jc w:val="center"/>
              <w:textAlignment w:val="bottom"/>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t>0.2</w:t>
            </w:r>
          </w:p>
        </w:tc>
        <w:tc>
          <w:tcPr>
            <w:tcW w:w="1770" w:type="dxa"/>
            <w:tcBorders>
              <w:tl2br w:val="nil"/>
              <w:tr2bl w:val="nil"/>
            </w:tcBorders>
            <w:vAlign w:val="center"/>
          </w:tcPr>
          <w:p w14:paraId="2DD245FC">
            <w:pPr>
              <w:keepNext w:val="0"/>
              <w:keepLines w:val="0"/>
              <w:pageBreakBefore w:val="0"/>
              <w:widowControl/>
              <w:suppressLineNumbers w:val="0"/>
              <w:kinsoku/>
              <w:wordWrap/>
              <w:overflowPunct/>
              <w:topLinePunct/>
              <w:autoSpaceDE/>
              <w:autoSpaceDN/>
              <w:bidi w:val="0"/>
              <w:adjustRightInd/>
              <w:snapToGrid/>
              <w:spacing w:line="240" w:lineRule="auto"/>
              <w:ind w:left="0" w:leftChars="0"/>
              <w:jc w:val="center"/>
              <w:textAlignment w:val="bottom"/>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t>0.2</w:t>
            </w:r>
          </w:p>
        </w:tc>
      </w:tr>
      <w:tr w14:paraId="63203B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8" w:hRule="atLeast"/>
        </w:trPr>
        <w:tc>
          <w:tcPr>
            <w:tcW w:w="1763" w:type="dxa"/>
            <w:tcBorders>
              <w:tl2br w:val="nil"/>
              <w:tr2bl w:val="nil"/>
            </w:tcBorders>
            <w:vAlign w:val="center"/>
          </w:tcPr>
          <w:p w14:paraId="3E64BC42">
            <w:pPr>
              <w:keepNext w:val="0"/>
              <w:keepLines w:val="0"/>
              <w:pageBreakBefore w:val="0"/>
              <w:widowControl/>
              <w:suppressLineNumbers w:val="0"/>
              <w:kinsoku/>
              <w:wordWrap/>
              <w:overflowPunct/>
              <w:topLinePunct/>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19</w:t>
            </w:r>
          </w:p>
        </w:tc>
        <w:tc>
          <w:tcPr>
            <w:tcW w:w="1767" w:type="dxa"/>
            <w:tcBorders>
              <w:tl2br w:val="nil"/>
              <w:tr2bl w:val="nil"/>
            </w:tcBorders>
            <w:vAlign w:val="center"/>
          </w:tcPr>
          <w:p w14:paraId="23325D24">
            <w:pPr>
              <w:keepNext w:val="0"/>
              <w:keepLines w:val="0"/>
              <w:pageBreakBefore w:val="0"/>
              <w:widowControl/>
              <w:suppressLineNumbers w:val="0"/>
              <w:kinsoku/>
              <w:wordWrap/>
              <w:overflowPunct/>
              <w:topLinePunct/>
              <w:autoSpaceDE/>
              <w:autoSpaceDN/>
              <w:bidi w:val="0"/>
              <w:adjustRightInd/>
              <w:snapToGrid/>
              <w:spacing w:line="240" w:lineRule="auto"/>
              <w:ind w:left="0" w:leftChars="0"/>
              <w:jc w:val="center"/>
              <w:textAlignment w:val="bottom"/>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t>氰化物</w:t>
            </w:r>
          </w:p>
        </w:tc>
        <w:tc>
          <w:tcPr>
            <w:tcW w:w="1768" w:type="dxa"/>
            <w:tcBorders>
              <w:tl2br w:val="nil"/>
              <w:tr2bl w:val="nil"/>
            </w:tcBorders>
            <w:vAlign w:val="center"/>
          </w:tcPr>
          <w:p w14:paraId="03C40C6F">
            <w:pPr>
              <w:keepNext w:val="0"/>
              <w:keepLines w:val="0"/>
              <w:pageBreakBefore w:val="0"/>
              <w:widowControl/>
              <w:suppressLineNumbers w:val="0"/>
              <w:kinsoku/>
              <w:wordWrap/>
              <w:overflowPunct/>
              <w:topLinePunct/>
              <w:autoSpaceDE/>
              <w:autoSpaceDN/>
              <w:bidi w:val="0"/>
              <w:adjustRightInd/>
              <w:snapToGrid/>
              <w:spacing w:line="240" w:lineRule="auto"/>
              <w:ind w:left="0" w:leftChars="0"/>
              <w:jc w:val="center"/>
              <w:textAlignment w:val="bottom"/>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t>mg/L</w:t>
            </w:r>
          </w:p>
        </w:tc>
        <w:tc>
          <w:tcPr>
            <w:tcW w:w="1770" w:type="dxa"/>
            <w:tcBorders>
              <w:tl2br w:val="nil"/>
              <w:tr2bl w:val="nil"/>
            </w:tcBorders>
            <w:vAlign w:val="center"/>
          </w:tcPr>
          <w:p w14:paraId="14657FCC">
            <w:pPr>
              <w:keepNext w:val="0"/>
              <w:keepLines w:val="0"/>
              <w:pageBreakBefore w:val="0"/>
              <w:widowControl/>
              <w:suppressLineNumbers w:val="0"/>
              <w:kinsoku/>
              <w:wordWrap/>
              <w:overflowPunct/>
              <w:topLinePunct/>
              <w:autoSpaceDE/>
              <w:autoSpaceDN/>
              <w:bidi w:val="0"/>
              <w:adjustRightInd/>
              <w:snapToGrid/>
              <w:spacing w:line="240" w:lineRule="auto"/>
              <w:ind w:left="0" w:leftChars="0"/>
              <w:jc w:val="center"/>
              <w:textAlignment w:val="bottom"/>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t>0.05</w:t>
            </w:r>
          </w:p>
        </w:tc>
        <w:tc>
          <w:tcPr>
            <w:tcW w:w="1770" w:type="dxa"/>
            <w:tcBorders>
              <w:tl2br w:val="nil"/>
              <w:tr2bl w:val="nil"/>
            </w:tcBorders>
            <w:vAlign w:val="center"/>
          </w:tcPr>
          <w:p w14:paraId="375818F0">
            <w:pPr>
              <w:keepNext w:val="0"/>
              <w:keepLines w:val="0"/>
              <w:pageBreakBefore w:val="0"/>
              <w:widowControl/>
              <w:suppressLineNumbers w:val="0"/>
              <w:kinsoku/>
              <w:wordWrap/>
              <w:overflowPunct/>
              <w:topLinePunct/>
              <w:autoSpaceDE/>
              <w:autoSpaceDN/>
              <w:bidi w:val="0"/>
              <w:adjustRightInd/>
              <w:snapToGrid/>
              <w:spacing w:line="240" w:lineRule="auto"/>
              <w:ind w:left="0" w:leftChars="0"/>
              <w:jc w:val="center"/>
              <w:textAlignment w:val="bottom"/>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t>0.2</w:t>
            </w:r>
          </w:p>
        </w:tc>
      </w:tr>
      <w:tr w14:paraId="152FCF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8" w:hRule="atLeast"/>
        </w:trPr>
        <w:tc>
          <w:tcPr>
            <w:tcW w:w="1763" w:type="dxa"/>
            <w:tcBorders>
              <w:tl2br w:val="nil"/>
              <w:tr2bl w:val="nil"/>
            </w:tcBorders>
            <w:vAlign w:val="center"/>
          </w:tcPr>
          <w:p w14:paraId="15B4F4B6">
            <w:pPr>
              <w:keepNext w:val="0"/>
              <w:keepLines w:val="0"/>
              <w:pageBreakBefore w:val="0"/>
              <w:widowControl/>
              <w:suppressLineNumbers w:val="0"/>
              <w:kinsoku/>
              <w:wordWrap/>
              <w:overflowPunct/>
              <w:topLinePunct/>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20</w:t>
            </w:r>
          </w:p>
        </w:tc>
        <w:tc>
          <w:tcPr>
            <w:tcW w:w="1767" w:type="dxa"/>
            <w:tcBorders>
              <w:tl2br w:val="nil"/>
              <w:tr2bl w:val="nil"/>
            </w:tcBorders>
            <w:vAlign w:val="center"/>
          </w:tcPr>
          <w:p w14:paraId="2E559980">
            <w:pPr>
              <w:keepNext w:val="0"/>
              <w:keepLines w:val="0"/>
              <w:pageBreakBefore w:val="0"/>
              <w:widowControl/>
              <w:suppressLineNumbers w:val="0"/>
              <w:kinsoku/>
              <w:wordWrap/>
              <w:overflowPunct/>
              <w:topLinePunct/>
              <w:autoSpaceDE/>
              <w:autoSpaceDN/>
              <w:bidi w:val="0"/>
              <w:adjustRightInd/>
              <w:snapToGrid/>
              <w:spacing w:line="240" w:lineRule="auto"/>
              <w:ind w:left="0" w:leftChars="0"/>
              <w:jc w:val="center"/>
              <w:textAlignment w:val="bottom"/>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t>硫化物</w:t>
            </w:r>
          </w:p>
        </w:tc>
        <w:tc>
          <w:tcPr>
            <w:tcW w:w="1768" w:type="dxa"/>
            <w:tcBorders>
              <w:tl2br w:val="nil"/>
              <w:tr2bl w:val="nil"/>
            </w:tcBorders>
            <w:vAlign w:val="center"/>
          </w:tcPr>
          <w:p w14:paraId="47A30244">
            <w:pPr>
              <w:keepNext w:val="0"/>
              <w:keepLines w:val="0"/>
              <w:pageBreakBefore w:val="0"/>
              <w:widowControl/>
              <w:suppressLineNumbers w:val="0"/>
              <w:kinsoku/>
              <w:wordWrap/>
              <w:overflowPunct/>
              <w:topLinePunct/>
              <w:autoSpaceDE/>
              <w:autoSpaceDN/>
              <w:bidi w:val="0"/>
              <w:adjustRightInd/>
              <w:snapToGrid/>
              <w:spacing w:line="240" w:lineRule="auto"/>
              <w:ind w:left="0" w:leftChars="0"/>
              <w:jc w:val="center"/>
              <w:textAlignment w:val="bottom"/>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t>mg/L</w:t>
            </w:r>
          </w:p>
        </w:tc>
        <w:tc>
          <w:tcPr>
            <w:tcW w:w="1770" w:type="dxa"/>
            <w:tcBorders>
              <w:tl2br w:val="nil"/>
              <w:tr2bl w:val="nil"/>
            </w:tcBorders>
            <w:vAlign w:val="center"/>
          </w:tcPr>
          <w:p w14:paraId="4092DD46">
            <w:pPr>
              <w:keepNext w:val="0"/>
              <w:keepLines w:val="0"/>
              <w:pageBreakBefore w:val="0"/>
              <w:widowControl/>
              <w:suppressLineNumbers w:val="0"/>
              <w:kinsoku/>
              <w:wordWrap/>
              <w:overflowPunct/>
              <w:topLinePunct/>
              <w:autoSpaceDE/>
              <w:autoSpaceDN/>
              <w:bidi w:val="0"/>
              <w:adjustRightInd/>
              <w:snapToGrid/>
              <w:spacing w:line="240" w:lineRule="auto"/>
              <w:ind w:left="0" w:leftChars="0"/>
              <w:jc w:val="center"/>
              <w:textAlignment w:val="bottom"/>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t>0.1</w:t>
            </w:r>
          </w:p>
        </w:tc>
        <w:tc>
          <w:tcPr>
            <w:tcW w:w="1770" w:type="dxa"/>
            <w:tcBorders>
              <w:tl2br w:val="nil"/>
              <w:tr2bl w:val="nil"/>
            </w:tcBorders>
            <w:vAlign w:val="center"/>
          </w:tcPr>
          <w:p w14:paraId="23242141">
            <w:pPr>
              <w:keepNext w:val="0"/>
              <w:keepLines w:val="0"/>
              <w:pageBreakBefore w:val="0"/>
              <w:widowControl/>
              <w:suppressLineNumbers w:val="0"/>
              <w:kinsoku/>
              <w:wordWrap/>
              <w:overflowPunct/>
              <w:topLinePunct/>
              <w:autoSpaceDE/>
              <w:autoSpaceDN/>
              <w:bidi w:val="0"/>
              <w:adjustRightInd/>
              <w:snapToGrid/>
              <w:spacing w:line="240" w:lineRule="auto"/>
              <w:ind w:left="0" w:leftChars="0"/>
              <w:jc w:val="center"/>
              <w:textAlignment w:val="bottom"/>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t>0.2</w:t>
            </w:r>
          </w:p>
        </w:tc>
      </w:tr>
      <w:tr w14:paraId="22E61F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8" w:hRule="atLeast"/>
        </w:trPr>
        <w:tc>
          <w:tcPr>
            <w:tcW w:w="1763" w:type="dxa"/>
            <w:tcBorders>
              <w:tl2br w:val="nil"/>
              <w:tr2bl w:val="nil"/>
            </w:tcBorders>
            <w:vAlign w:val="center"/>
          </w:tcPr>
          <w:p w14:paraId="44A6D27F">
            <w:pPr>
              <w:keepNext w:val="0"/>
              <w:keepLines w:val="0"/>
              <w:pageBreakBefore w:val="0"/>
              <w:widowControl/>
              <w:suppressLineNumbers w:val="0"/>
              <w:kinsoku/>
              <w:wordWrap/>
              <w:overflowPunct/>
              <w:topLinePunct/>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21</w:t>
            </w:r>
          </w:p>
        </w:tc>
        <w:tc>
          <w:tcPr>
            <w:tcW w:w="1767" w:type="dxa"/>
            <w:tcBorders>
              <w:tl2br w:val="nil"/>
              <w:tr2bl w:val="nil"/>
            </w:tcBorders>
            <w:vAlign w:val="center"/>
          </w:tcPr>
          <w:p w14:paraId="1953A840">
            <w:pPr>
              <w:keepNext w:val="0"/>
              <w:keepLines w:val="0"/>
              <w:pageBreakBefore w:val="0"/>
              <w:widowControl/>
              <w:suppressLineNumbers w:val="0"/>
              <w:kinsoku/>
              <w:wordWrap/>
              <w:overflowPunct/>
              <w:topLinePunct/>
              <w:autoSpaceDE/>
              <w:autoSpaceDN/>
              <w:bidi w:val="0"/>
              <w:adjustRightInd/>
              <w:snapToGrid/>
              <w:spacing w:line="240" w:lineRule="auto"/>
              <w:ind w:left="0" w:leftChars="0"/>
              <w:jc w:val="center"/>
              <w:textAlignment w:val="bottom"/>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t>化学需氧量</w:t>
            </w:r>
          </w:p>
        </w:tc>
        <w:tc>
          <w:tcPr>
            <w:tcW w:w="1768" w:type="dxa"/>
            <w:tcBorders>
              <w:tl2br w:val="nil"/>
              <w:tr2bl w:val="nil"/>
            </w:tcBorders>
            <w:vAlign w:val="center"/>
          </w:tcPr>
          <w:p w14:paraId="2156EF2D">
            <w:pPr>
              <w:keepNext w:val="0"/>
              <w:keepLines w:val="0"/>
              <w:pageBreakBefore w:val="0"/>
              <w:widowControl/>
              <w:suppressLineNumbers w:val="0"/>
              <w:kinsoku/>
              <w:wordWrap/>
              <w:overflowPunct/>
              <w:topLinePunct/>
              <w:autoSpaceDE/>
              <w:autoSpaceDN/>
              <w:bidi w:val="0"/>
              <w:adjustRightInd/>
              <w:snapToGrid/>
              <w:spacing w:line="240" w:lineRule="auto"/>
              <w:ind w:left="0" w:leftChars="0"/>
              <w:jc w:val="center"/>
              <w:textAlignment w:val="bottom"/>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t>mg/L</w:t>
            </w:r>
          </w:p>
        </w:tc>
        <w:tc>
          <w:tcPr>
            <w:tcW w:w="1770" w:type="dxa"/>
            <w:tcBorders>
              <w:tl2br w:val="nil"/>
              <w:tr2bl w:val="nil"/>
            </w:tcBorders>
            <w:vAlign w:val="center"/>
          </w:tcPr>
          <w:p w14:paraId="79190D30">
            <w:pPr>
              <w:keepNext w:val="0"/>
              <w:keepLines w:val="0"/>
              <w:pageBreakBefore w:val="0"/>
              <w:widowControl/>
              <w:suppressLineNumbers w:val="0"/>
              <w:kinsoku/>
              <w:wordWrap/>
              <w:overflowPunct/>
              <w:topLinePunct/>
              <w:autoSpaceDE/>
              <w:autoSpaceDN/>
              <w:bidi w:val="0"/>
              <w:adjustRightInd/>
              <w:snapToGrid/>
              <w:spacing w:line="240" w:lineRule="auto"/>
              <w:ind w:left="0" w:leftChars="0"/>
              <w:jc w:val="center"/>
              <w:textAlignment w:val="bottom"/>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t>15</w:t>
            </w:r>
          </w:p>
        </w:tc>
        <w:tc>
          <w:tcPr>
            <w:tcW w:w="1770" w:type="dxa"/>
            <w:tcBorders>
              <w:tl2br w:val="nil"/>
              <w:tr2bl w:val="nil"/>
            </w:tcBorders>
            <w:vAlign w:val="center"/>
          </w:tcPr>
          <w:p w14:paraId="440A5AE0">
            <w:pPr>
              <w:keepNext w:val="0"/>
              <w:keepLines w:val="0"/>
              <w:pageBreakBefore w:val="0"/>
              <w:widowControl/>
              <w:suppressLineNumbers w:val="0"/>
              <w:kinsoku/>
              <w:wordWrap/>
              <w:overflowPunct/>
              <w:topLinePunct/>
              <w:autoSpaceDE/>
              <w:autoSpaceDN/>
              <w:bidi w:val="0"/>
              <w:adjustRightInd/>
              <w:snapToGrid/>
              <w:spacing w:line="240" w:lineRule="auto"/>
              <w:ind w:left="0" w:leftChars="0"/>
              <w:jc w:val="center"/>
              <w:textAlignment w:val="bottom"/>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t>20</w:t>
            </w:r>
          </w:p>
        </w:tc>
      </w:tr>
    </w:tbl>
    <w:p w14:paraId="7D0E4AB6">
      <w:pPr>
        <w:pStyle w:val="8"/>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p>
    <w:p w14:paraId="0F91C483">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(3)地下水环境</w:t>
      </w:r>
    </w:p>
    <w:p w14:paraId="6BF3FA49">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FF0000"/>
          <w:sz w:val="24"/>
          <w:highlight w:val="none"/>
          <w:lang w:val="en-US" w:eastAsia="zh-CN"/>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评价区范围内的地下水执行《地下水质量标准》(GB/T14848-2017)中Ⅲ类标准。</w:t>
      </w:r>
    </w:p>
    <w:p w14:paraId="73E71BB5">
      <w:pPr>
        <w:keepNext w:val="0"/>
        <w:keepLines w:val="0"/>
        <w:pageBreakBefore w:val="0"/>
        <w:widowControl w:val="0"/>
        <w:kinsoku/>
        <w:wordWrap/>
        <w:overflowPunct/>
        <w:topLinePunct w:val="0"/>
        <w:autoSpaceDE/>
        <w:autoSpaceDN/>
        <w:bidi w:val="0"/>
        <w:adjustRightInd/>
        <w:snapToGrid/>
        <w:spacing w:line="240" w:lineRule="auto"/>
        <w:ind w:firstLine="482" w:firstLineChars="200"/>
        <w:jc w:val="both"/>
        <w:textAlignment w:val="auto"/>
        <w:rPr>
          <w:rFonts w:hint="default" w:ascii="Times New Roman" w:hAnsi="Times New Roman" w:cs="Times New Roman" w:eastAsiaTheme="minorEastAsia"/>
          <w:b/>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b/>
          <w:color w:val="000000" w:themeColor="text1"/>
          <w:sz w:val="24"/>
          <w:highlight w:val="none"/>
          <w:lang w:val="en-US" w:eastAsia="zh-CN"/>
          <w14:textFill>
            <w14:solidFill>
              <w14:schemeClr w14:val="tx1"/>
            </w14:solidFill>
          </w14:textFill>
        </w:rPr>
        <w:t>表2.4-</w:t>
      </w:r>
      <w:r>
        <w:rPr>
          <w:rFonts w:hint="eastAsia" w:cs="Times New Roman" w:eastAsiaTheme="minorEastAsia"/>
          <w:b/>
          <w:color w:val="000000" w:themeColor="text1"/>
          <w:sz w:val="24"/>
          <w:highlight w:val="none"/>
          <w:lang w:val="en-US" w:eastAsia="zh-CN"/>
          <w14:textFill>
            <w14:solidFill>
              <w14:schemeClr w14:val="tx1"/>
            </w14:solidFill>
          </w14:textFill>
        </w:rPr>
        <w:t>5</w:t>
      </w:r>
      <w:r>
        <w:rPr>
          <w:rFonts w:hint="default" w:ascii="Times New Roman" w:hAnsi="Times New Roman" w:cs="Times New Roman" w:eastAsiaTheme="minorEastAsia"/>
          <w:b/>
          <w:color w:val="000000" w:themeColor="text1"/>
          <w:sz w:val="24"/>
          <w:highlight w:val="none"/>
          <w:lang w:val="en-US" w:eastAsia="zh-CN"/>
          <w14:textFill>
            <w14:solidFill>
              <w14:schemeClr w14:val="tx1"/>
            </w14:solidFill>
          </w14:textFill>
        </w:rPr>
        <w:t xml:space="preserve">   </w:t>
      </w:r>
      <w:r>
        <w:rPr>
          <w:rFonts w:hint="eastAsia" w:cs="Times New Roman" w:eastAsiaTheme="minorEastAsia"/>
          <w:b/>
          <w:color w:val="000000" w:themeColor="text1"/>
          <w:sz w:val="24"/>
          <w:highlight w:val="none"/>
          <w:lang w:val="en-US" w:eastAsia="zh-CN"/>
          <w14:textFill>
            <w14:solidFill>
              <w14:schemeClr w14:val="tx1"/>
            </w14:solidFill>
          </w14:textFill>
        </w:rPr>
        <w:t xml:space="preserve">        </w:t>
      </w:r>
      <w:r>
        <w:rPr>
          <w:rFonts w:hint="default" w:ascii="Times New Roman" w:hAnsi="Times New Roman" w:cs="Times New Roman" w:eastAsiaTheme="minorEastAsia"/>
          <w:b/>
          <w:color w:val="000000" w:themeColor="text1"/>
          <w:sz w:val="24"/>
          <w:highlight w:val="none"/>
          <w:lang w:val="en-US" w:eastAsia="zh-CN"/>
          <w14:textFill>
            <w14:solidFill>
              <w14:schemeClr w14:val="tx1"/>
            </w14:solidFill>
          </w14:textFill>
        </w:rPr>
        <w:t xml:space="preserve"> 《地下水质量标准》                (部分)</w:t>
      </w:r>
    </w:p>
    <w:p w14:paraId="466DC2FF">
      <w:pPr>
        <w:spacing w:line="19" w:lineRule="exact"/>
        <w:rPr>
          <w:rFonts w:hint="default" w:ascii="Times New Roman" w:hAnsi="Times New Roman" w:cs="Times New Roman" w:eastAsiaTheme="minorEastAsia"/>
          <w:color w:val="000000" w:themeColor="text1"/>
          <w:highlight w:val="none"/>
          <w14:textFill>
            <w14:solidFill>
              <w14:schemeClr w14:val="tx1"/>
            </w14:solidFill>
          </w14:textFill>
        </w:rPr>
      </w:pPr>
    </w:p>
    <w:tbl>
      <w:tblPr>
        <w:tblStyle w:val="612"/>
        <w:tblW w:w="8986"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1180"/>
        <w:gridCol w:w="2942"/>
        <w:gridCol w:w="1960"/>
        <w:gridCol w:w="2904"/>
      </w:tblGrid>
      <w:tr w14:paraId="5C1FBE5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tblHeader/>
        </w:trPr>
        <w:tc>
          <w:tcPr>
            <w:tcW w:w="1180" w:type="dxa"/>
            <w:tcBorders>
              <w:tl2br w:val="nil"/>
              <w:tr2bl w:val="nil"/>
            </w:tcBorders>
            <w:shd w:val="clear" w:color="auto" w:fill="auto"/>
            <w:vAlign w:val="center"/>
          </w:tcPr>
          <w:p w14:paraId="46AD55D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序号</w:t>
            </w:r>
          </w:p>
        </w:tc>
        <w:tc>
          <w:tcPr>
            <w:tcW w:w="2942" w:type="dxa"/>
            <w:tcBorders>
              <w:tl2br w:val="nil"/>
              <w:tr2bl w:val="nil"/>
            </w:tcBorders>
            <w:shd w:val="clear" w:color="auto" w:fill="auto"/>
            <w:vAlign w:val="center"/>
          </w:tcPr>
          <w:p w14:paraId="304F6E8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项目名称</w:t>
            </w:r>
          </w:p>
        </w:tc>
        <w:tc>
          <w:tcPr>
            <w:tcW w:w="1960" w:type="dxa"/>
            <w:tcBorders>
              <w:tl2br w:val="nil"/>
              <w:tr2bl w:val="nil"/>
            </w:tcBorders>
            <w:shd w:val="clear" w:color="auto" w:fill="auto"/>
            <w:vAlign w:val="center"/>
          </w:tcPr>
          <w:p w14:paraId="76E9E1B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单位</w:t>
            </w:r>
          </w:p>
        </w:tc>
        <w:tc>
          <w:tcPr>
            <w:tcW w:w="2904" w:type="dxa"/>
            <w:tcBorders>
              <w:tl2br w:val="nil"/>
              <w:tr2bl w:val="nil"/>
            </w:tcBorders>
            <w:shd w:val="clear" w:color="auto" w:fill="auto"/>
            <w:vAlign w:val="center"/>
          </w:tcPr>
          <w:p w14:paraId="147DAD7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Ⅲ类标准值</w:t>
            </w:r>
          </w:p>
        </w:tc>
      </w:tr>
      <w:tr w14:paraId="6B6AB58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180" w:type="dxa"/>
            <w:tcBorders>
              <w:tl2br w:val="nil"/>
              <w:tr2bl w:val="nil"/>
            </w:tcBorders>
            <w:shd w:val="clear" w:color="auto" w:fill="auto"/>
            <w:vAlign w:val="center"/>
          </w:tcPr>
          <w:p w14:paraId="733923D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1</w:t>
            </w:r>
          </w:p>
        </w:tc>
        <w:tc>
          <w:tcPr>
            <w:tcW w:w="2942" w:type="dxa"/>
            <w:tcBorders>
              <w:tl2br w:val="nil"/>
              <w:tr2bl w:val="nil"/>
            </w:tcBorders>
            <w:shd w:val="clear" w:color="auto" w:fill="auto"/>
            <w:vAlign w:val="center"/>
          </w:tcPr>
          <w:p w14:paraId="6584FCB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色</w:t>
            </w:r>
          </w:p>
        </w:tc>
        <w:tc>
          <w:tcPr>
            <w:tcW w:w="1960" w:type="dxa"/>
            <w:tcBorders>
              <w:tl2br w:val="nil"/>
              <w:tr2bl w:val="nil"/>
            </w:tcBorders>
            <w:shd w:val="clear" w:color="auto" w:fill="auto"/>
            <w:vAlign w:val="center"/>
          </w:tcPr>
          <w:p w14:paraId="179F148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铂钴色度单位</w:t>
            </w:r>
          </w:p>
        </w:tc>
        <w:tc>
          <w:tcPr>
            <w:tcW w:w="2904" w:type="dxa"/>
            <w:tcBorders>
              <w:tl2br w:val="nil"/>
              <w:tr2bl w:val="nil"/>
            </w:tcBorders>
            <w:shd w:val="clear" w:color="auto" w:fill="auto"/>
            <w:vAlign w:val="center"/>
          </w:tcPr>
          <w:p w14:paraId="39AD859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15</w:t>
            </w:r>
          </w:p>
        </w:tc>
      </w:tr>
      <w:tr w14:paraId="56B3061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180" w:type="dxa"/>
            <w:tcBorders>
              <w:tl2br w:val="nil"/>
              <w:tr2bl w:val="nil"/>
            </w:tcBorders>
            <w:vAlign w:val="center"/>
          </w:tcPr>
          <w:p w14:paraId="1EBF26B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2</w:t>
            </w:r>
          </w:p>
        </w:tc>
        <w:tc>
          <w:tcPr>
            <w:tcW w:w="2942" w:type="dxa"/>
            <w:tcBorders>
              <w:tl2br w:val="nil"/>
              <w:tr2bl w:val="nil"/>
            </w:tcBorders>
            <w:vAlign w:val="center"/>
          </w:tcPr>
          <w:p w14:paraId="6341AE5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嗅和味</w:t>
            </w:r>
          </w:p>
        </w:tc>
        <w:tc>
          <w:tcPr>
            <w:tcW w:w="1960" w:type="dxa"/>
            <w:tcBorders>
              <w:tl2br w:val="nil"/>
              <w:tr2bl w:val="nil"/>
            </w:tcBorders>
            <w:vAlign w:val="center"/>
          </w:tcPr>
          <w:p w14:paraId="207E466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w:t>
            </w:r>
          </w:p>
        </w:tc>
        <w:tc>
          <w:tcPr>
            <w:tcW w:w="2904" w:type="dxa"/>
            <w:tcBorders>
              <w:tl2br w:val="nil"/>
              <w:tr2bl w:val="nil"/>
            </w:tcBorders>
            <w:vAlign w:val="center"/>
          </w:tcPr>
          <w:p w14:paraId="694CF01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w:t>
            </w:r>
          </w:p>
        </w:tc>
      </w:tr>
      <w:tr w14:paraId="4F6E608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180" w:type="dxa"/>
            <w:tcBorders>
              <w:tl2br w:val="nil"/>
              <w:tr2bl w:val="nil"/>
            </w:tcBorders>
            <w:vAlign w:val="center"/>
          </w:tcPr>
          <w:p w14:paraId="1D43067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3</w:t>
            </w:r>
          </w:p>
        </w:tc>
        <w:tc>
          <w:tcPr>
            <w:tcW w:w="2942" w:type="dxa"/>
            <w:tcBorders>
              <w:tl2br w:val="nil"/>
              <w:tr2bl w:val="nil"/>
            </w:tcBorders>
            <w:vAlign w:val="center"/>
          </w:tcPr>
          <w:p w14:paraId="5C8A754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浑浊度</w:t>
            </w:r>
          </w:p>
        </w:tc>
        <w:tc>
          <w:tcPr>
            <w:tcW w:w="1960" w:type="dxa"/>
            <w:tcBorders>
              <w:tl2br w:val="nil"/>
              <w:tr2bl w:val="nil"/>
            </w:tcBorders>
            <w:vAlign w:val="center"/>
          </w:tcPr>
          <w:p w14:paraId="5129916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w:t>
            </w:r>
          </w:p>
        </w:tc>
        <w:tc>
          <w:tcPr>
            <w:tcW w:w="2904" w:type="dxa"/>
            <w:tcBorders>
              <w:tl2br w:val="nil"/>
              <w:tr2bl w:val="nil"/>
            </w:tcBorders>
            <w:vAlign w:val="center"/>
          </w:tcPr>
          <w:p w14:paraId="7E3A4E2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3</w:t>
            </w:r>
          </w:p>
        </w:tc>
      </w:tr>
      <w:tr w14:paraId="5DC6BD1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180" w:type="dxa"/>
            <w:tcBorders>
              <w:tl2br w:val="nil"/>
              <w:tr2bl w:val="nil"/>
            </w:tcBorders>
            <w:vAlign w:val="center"/>
          </w:tcPr>
          <w:p w14:paraId="5652AF4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4</w:t>
            </w:r>
          </w:p>
        </w:tc>
        <w:tc>
          <w:tcPr>
            <w:tcW w:w="2942" w:type="dxa"/>
            <w:tcBorders>
              <w:tl2br w:val="nil"/>
              <w:tr2bl w:val="nil"/>
            </w:tcBorders>
            <w:vAlign w:val="center"/>
          </w:tcPr>
          <w:p w14:paraId="4E74447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肉眼可见物</w:t>
            </w:r>
          </w:p>
        </w:tc>
        <w:tc>
          <w:tcPr>
            <w:tcW w:w="1960" w:type="dxa"/>
            <w:tcBorders>
              <w:tl2br w:val="nil"/>
              <w:tr2bl w:val="nil"/>
            </w:tcBorders>
            <w:vAlign w:val="center"/>
          </w:tcPr>
          <w:p w14:paraId="4715C4F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w:t>
            </w:r>
          </w:p>
        </w:tc>
        <w:tc>
          <w:tcPr>
            <w:tcW w:w="2904" w:type="dxa"/>
            <w:tcBorders>
              <w:tl2br w:val="nil"/>
              <w:tr2bl w:val="nil"/>
            </w:tcBorders>
            <w:vAlign w:val="center"/>
          </w:tcPr>
          <w:p w14:paraId="70ECA27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w:t>
            </w:r>
          </w:p>
        </w:tc>
      </w:tr>
      <w:tr w14:paraId="04D39AC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180" w:type="dxa"/>
            <w:tcBorders>
              <w:tl2br w:val="nil"/>
              <w:tr2bl w:val="nil"/>
            </w:tcBorders>
            <w:vAlign w:val="center"/>
          </w:tcPr>
          <w:p w14:paraId="45C125C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5</w:t>
            </w:r>
          </w:p>
        </w:tc>
        <w:tc>
          <w:tcPr>
            <w:tcW w:w="2942" w:type="dxa"/>
            <w:tcBorders>
              <w:tl2br w:val="nil"/>
              <w:tr2bl w:val="nil"/>
            </w:tcBorders>
            <w:vAlign w:val="center"/>
          </w:tcPr>
          <w:p w14:paraId="2EF4B0F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pH</w:t>
            </w:r>
          </w:p>
        </w:tc>
        <w:tc>
          <w:tcPr>
            <w:tcW w:w="1960" w:type="dxa"/>
            <w:tcBorders>
              <w:tl2br w:val="nil"/>
              <w:tr2bl w:val="nil"/>
            </w:tcBorders>
            <w:vAlign w:val="center"/>
          </w:tcPr>
          <w:p w14:paraId="20EA1DA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w:t>
            </w:r>
          </w:p>
        </w:tc>
        <w:tc>
          <w:tcPr>
            <w:tcW w:w="2904" w:type="dxa"/>
            <w:tcBorders>
              <w:tl2br w:val="nil"/>
              <w:tr2bl w:val="nil"/>
            </w:tcBorders>
            <w:vAlign w:val="center"/>
          </w:tcPr>
          <w:p w14:paraId="1595388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6.5～8.5</w:t>
            </w:r>
          </w:p>
        </w:tc>
      </w:tr>
      <w:tr w14:paraId="5E35DBD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180" w:type="dxa"/>
            <w:tcBorders>
              <w:tl2br w:val="nil"/>
              <w:tr2bl w:val="nil"/>
            </w:tcBorders>
            <w:vAlign w:val="center"/>
          </w:tcPr>
          <w:p w14:paraId="5CC349E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6</w:t>
            </w:r>
          </w:p>
        </w:tc>
        <w:tc>
          <w:tcPr>
            <w:tcW w:w="2942" w:type="dxa"/>
            <w:tcBorders>
              <w:tl2br w:val="nil"/>
              <w:tr2bl w:val="nil"/>
            </w:tcBorders>
            <w:vAlign w:val="center"/>
          </w:tcPr>
          <w:p w14:paraId="3584167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总硬度</w:t>
            </w:r>
          </w:p>
        </w:tc>
        <w:tc>
          <w:tcPr>
            <w:tcW w:w="1960" w:type="dxa"/>
            <w:tcBorders>
              <w:tl2br w:val="nil"/>
              <w:tr2bl w:val="nil"/>
            </w:tcBorders>
            <w:vAlign w:val="center"/>
          </w:tcPr>
          <w:p w14:paraId="0224F06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mg/L</w:t>
            </w:r>
          </w:p>
        </w:tc>
        <w:tc>
          <w:tcPr>
            <w:tcW w:w="2904" w:type="dxa"/>
            <w:tcBorders>
              <w:tl2br w:val="nil"/>
              <w:tr2bl w:val="nil"/>
            </w:tcBorders>
            <w:vAlign w:val="center"/>
          </w:tcPr>
          <w:p w14:paraId="5654D3C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450</w:t>
            </w:r>
          </w:p>
        </w:tc>
      </w:tr>
      <w:tr w14:paraId="4525487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180" w:type="dxa"/>
            <w:tcBorders>
              <w:tl2br w:val="nil"/>
              <w:tr2bl w:val="nil"/>
            </w:tcBorders>
            <w:vAlign w:val="center"/>
          </w:tcPr>
          <w:p w14:paraId="6485775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7</w:t>
            </w:r>
          </w:p>
        </w:tc>
        <w:tc>
          <w:tcPr>
            <w:tcW w:w="2942" w:type="dxa"/>
            <w:tcBorders>
              <w:tl2br w:val="nil"/>
              <w:tr2bl w:val="nil"/>
            </w:tcBorders>
            <w:vAlign w:val="center"/>
          </w:tcPr>
          <w:p w14:paraId="38FE85F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溶解性总固体</w:t>
            </w:r>
          </w:p>
        </w:tc>
        <w:tc>
          <w:tcPr>
            <w:tcW w:w="1960" w:type="dxa"/>
            <w:tcBorders>
              <w:tl2br w:val="nil"/>
              <w:tr2bl w:val="nil"/>
            </w:tcBorders>
            <w:vAlign w:val="center"/>
          </w:tcPr>
          <w:p w14:paraId="0793410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mg/L</w:t>
            </w:r>
          </w:p>
        </w:tc>
        <w:tc>
          <w:tcPr>
            <w:tcW w:w="2904" w:type="dxa"/>
            <w:tcBorders>
              <w:tl2br w:val="nil"/>
              <w:tr2bl w:val="nil"/>
            </w:tcBorders>
            <w:vAlign w:val="center"/>
          </w:tcPr>
          <w:p w14:paraId="441FD98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1000</w:t>
            </w:r>
          </w:p>
        </w:tc>
      </w:tr>
      <w:tr w14:paraId="14822BC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180" w:type="dxa"/>
            <w:tcBorders>
              <w:tl2br w:val="nil"/>
              <w:tr2bl w:val="nil"/>
            </w:tcBorders>
            <w:vAlign w:val="center"/>
          </w:tcPr>
          <w:p w14:paraId="17CDA32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8</w:t>
            </w:r>
          </w:p>
        </w:tc>
        <w:tc>
          <w:tcPr>
            <w:tcW w:w="2942" w:type="dxa"/>
            <w:tcBorders>
              <w:tl2br w:val="nil"/>
              <w:tr2bl w:val="nil"/>
            </w:tcBorders>
            <w:vAlign w:val="center"/>
          </w:tcPr>
          <w:p w14:paraId="467D7D4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硫酸盐</w:t>
            </w:r>
          </w:p>
        </w:tc>
        <w:tc>
          <w:tcPr>
            <w:tcW w:w="1960" w:type="dxa"/>
            <w:tcBorders>
              <w:tl2br w:val="nil"/>
              <w:tr2bl w:val="nil"/>
            </w:tcBorders>
            <w:vAlign w:val="center"/>
          </w:tcPr>
          <w:p w14:paraId="3463224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mg/L</w:t>
            </w:r>
          </w:p>
        </w:tc>
        <w:tc>
          <w:tcPr>
            <w:tcW w:w="2904" w:type="dxa"/>
            <w:tcBorders>
              <w:tl2br w:val="nil"/>
              <w:tr2bl w:val="nil"/>
            </w:tcBorders>
            <w:vAlign w:val="center"/>
          </w:tcPr>
          <w:p w14:paraId="4857A45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250</w:t>
            </w:r>
          </w:p>
        </w:tc>
      </w:tr>
      <w:tr w14:paraId="31569A0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180" w:type="dxa"/>
            <w:tcBorders>
              <w:tl2br w:val="nil"/>
              <w:tr2bl w:val="nil"/>
            </w:tcBorders>
            <w:vAlign w:val="center"/>
          </w:tcPr>
          <w:p w14:paraId="09B92DF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9</w:t>
            </w:r>
          </w:p>
        </w:tc>
        <w:tc>
          <w:tcPr>
            <w:tcW w:w="2942" w:type="dxa"/>
            <w:tcBorders>
              <w:tl2br w:val="nil"/>
              <w:tr2bl w:val="nil"/>
            </w:tcBorders>
            <w:vAlign w:val="center"/>
          </w:tcPr>
          <w:p w14:paraId="5CB412C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氯化物</w:t>
            </w:r>
          </w:p>
        </w:tc>
        <w:tc>
          <w:tcPr>
            <w:tcW w:w="1960" w:type="dxa"/>
            <w:tcBorders>
              <w:tl2br w:val="nil"/>
              <w:tr2bl w:val="nil"/>
            </w:tcBorders>
            <w:vAlign w:val="center"/>
          </w:tcPr>
          <w:p w14:paraId="401FD12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mg/L</w:t>
            </w:r>
          </w:p>
        </w:tc>
        <w:tc>
          <w:tcPr>
            <w:tcW w:w="2904" w:type="dxa"/>
            <w:tcBorders>
              <w:tl2br w:val="nil"/>
              <w:tr2bl w:val="nil"/>
            </w:tcBorders>
            <w:vAlign w:val="center"/>
          </w:tcPr>
          <w:p w14:paraId="555E655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250</w:t>
            </w:r>
          </w:p>
        </w:tc>
      </w:tr>
      <w:tr w14:paraId="0302050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180" w:type="dxa"/>
            <w:tcBorders>
              <w:tl2br w:val="nil"/>
              <w:tr2bl w:val="nil"/>
            </w:tcBorders>
            <w:vAlign w:val="center"/>
          </w:tcPr>
          <w:p w14:paraId="512436C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10</w:t>
            </w:r>
          </w:p>
        </w:tc>
        <w:tc>
          <w:tcPr>
            <w:tcW w:w="2942" w:type="dxa"/>
            <w:tcBorders>
              <w:tl2br w:val="nil"/>
              <w:tr2bl w:val="nil"/>
            </w:tcBorders>
            <w:vAlign w:val="center"/>
          </w:tcPr>
          <w:p w14:paraId="671F411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铁</w:t>
            </w:r>
          </w:p>
        </w:tc>
        <w:tc>
          <w:tcPr>
            <w:tcW w:w="1960" w:type="dxa"/>
            <w:tcBorders>
              <w:tl2br w:val="nil"/>
              <w:tr2bl w:val="nil"/>
            </w:tcBorders>
            <w:vAlign w:val="center"/>
          </w:tcPr>
          <w:p w14:paraId="224687A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mg/L</w:t>
            </w:r>
          </w:p>
        </w:tc>
        <w:tc>
          <w:tcPr>
            <w:tcW w:w="2904" w:type="dxa"/>
            <w:tcBorders>
              <w:tl2br w:val="nil"/>
              <w:tr2bl w:val="nil"/>
            </w:tcBorders>
            <w:vAlign w:val="center"/>
          </w:tcPr>
          <w:p w14:paraId="2AE1543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0.3</w:t>
            </w:r>
          </w:p>
        </w:tc>
      </w:tr>
      <w:tr w14:paraId="0411778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180" w:type="dxa"/>
            <w:tcBorders>
              <w:tl2br w:val="nil"/>
              <w:tr2bl w:val="nil"/>
            </w:tcBorders>
            <w:vAlign w:val="center"/>
          </w:tcPr>
          <w:p w14:paraId="3D73FF2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11</w:t>
            </w:r>
          </w:p>
        </w:tc>
        <w:tc>
          <w:tcPr>
            <w:tcW w:w="2942" w:type="dxa"/>
            <w:tcBorders>
              <w:tl2br w:val="nil"/>
              <w:tr2bl w:val="nil"/>
            </w:tcBorders>
            <w:vAlign w:val="center"/>
          </w:tcPr>
          <w:p w14:paraId="612A11E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锰</w:t>
            </w:r>
          </w:p>
        </w:tc>
        <w:tc>
          <w:tcPr>
            <w:tcW w:w="1960" w:type="dxa"/>
            <w:tcBorders>
              <w:tl2br w:val="nil"/>
              <w:tr2bl w:val="nil"/>
            </w:tcBorders>
            <w:vAlign w:val="center"/>
          </w:tcPr>
          <w:p w14:paraId="248BAE5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mg/L</w:t>
            </w:r>
          </w:p>
        </w:tc>
        <w:tc>
          <w:tcPr>
            <w:tcW w:w="2904" w:type="dxa"/>
            <w:tcBorders>
              <w:tl2br w:val="nil"/>
              <w:tr2bl w:val="nil"/>
            </w:tcBorders>
            <w:vAlign w:val="center"/>
          </w:tcPr>
          <w:p w14:paraId="061F720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0.10</w:t>
            </w:r>
          </w:p>
        </w:tc>
      </w:tr>
      <w:tr w14:paraId="10BD633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180" w:type="dxa"/>
            <w:tcBorders>
              <w:tl2br w:val="nil"/>
              <w:tr2bl w:val="nil"/>
            </w:tcBorders>
            <w:vAlign w:val="center"/>
          </w:tcPr>
          <w:p w14:paraId="60FE6DD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12</w:t>
            </w:r>
          </w:p>
        </w:tc>
        <w:tc>
          <w:tcPr>
            <w:tcW w:w="2942" w:type="dxa"/>
            <w:tcBorders>
              <w:tl2br w:val="nil"/>
              <w:tr2bl w:val="nil"/>
            </w:tcBorders>
            <w:vAlign w:val="center"/>
          </w:tcPr>
          <w:p w14:paraId="525EC04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铜</w:t>
            </w:r>
          </w:p>
        </w:tc>
        <w:tc>
          <w:tcPr>
            <w:tcW w:w="1960" w:type="dxa"/>
            <w:tcBorders>
              <w:tl2br w:val="nil"/>
              <w:tr2bl w:val="nil"/>
            </w:tcBorders>
            <w:vAlign w:val="center"/>
          </w:tcPr>
          <w:p w14:paraId="7B8ECAB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mg/L</w:t>
            </w:r>
          </w:p>
        </w:tc>
        <w:tc>
          <w:tcPr>
            <w:tcW w:w="2904" w:type="dxa"/>
            <w:tcBorders>
              <w:tl2br w:val="nil"/>
              <w:tr2bl w:val="nil"/>
            </w:tcBorders>
            <w:vAlign w:val="center"/>
          </w:tcPr>
          <w:p w14:paraId="28B62FB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1</w:t>
            </w:r>
          </w:p>
        </w:tc>
      </w:tr>
      <w:tr w14:paraId="0744871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180" w:type="dxa"/>
            <w:tcBorders>
              <w:tl2br w:val="nil"/>
              <w:tr2bl w:val="nil"/>
            </w:tcBorders>
            <w:vAlign w:val="center"/>
          </w:tcPr>
          <w:p w14:paraId="2AFA86B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13</w:t>
            </w:r>
          </w:p>
        </w:tc>
        <w:tc>
          <w:tcPr>
            <w:tcW w:w="2942" w:type="dxa"/>
            <w:tcBorders>
              <w:tl2br w:val="nil"/>
              <w:tr2bl w:val="nil"/>
            </w:tcBorders>
            <w:vAlign w:val="center"/>
          </w:tcPr>
          <w:p w14:paraId="4DA2E48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锌</w:t>
            </w:r>
          </w:p>
        </w:tc>
        <w:tc>
          <w:tcPr>
            <w:tcW w:w="1960" w:type="dxa"/>
            <w:tcBorders>
              <w:tl2br w:val="nil"/>
              <w:tr2bl w:val="nil"/>
            </w:tcBorders>
            <w:vAlign w:val="center"/>
          </w:tcPr>
          <w:p w14:paraId="70FCFAE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mg/L</w:t>
            </w:r>
          </w:p>
        </w:tc>
        <w:tc>
          <w:tcPr>
            <w:tcW w:w="2904" w:type="dxa"/>
            <w:tcBorders>
              <w:tl2br w:val="nil"/>
              <w:tr2bl w:val="nil"/>
            </w:tcBorders>
            <w:vAlign w:val="center"/>
          </w:tcPr>
          <w:p w14:paraId="6C811F8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1</w:t>
            </w:r>
          </w:p>
        </w:tc>
      </w:tr>
      <w:tr w14:paraId="4ADC754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180" w:type="dxa"/>
            <w:tcBorders>
              <w:tl2br w:val="nil"/>
              <w:tr2bl w:val="nil"/>
            </w:tcBorders>
            <w:vAlign w:val="center"/>
          </w:tcPr>
          <w:p w14:paraId="159540F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14</w:t>
            </w:r>
          </w:p>
        </w:tc>
        <w:tc>
          <w:tcPr>
            <w:tcW w:w="2942" w:type="dxa"/>
            <w:tcBorders>
              <w:tl2br w:val="nil"/>
              <w:tr2bl w:val="nil"/>
            </w:tcBorders>
            <w:vAlign w:val="center"/>
          </w:tcPr>
          <w:p w14:paraId="76E087B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挥发酚</w:t>
            </w:r>
          </w:p>
        </w:tc>
        <w:tc>
          <w:tcPr>
            <w:tcW w:w="1960" w:type="dxa"/>
            <w:tcBorders>
              <w:tl2br w:val="nil"/>
              <w:tr2bl w:val="nil"/>
            </w:tcBorders>
            <w:vAlign w:val="center"/>
          </w:tcPr>
          <w:p w14:paraId="212842D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mg/L</w:t>
            </w:r>
          </w:p>
        </w:tc>
        <w:tc>
          <w:tcPr>
            <w:tcW w:w="2904" w:type="dxa"/>
            <w:tcBorders>
              <w:tl2br w:val="nil"/>
              <w:tr2bl w:val="nil"/>
            </w:tcBorders>
            <w:vAlign w:val="center"/>
          </w:tcPr>
          <w:p w14:paraId="33181E6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0.002</w:t>
            </w:r>
          </w:p>
        </w:tc>
      </w:tr>
      <w:tr w14:paraId="2F97633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180" w:type="dxa"/>
            <w:tcBorders>
              <w:tl2br w:val="nil"/>
              <w:tr2bl w:val="nil"/>
            </w:tcBorders>
            <w:vAlign w:val="center"/>
          </w:tcPr>
          <w:p w14:paraId="42CCDB7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15</w:t>
            </w:r>
          </w:p>
        </w:tc>
        <w:tc>
          <w:tcPr>
            <w:tcW w:w="2942" w:type="dxa"/>
            <w:tcBorders>
              <w:tl2br w:val="nil"/>
              <w:tr2bl w:val="nil"/>
            </w:tcBorders>
            <w:vAlign w:val="center"/>
          </w:tcPr>
          <w:p w14:paraId="45D2276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阴离子表面活性剂</w:t>
            </w:r>
          </w:p>
        </w:tc>
        <w:tc>
          <w:tcPr>
            <w:tcW w:w="1960" w:type="dxa"/>
            <w:tcBorders>
              <w:tl2br w:val="nil"/>
              <w:tr2bl w:val="nil"/>
            </w:tcBorders>
            <w:vAlign w:val="center"/>
          </w:tcPr>
          <w:p w14:paraId="640B1BD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mg/L</w:t>
            </w:r>
          </w:p>
        </w:tc>
        <w:tc>
          <w:tcPr>
            <w:tcW w:w="2904" w:type="dxa"/>
            <w:tcBorders>
              <w:tl2br w:val="nil"/>
              <w:tr2bl w:val="nil"/>
            </w:tcBorders>
            <w:vAlign w:val="center"/>
          </w:tcPr>
          <w:p w14:paraId="199995E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0.3</w:t>
            </w:r>
          </w:p>
        </w:tc>
      </w:tr>
      <w:tr w14:paraId="136690C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180" w:type="dxa"/>
            <w:tcBorders>
              <w:tl2br w:val="nil"/>
              <w:tr2bl w:val="nil"/>
            </w:tcBorders>
            <w:vAlign w:val="center"/>
          </w:tcPr>
          <w:p w14:paraId="5787543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16</w:t>
            </w:r>
          </w:p>
        </w:tc>
        <w:tc>
          <w:tcPr>
            <w:tcW w:w="2942" w:type="dxa"/>
            <w:tcBorders>
              <w:tl2br w:val="nil"/>
              <w:tr2bl w:val="nil"/>
            </w:tcBorders>
            <w:vAlign w:val="center"/>
          </w:tcPr>
          <w:p w14:paraId="0CA6CB6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氨氮</w:t>
            </w:r>
          </w:p>
        </w:tc>
        <w:tc>
          <w:tcPr>
            <w:tcW w:w="1960" w:type="dxa"/>
            <w:tcBorders>
              <w:tl2br w:val="nil"/>
              <w:tr2bl w:val="nil"/>
            </w:tcBorders>
            <w:vAlign w:val="center"/>
          </w:tcPr>
          <w:p w14:paraId="2E354A3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mg/L</w:t>
            </w:r>
          </w:p>
        </w:tc>
        <w:tc>
          <w:tcPr>
            <w:tcW w:w="2904" w:type="dxa"/>
            <w:tcBorders>
              <w:tl2br w:val="nil"/>
              <w:tr2bl w:val="nil"/>
            </w:tcBorders>
            <w:vAlign w:val="center"/>
          </w:tcPr>
          <w:p w14:paraId="6C846B3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0.5</w:t>
            </w:r>
          </w:p>
        </w:tc>
      </w:tr>
      <w:tr w14:paraId="0170FED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180" w:type="dxa"/>
            <w:tcBorders>
              <w:tl2br w:val="nil"/>
              <w:tr2bl w:val="nil"/>
            </w:tcBorders>
            <w:vAlign w:val="center"/>
          </w:tcPr>
          <w:p w14:paraId="25D1747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17</w:t>
            </w:r>
          </w:p>
        </w:tc>
        <w:tc>
          <w:tcPr>
            <w:tcW w:w="2942" w:type="dxa"/>
            <w:tcBorders>
              <w:tl2br w:val="nil"/>
              <w:tr2bl w:val="nil"/>
            </w:tcBorders>
            <w:vAlign w:val="center"/>
          </w:tcPr>
          <w:p w14:paraId="4F77C7C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硫化物</w:t>
            </w:r>
          </w:p>
        </w:tc>
        <w:tc>
          <w:tcPr>
            <w:tcW w:w="1960" w:type="dxa"/>
            <w:tcBorders>
              <w:tl2br w:val="nil"/>
              <w:tr2bl w:val="nil"/>
            </w:tcBorders>
            <w:vAlign w:val="center"/>
          </w:tcPr>
          <w:p w14:paraId="2127BC8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mg/L</w:t>
            </w:r>
          </w:p>
        </w:tc>
        <w:tc>
          <w:tcPr>
            <w:tcW w:w="2904" w:type="dxa"/>
            <w:tcBorders>
              <w:tl2br w:val="nil"/>
              <w:tr2bl w:val="nil"/>
            </w:tcBorders>
            <w:vAlign w:val="center"/>
          </w:tcPr>
          <w:p w14:paraId="65DB192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0.02</w:t>
            </w:r>
          </w:p>
        </w:tc>
      </w:tr>
      <w:tr w14:paraId="53E141D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180" w:type="dxa"/>
            <w:tcBorders>
              <w:tl2br w:val="nil"/>
              <w:tr2bl w:val="nil"/>
            </w:tcBorders>
            <w:vAlign w:val="center"/>
          </w:tcPr>
          <w:p w14:paraId="11DB3E5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18</w:t>
            </w:r>
          </w:p>
        </w:tc>
        <w:tc>
          <w:tcPr>
            <w:tcW w:w="2942" w:type="dxa"/>
            <w:tcBorders>
              <w:tl2br w:val="nil"/>
              <w:tr2bl w:val="nil"/>
            </w:tcBorders>
            <w:vAlign w:val="center"/>
          </w:tcPr>
          <w:p w14:paraId="14420BE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钠</w:t>
            </w:r>
          </w:p>
        </w:tc>
        <w:tc>
          <w:tcPr>
            <w:tcW w:w="1960" w:type="dxa"/>
            <w:tcBorders>
              <w:tl2br w:val="nil"/>
              <w:tr2bl w:val="nil"/>
            </w:tcBorders>
            <w:vAlign w:val="center"/>
          </w:tcPr>
          <w:p w14:paraId="6131462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mg/L</w:t>
            </w:r>
          </w:p>
        </w:tc>
        <w:tc>
          <w:tcPr>
            <w:tcW w:w="2904" w:type="dxa"/>
            <w:tcBorders>
              <w:tl2br w:val="nil"/>
              <w:tr2bl w:val="nil"/>
            </w:tcBorders>
            <w:vAlign w:val="center"/>
          </w:tcPr>
          <w:p w14:paraId="195CCED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200</w:t>
            </w:r>
          </w:p>
        </w:tc>
      </w:tr>
      <w:tr w14:paraId="6E8C145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180" w:type="dxa"/>
            <w:tcBorders>
              <w:tl2br w:val="nil"/>
              <w:tr2bl w:val="nil"/>
            </w:tcBorders>
            <w:vAlign w:val="center"/>
          </w:tcPr>
          <w:p w14:paraId="0D7486C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19</w:t>
            </w:r>
          </w:p>
        </w:tc>
        <w:tc>
          <w:tcPr>
            <w:tcW w:w="2942" w:type="dxa"/>
            <w:tcBorders>
              <w:tl2br w:val="nil"/>
              <w:tr2bl w:val="nil"/>
            </w:tcBorders>
            <w:vAlign w:val="center"/>
          </w:tcPr>
          <w:p w14:paraId="508D8E9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总大肠菌群</w:t>
            </w:r>
          </w:p>
        </w:tc>
        <w:tc>
          <w:tcPr>
            <w:tcW w:w="1960" w:type="dxa"/>
            <w:tcBorders>
              <w:tl2br w:val="nil"/>
              <w:tr2bl w:val="nil"/>
            </w:tcBorders>
            <w:vAlign w:val="center"/>
          </w:tcPr>
          <w:p w14:paraId="72DF27E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个/L</w:t>
            </w:r>
          </w:p>
        </w:tc>
        <w:tc>
          <w:tcPr>
            <w:tcW w:w="2904" w:type="dxa"/>
            <w:tcBorders>
              <w:tl2br w:val="nil"/>
              <w:tr2bl w:val="nil"/>
            </w:tcBorders>
            <w:vAlign w:val="center"/>
          </w:tcPr>
          <w:p w14:paraId="1BAA690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3.0</w:t>
            </w:r>
          </w:p>
        </w:tc>
      </w:tr>
      <w:tr w14:paraId="772B8E5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180" w:type="dxa"/>
            <w:tcBorders>
              <w:tl2br w:val="nil"/>
              <w:tr2bl w:val="nil"/>
            </w:tcBorders>
            <w:vAlign w:val="center"/>
          </w:tcPr>
          <w:p w14:paraId="55033BE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20</w:t>
            </w:r>
          </w:p>
        </w:tc>
        <w:tc>
          <w:tcPr>
            <w:tcW w:w="2942" w:type="dxa"/>
            <w:tcBorders>
              <w:tl2br w:val="nil"/>
              <w:tr2bl w:val="nil"/>
            </w:tcBorders>
            <w:vAlign w:val="center"/>
          </w:tcPr>
          <w:p w14:paraId="7C199A9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菌落总数</w:t>
            </w:r>
          </w:p>
        </w:tc>
        <w:tc>
          <w:tcPr>
            <w:tcW w:w="1960" w:type="dxa"/>
            <w:tcBorders>
              <w:tl2br w:val="nil"/>
              <w:tr2bl w:val="nil"/>
            </w:tcBorders>
            <w:vAlign w:val="center"/>
          </w:tcPr>
          <w:p w14:paraId="3B7AB8C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个/L</w:t>
            </w:r>
          </w:p>
        </w:tc>
        <w:tc>
          <w:tcPr>
            <w:tcW w:w="2904" w:type="dxa"/>
            <w:tcBorders>
              <w:tl2br w:val="nil"/>
              <w:tr2bl w:val="nil"/>
            </w:tcBorders>
            <w:vAlign w:val="center"/>
          </w:tcPr>
          <w:p w14:paraId="624262B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100</w:t>
            </w:r>
          </w:p>
        </w:tc>
      </w:tr>
      <w:tr w14:paraId="00E26B3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180" w:type="dxa"/>
            <w:tcBorders>
              <w:tl2br w:val="nil"/>
              <w:tr2bl w:val="nil"/>
            </w:tcBorders>
            <w:vAlign w:val="center"/>
          </w:tcPr>
          <w:p w14:paraId="162C093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21</w:t>
            </w:r>
          </w:p>
        </w:tc>
        <w:tc>
          <w:tcPr>
            <w:tcW w:w="2942" w:type="dxa"/>
            <w:tcBorders>
              <w:tl2br w:val="nil"/>
              <w:tr2bl w:val="nil"/>
            </w:tcBorders>
            <w:vAlign w:val="center"/>
          </w:tcPr>
          <w:p w14:paraId="67BC424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亚硝酸盐氮</w:t>
            </w:r>
          </w:p>
        </w:tc>
        <w:tc>
          <w:tcPr>
            <w:tcW w:w="1960" w:type="dxa"/>
            <w:tcBorders>
              <w:tl2br w:val="nil"/>
              <w:tr2bl w:val="nil"/>
            </w:tcBorders>
            <w:vAlign w:val="center"/>
          </w:tcPr>
          <w:p w14:paraId="48676E9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mg/L</w:t>
            </w:r>
          </w:p>
        </w:tc>
        <w:tc>
          <w:tcPr>
            <w:tcW w:w="2904" w:type="dxa"/>
            <w:tcBorders>
              <w:tl2br w:val="nil"/>
              <w:tr2bl w:val="nil"/>
            </w:tcBorders>
            <w:vAlign w:val="center"/>
          </w:tcPr>
          <w:p w14:paraId="1A9CDAC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1</w:t>
            </w:r>
          </w:p>
        </w:tc>
      </w:tr>
      <w:tr w14:paraId="46F5928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180" w:type="dxa"/>
            <w:tcBorders>
              <w:tl2br w:val="nil"/>
              <w:tr2bl w:val="nil"/>
            </w:tcBorders>
            <w:vAlign w:val="center"/>
          </w:tcPr>
          <w:p w14:paraId="3A1F8E2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22</w:t>
            </w:r>
          </w:p>
        </w:tc>
        <w:tc>
          <w:tcPr>
            <w:tcW w:w="2942" w:type="dxa"/>
            <w:tcBorders>
              <w:tl2br w:val="nil"/>
              <w:tr2bl w:val="nil"/>
            </w:tcBorders>
            <w:vAlign w:val="center"/>
          </w:tcPr>
          <w:p w14:paraId="3415878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硝酸盐氮</w:t>
            </w:r>
          </w:p>
        </w:tc>
        <w:tc>
          <w:tcPr>
            <w:tcW w:w="1960" w:type="dxa"/>
            <w:tcBorders>
              <w:tl2br w:val="nil"/>
              <w:tr2bl w:val="nil"/>
            </w:tcBorders>
            <w:vAlign w:val="center"/>
          </w:tcPr>
          <w:p w14:paraId="42B5B67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mg/L</w:t>
            </w:r>
          </w:p>
        </w:tc>
        <w:tc>
          <w:tcPr>
            <w:tcW w:w="2904" w:type="dxa"/>
            <w:tcBorders>
              <w:tl2br w:val="nil"/>
              <w:tr2bl w:val="nil"/>
            </w:tcBorders>
            <w:vAlign w:val="center"/>
          </w:tcPr>
          <w:p w14:paraId="1EB6C22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20</w:t>
            </w:r>
          </w:p>
        </w:tc>
      </w:tr>
      <w:tr w14:paraId="5819899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180" w:type="dxa"/>
            <w:tcBorders>
              <w:tl2br w:val="nil"/>
              <w:tr2bl w:val="nil"/>
            </w:tcBorders>
            <w:vAlign w:val="center"/>
          </w:tcPr>
          <w:p w14:paraId="0DC4099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23</w:t>
            </w:r>
          </w:p>
        </w:tc>
        <w:tc>
          <w:tcPr>
            <w:tcW w:w="2942" w:type="dxa"/>
            <w:tcBorders>
              <w:tl2br w:val="nil"/>
              <w:tr2bl w:val="nil"/>
            </w:tcBorders>
            <w:vAlign w:val="center"/>
          </w:tcPr>
          <w:p w14:paraId="5B802FF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氰化物</w:t>
            </w:r>
          </w:p>
        </w:tc>
        <w:tc>
          <w:tcPr>
            <w:tcW w:w="1960" w:type="dxa"/>
            <w:tcBorders>
              <w:tl2br w:val="nil"/>
              <w:tr2bl w:val="nil"/>
            </w:tcBorders>
            <w:vAlign w:val="center"/>
          </w:tcPr>
          <w:p w14:paraId="2AF0EC6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mg/L</w:t>
            </w:r>
          </w:p>
        </w:tc>
        <w:tc>
          <w:tcPr>
            <w:tcW w:w="2904" w:type="dxa"/>
            <w:tcBorders>
              <w:tl2br w:val="nil"/>
              <w:tr2bl w:val="nil"/>
            </w:tcBorders>
            <w:vAlign w:val="center"/>
          </w:tcPr>
          <w:p w14:paraId="7ED65D2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0.05</w:t>
            </w:r>
          </w:p>
        </w:tc>
      </w:tr>
      <w:tr w14:paraId="0A169B5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180" w:type="dxa"/>
            <w:tcBorders>
              <w:tl2br w:val="nil"/>
              <w:tr2bl w:val="nil"/>
            </w:tcBorders>
            <w:vAlign w:val="center"/>
          </w:tcPr>
          <w:p w14:paraId="1390AE1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24</w:t>
            </w:r>
          </w:p>
        </w:tc>
        <w:tc>
          <w:tcPr>
            <w:tcW w:w="2942" w:type="dxa"/>
            <w:tcBorders>
              <w:tl2br w:val="nil"/>
              <w:tr2bl w:val="nil"/>
            </w:tcBorders>
            <w:vAlign w:val="center"/>
          </w:tcPr>
          <w:p w14:paraId="0CE4857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氟化物</w:t>
            </w:r>
          </w:p>
        </w:tc>
        <w:tc>
          <w:tcPr>
            <w:tcW w:w="1960" w:type="dxa"/>
            <w:tcBorders>
              <w:tl2br w:val="nil"/>
              <w:tr2bl w:val="nil"/>
            </w:tcBorders>
            <w:vAlign w:val="center"/>
          </w:tcPr>
          <w:p w14:paraId="45582B6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mg/L</w:t>
            </w:r>
          </w:p>
        </w:tc>
        <w:tc>
          <w:tcPr>
            <w:tcW w:w="2904" w:type="dxa"/>
            <w:tcBorders>
              <w:tl2br w:val="nil"/>
              <w:tr2bl w:val="nil"/>
            </w:tcBorders>
            <w:vAlign w:val="center"/>
          </w:tcPr>
          <w:p w14:paraId="72D9D48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1.0</w:t>
            </w:r>
          </w:p>
        </w:tc>
      </w:tr>
      <w:tr w14:paraId="14A7C7A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180" w:type="dxa"/>
            <w:tcBorders>
              <w:tl2br w:val="nil"/>
              <w:tr2bl w:val="nil"/>
            </w:tcBorders>
            <w:vAlign w:val="center"/>
          </w:tcPr>
          <w:p w14:paraId="20F3420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25</w:t>
            </w:r>
          </w:p>
        </w:tc>
        <w:tc>
          <w:tcPr>
            <w:tcW w:w="2942" w:type="dxa"/>
            <w:tcBorders>
              <w:tl2br w:val="nil"/>
              <w:tr2bl w:val="nil"/>
            </w:tcBorders>
            <w:vAlign w:val="center"/>
          </w:tcPr>
          <w:p w14:paraId="66ABCA0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碘化物</w:t>
            </w:r>
          </w:p>
        </w:tc>
        <w:tc>
          <w:tcPr>
            <w:tcW w:w="1960" w:type="dxa"/>
            <w:tcBorders>
              <w:tl2br w:val="nil"/>
              <w:tr2bl w:val="nil"/>
            </w:tcBorders>
            <w:vAlign w:val="center"/>
          </w:tcPr>
          <w:p w14:paraId="1C5A8A9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mg/L</w:t>
            </w:r>
          </w:p>
        </w:tc>
        <w:tc>
          <w:tcPr>
            <w:tcW w:w="2904" w:type="dxa"/>
            <w:tcBorders>
              <w:tl2br w:val="nil"/>
              <w:tr2bl w:val="nil"/>
            </w:tcBorders>
            <w:vAlign w:val="center"/>
          </w:tcPr>
          <w:p w14:paraId="36793A4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0.008</w:t>
            </w:r>
          </w:p>
        </w:tc>
      </w:tr>
      <w:tr w14:paraId="167ECBD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180" w:type="dxa"/>
            <w:tcBorders>
              <w:tl2br w:val="nil"/>
              <w:tr2bl w:val="nil"/>
            </w:tcBorders>
            <w:vAlign w:val="center"/>
          </w:tcPr>
          <w:p w14:paraId="1973336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26</w:t>
            </w:r>
          </w:p>
        </w:tc>
        <w:tc>
          <w:tcPr>
            <w:tcW w:w="2942" w:type="dxa"/>
            <w:tcBorders>
              <w:tl2br w:val="nil"/>
              <w:tr2bl w:val="nil"/>
            </w:tcBorders>
            <w:vAlign w:val="center"/>
          </w:tcPr>
          <w:p w14:paraId="6F228B0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汞</w:t>
            </w:r>
          </w:p>
        </w:tc>
        <w:tc>
          <w:tcPr>
            <w:tcW w:w="1960" w:type="dxa"/>
            <w:tcBorders>
              <w:tl2br w:val="nil"/>
              <w:tr2bl w:val="nil"/>
            </w:tcBorders>
            <w:vAlign w:val="center"/>
          </w:tcPr>
          <w:p w14:paraId="71CE9A9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mg/L</w:t>
            </w:r>
          </w:p>
        </w:tc>
        <w:tc>
          <w:tcPr>
            <w:tcW w:w="2904" w:type="dxa"/>
            <w:tcBorders>
              <w:tl2br w:val="nil"/>
              <w:tr2bl w:val="nil"/>
            </w:tcBorders>
            <w:vAlign w:val="center"/>
          </w:tcPr>
          <w:p w14:paraId="13A4DC4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0.001</w:t>
            </w:r>
          </w:p>
        </w:tc>
      </w:tr>
      <w:tr w14:paraId="756D210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180" w:type="dxa"/>
            <w:tcBorders>
              <w:tl2br w:val="nil"/>
              <w:tr2bl w:val="nil"/>
            </w:tcBorders>
            <w:vAlign w:val="center"/>
          </w:tcPr>
          <w:p w14:paraId="6CB5931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27</w:t>
            </w:r>
          </w:p>
        </w:tc>
        <w:tc>
          <w:tcPr>
            <w:tcW w:w="2942" w:type="dxa"/>
            <w:tcBorders>
              <w:tl2br w:val="nil"/>
              <w:tr2bl w:val="nil"/>
            </w:tcBorders>
            <w:vAlign w:val="center"/>
          </w:tcPr>
          <w:p w14:paraId="1A6033C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砷</w:t>
            </w:r>
          </w:p>
        </w:tc>
        <w:tc>
          <w:tcPr>
            <w:tcW w:w="1960" w:type="dxa"/>
            <w:tcBorders>
              <w:tl2br w:val="nil"/>
              <w:tr2bl w:val="nil"/>
            </w:tcBorders>
            <w:vAlign w:val="center"/>
          </w:tcPr>
          <w:p w14:paraId="6E5A59E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mg/L</w:t>
            </w:r>
          </w:p>
        </w:tc>
        <w:tc>
          <w:tcPr>
            <w:tcW w:w="2904" w:type="dxa"/>
            <w:tcBorders>
              <w:tl2br w:val="nil"/>
              <w:tr2bl w:val="nil"/>
            </w:tcBorders>
            <w:vAlign w:val="center"/>
          </w:tcPr>
          <w:p w14:paraId="52DE951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0.01</w:t>
            </w:r>
          </w:p>
        </w:tc>
      </w:tr>
      <w:tr w14:paraId="1BA2E0A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180" w:type="dxa"/>
            <w:tcBorders>
              <w:tl2br w:val="nil"/>
              <w:tr2bl w:val="nil"/>
            </w:tcBorders>
            <w:vAlign w:val="center"/>
          </w:tcPr>
          <w:p w14:paraId="1FE6D95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28</w:t>
            </w:r>
          </w:p>
        </w:tc>
        <w:tc>
          <w:tcPr>
            <w:tcW w:w="2942" w:type="dxa"/>
            <w:tcBorders>
              <w:tl2br w:val="nil"/>
              <w:tr2bl w:val="nil"/>
            </w:tcBorders>
            <w:vAlign w:val="center"/>
          </w:tcPr>
          <w:p w14:paraId="689C98B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硒</w:t>
            </w:r>
          </w:p>
        </w:tc>
        <w:tc>
          <w:tcPr>
            <w:tcW w:w="1960" w:type="dxa"/>
            <w:tcBorders>
              <w:tl2br w:val="nil"/>
              <w:tr2bl w:val="nil"/>
            </w:tcBorders>
            <w:vAlign w:val="center"/>
          </w:tcPr>
          <w:p w14:paraId="555171F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mg/L</w:t>
            </w:r>
          </w:p>
        </w:tc>
        <w:tc>
          <w:tcPr>
            <w:tcW w:w="2904" w:type="dxa"/>
            <w:tcBorders>
              <w:tl2br w:val="nil"/>
              <w:tr2bl w:val="nil"/>
            </w:tcBorders>
            <w:vAlign w:val="center"/>
          </w:tcPr>
          <w:p w14:paraId="70E1C59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0.01</w:t>
            </w:r>
          </w:p>
        </w:tc>
      </w:tr>
      <w:tr w14:paraId="5F61D1A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180" w:type="dxa"/>
            <w:tcBorders>
              <w:tl2br w:val="nil"/>
              <w:tr2bl w:val="nil"/>
            </w:tcBorders>
            <w:vAlign w:val="center"/>
          </w:tcPr>
          <w:p w14:paraId="194D0A0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29</w:t>
            </w:r>
          </w:p>
        </w:tc>
        <w:tc>
          <w:tcPr>
            <w:tcW w:w="2942" w:type="dxa"/>
            <w:tcBorders>
              <w:tl2br w:val="nil"/>
              <w:tr2bl w:val="nil"/>
            </w:tcBorders>
            <w:vAlign w:val="center"/>
          </w:tcPr>
          <w:p w14:paraId="1479BFB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镉</w:t>
            </w:r>
          </w:p>
        </w:tc>
        <w:tc>
          <w:tcPr>
            <w:tcW w:w="1960" w:type="dxa"/>
            <w:tcBorders>
              <w:tl2br w:val="nil"/>
              <w:tr2bl w:val="nil"/>
            </w:tcBorders>
            <w:vAlign w:val="center"/>
          </w:tcPr>
          <w:p w14:paraId="77B4B7C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mg/L</w:t>
            </w:r>
          </w:p>
        </w:tc>
        <w:tc>
          <w:tcPr>
            <w:tcW w:w="2904" w:type="dxa"/>
            <w:tcBorders>
              <w:tl2br w:val="nil"/>
              <w:tr2bl w:val="nil"/>
            </w:tcBorders>
            <w:vAlign w:val="center"/>
          </w:tcPr>
          <w:p w14:paraId="7D4A82C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0.005</w:t>
            </w:r>
          </w:p>
        </w:tc>
      </w:tr>
      <w:tr w14:paraId="1686E86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180" w:type="dxa"/>
            <w:tcBorders>
              <w:tl2br w:val="nil"/>
              <w:tr2bl w:val="nil"/>
            </w:tcBorders>
            <w:vAlign w:val="center"/>
          </w:tcPr>
          <w:p w14:paraId="24FCABC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30</w:t>
            </w:r>
          </w:p>
        </w:tc>
        <w:tc>
          <w:tcPr>
            <w:tcW w:w="2942" w:type="dxa"/>
            <w:tcBorders>
              <w:tl2br w:val="nil"/>
              <w:tr2bl w:val="nil"/>
            </w:tcBorders>
            <w:vAlign w:val="center"/>
          </w:tcPr>
          <w:p w14:paraId="45D0046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六价铬</w:t>
            </w:r>
          </w:p>
        </w:tc>
        <w:tc>
          <w:tcPr>
            <w:tcW w:w="1960" w:type="dxa"/>
            <w:tcBorders>
              <w:tl2br w:val="nil"/>
              <w:tr2bl w:val="nil"/>
            </w:tcBorders>
            <w:vAlign w:val="center"/>
          </w:tcPr>
          <w:p w14:paraId="5F4E7F8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mg/L</w:t>
            </w:r>
          </w:p>
        </w:tc>
        <w:tc>
          <w:tcPr>
            <w:tcW w:w="2904" w:type="dxa"/>
            <w:tcBorders>
              <w:tl2br w:val="nil"/>
              <w:tr2bl w:val="nil"/>
            </w:tcBorders>
            <w:vAlign w:val="center"/>
          </w:tcPr>
          <w:p w14:paraId="41F6871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0.05</w:t>
            </w:r>
          </w:p>
        </w:tc>
      </w:tr>
      <w:tr w14:paraId="29EA5B6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180" w:type="dxa"/>
            <w:tcBorders>
              <w:tl2br w:val="nil"/>
              <w:tr2bl w:val="nil"/>
            </w:tcBorders>
            <w:vAlign w:val="center"/>
          </w:tcPr>
          <w:p w14:paraId="65DFD1D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31</w:t>
            </w:r>
          </w:p>
        </w:tc>
        <w:tc>
          <w:tcPr>
            <w:tcW w:w="2942" w:type="dxa"/>
            <w:tcBorders>
              <w:tl2br w:val="nil"/>
              <w:tr2bl w:val="nil"/>
            </w:tcBorders>
            <w:vAlign w:val="center"/>
          </w:tcPr>
          <w:p w14:paraId="59C4E50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铅</w:t>
            </w:r>
          </w:p>
        </w:tc>
        <w:tc>
          <w:tcPr>
            <w:tcW w:w="1960" w:type="dxa"/>
            <w:tcBorders>
              <w:tl2br w:val="nil"/>
              <w:tr2bl w:val="nil"/>
            </w:tcBorders>
            <w:vAlign w:val="center"/>
          </w:tcPr>
          <w:p w14:paraId="54ACF98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mg/L</w:t>
            </w:r>
          </w:p>
        </w:tc>
        <w:tc>
          <w:tcPr>
            <w:tcW w:w="2904" w:type="dxa"/>
            <w:tcBorders>
              <w:tl2br w:val="nil"/>
              <w:tr2bl w:val="nil"/>
            </w:tcBorders>
            <w:vAlign w:val="center"/>
          </w:tcPr>
          <w:p w14:paraId="2309F86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0.01</w:t>
            </w:r>
          </w:p>
        </w:tc>
      </w:tr>
      <w:tr w14:paraId="20EDEDD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180" w:type="dxa"/>
            <w:tcBorders>
              <w:tl2br w:val="nil"/>
              <w:tr2bl w:val="nil"/>
            </w:tcBorders>
            <w:vAlign w:val="center"/>
          </w:tcPr>
          <w:p w14:paraId="525891E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32</w:t>
            </w:r>
          </w:p>
        </w:tc>
        <w:tc>
          <w:tcPr>
            <w:tcW w:w="2942" w:type="dxa"/>
            <w:tcBorders>
              <w:tl2br w:val="nil"/>
              <w:tr2bl w:val="nil"/>
            </w:tcBorders>
            <w:vAlign w:val="center"/>
          </w:tcPr>
          <w:p w14:paraId="5B36800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三氯甲烷</w:t>
            </w:r>
          </w:p>
        </w:tc>
        <w:tc>
          <w:tcPr>
            <w:tcW w:w="1960" w:type="dxa"/>
            <w:tcBorders>
              <w:tl2br w:val="nil"/>
              <w:tr2bl w:val="nil"/>
            </w:tcBorders>
            <w:vAlign w:val="center"/>
          </w:tcPr>
          <w:p w14:paraId="59ABA06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μg/L</w:t>
            </w:r>
          </w:p>
        </w:tc>
        <w:tc>
          <w:tcPr>
            <w:tcW w:w="2904" w:type="dxa"/>
            <w:tcBorders>
              <w:tl2br w:val="nil"/>
              <w:tr2bl w:val="nil"/>
            </w:tcBorders>
            <w:vAlign w:val="center"/>
          </w:tcPr>
          <w:p w14:paraId="79CBE43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60</w:t>
            </w:r>
          </w:p>
        </w:tc>
      </w:tr>
      <w:tr w14:paraId="1825483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180" w:type="dxa"/>
            <w:tcBorders>
              <w:tl2br w:val="nil"/>
              <w:tr2bl w:val="nil"/>
            </w:tcBorders>
            <w:vAlign w:val="center"/>
          </w:tcPr>
          <w:p w14:paraId="5C496CC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33</w:t>
            </w:r>
          </w:p>
        </w:tc>
        <w:tc>
          <w:tcPr>
            <w:tcW w:w="2942" w:type="dxa"/>
            <w:tcBorders>
              <w:tl2br w:val="nil"/>
              <w:tr2bl w:val="nil"/>
            </w:tcBorders>
            <w:vAlign w:val="center"/>
          </w:tcPr>
          <w:p w14:paraId="119A860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四氯化碳</w:t>
            </w:r>
          </w:p>
        </w:tc>
        <w:tc>
          <w:tcPr>
            <w:tcW w:w="1960" w:type="dxa"/>
            <w:tcBorders>
              <w:tl2br w:val="nil"/>
              <w:tr2bl w:val="nil"/>
            </w:tcBorders>
            <w:vAlign w:val="center"/>
          </w:tcPr>
          <w:p w14:paraId="3FB9973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μg/L</w:t>
            </w:r>
          </w:p>
        </w:tc>
        <w:tc>
          <w:tcPr>
            <w:tcW w:w="2904" w:type="dxa"/>
            <w:tcBorders>
              <w:tl2br w:val="nil"/>
              <w:tr2bl w:val="nil"/>
            </w:tcBorders>
            <w:vAlign w:val="center"/>
          </w:tcPr>
          <w:p w14:paraId="5F19017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2.0</w:t>
            </w:r>
          </w:p>
        </w:tc>
      </w:tr>
      <w:tr w14:paraId="23E2AE9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180" w:type="dxa"/>
            <w:tcBorders>
              <w:tl2br w:val="nil"/>
              <w:tr2bl w:val="nil"/>
            </w:tcBorders>
            <w:vAlign w:val="center"/>
          </w:tcPr>
          <w:p w14:paraId="3B40D89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34</w:t>
            </w:r>
          </w:p>
        </w:tc>
        <w:tc>
          <w:tcPr>
            <w:tcW w:w="2942" w:type="dxa"/>
            <w:tcBorders>
              <w:tl2br w:val="nil"/>
              <w:tr2bl w:val="nil"/>
            </w:tcBorders>
            <w:vAlign w:val="center"/>
          </w:tcPr>
          <w:p w14:paraId="4483DCB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苯</w:t>
            </w:r>
          </w:p>
        </w:tc>
        <w:tc>
          <w:tcPr>
            <w:tcW w:w="1960" w:type="dxa"/>
            <w:tcBorders>
              <w:tl2br w:val="nil"/>
              <w:tr2bl w:val="nil"/>
            </w:tcBorders>
            <w:vAlign w:val="center"/>
          </w:tcPr>
          <w:p w14:paraId="026669D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μg/L</w:t>
            </w:r>
          </w:p>
        </w:tc>
        <w:tc>
          <w:tcPr>
            <w:tcW w:w="2904" w:type="dxa"/>
            <w:tcBorders>
              <w:tl2br w:val="nil"/>
              <w:tr2bl w:val="nil"/>
            </w:tcBorders>
            <w:vAlign w:val="center"/>
          </w:tcPr>
          <w:p w14:paraId="5F85124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10</w:t>
            </w:r>
          </w:p>
        </w:tc>
      </w:tr>
      <w:tr w14:paraId="65BAE9C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180" w:type="dxa"/>
            <w:tcBorders>
              <w:tl2br w:val="nil"/>
              <w:tr2bl w:val="nil"/>
            </w:tcBorders>
            <w:vAlign w:val="center"/>
          </w:tcPr>
          <w:p w14:paraId="2DEFD50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35</w:t>
            </w:r>
          </w:p>
        </w:tc>
        <w:tc>
          <w:tcPr>
            <w:tcW w:w="2942" w:type="dxa"/>
            <w:tcBorders>
              <w:tl2br w:val="nil"/>
              <w:tr2bl w:val="nil"/>
            </w:tcBorders>
            <w:vAlign w:val="center"/>
          </w:tcPr>
          <w:p w14:paraId="1D78367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甲苯</w:t>
            </w:r>
          </w:p>
        </w:tc>
        <w:tc>
          <w:tcPr>
            <w:tcW w:w="1960" w:type="dxa"/>
            <w:tcBorders>
              <w:tl2br w:val="nil"/>
              <w:tr2bl w:val="nil"/>
            </w:tcBorders>
            <w:vAlign w:val="center"/>
          </w:tcPr>
          <w:p w14:paraId="1B0D809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μg/L</w:t>
            </w:r>
          </w:p>
        </w:tc>
        <w:tc>
          <w:tcPr>
            <w:tcW w:w="2904" w:type="dxa"/>
            <w:tcBorders>
              <w:tl2br w:val="nil"/>
              <w:tr2bl w:val="nil"/>
            </w:tcBorders>
            <w:vAlign w:val="center"/>
          </w:tcPr>
          <w:p w14:paraId="672AACF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700</w:t>
            </w:r>
          </w:p>
        </w:tc>
      </w:tr>
      <w:tr w14:paraId="74AA192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180" w:type="dxa"/>
            <w:tcBorders>
              <w:tl2br w:val="nil"/>
              <w:tr2bl w:val="nil"/>
            </w:tcBorders>
            <w:vAlign w:val="center"/>
          </w:tcPr>
          <w:p w14:paraId="517459A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36</w:t>
            </w:r>
          </w:p>
        </w:tc>
        <w:tc>
          <w:tcPr>
            <w:tcW w:w="2942" w:type="dxa"/>
            <w:tcBorders>
              <w:tl2br w:val="nil"/>
              <w:tr2bl w:val="nil"/>
            </w:tcBorders>
            <w:vAlign w:val="center"/>
          </w:tcPr>
          <w:p w14:paraId="7F01E3B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总α放射性</w:t>
            </w:r>
          </w:p>
        </w:tc>
        <w:tc>
          <w:tcPr>
            <w:tcW w:w="1960" w:type="dxa"/>
            <w:tcBorders>
              <w:tl2br w:val="nil"/>
              <w:tr2bl w:val="nil"/>
            </w:tcBorders>
            <w:vAlign w:val="center"/>
          </w:tcPr>
          <w:p w14:paraId="4E5EC12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Bq/L</w:t>
            </w:r>
          </w:p>
        </w:tc>
        <w:tc>
          <w:tcPr>
            <w:tcW w:w="2904" w:type="dxa"/>
            <w:tcBorders>
              <w:tl2br w:val="nil"/>
              <w:tr2bl w:val="nil"/>
            </w:tcBorders>
            <w:vAlign w:val="center"/>
          </w:tcPr>
          <w:p w14:paraId="0902F90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0.5</w:t>
            </w:r>
          </w:p>
        </w:tc>
      </w:tr>
      <w:tr w14:paraId="3D80F79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180" w:type="dxa"/>
            <w:tcBorders>
              <w:tl2br w:val="nil"/>
              <w:tr2bl w:val="nil"/>
            </w:tcBorders>
            <w:vAlign w:val="center"/>
          </w:tcPr>
          <w:p w14:paraId="140F64E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37</w:t>
            </w:r>
          </w:p>
        </w:tc>
        <w:tc>
          <w:tcPr>
            <w:tcW w:w="2942" w:type="dxa"/>
            <w:tcBorders>
              <w:tl2br w:val="nil"/>
              <w:tr2bl w:val="nil"/>
            </w:tcBorders>
            <w:vAlign w:val="center"/>
          </w:tcPr>
          <w:p w14:paraId="2581B1A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总β放射性</w:t>
            </w:r>
          </w:p>
        </w:tc>
        <w:tc>
          <w:tcPr>
            <w:tcW w:w="1960" w:type="dxa"/>
            <w:tcBorders>
              <w:tl2br w:val="nil"/>
              <w:tr2bl w:val="nil"/>
            </w:tcBorders>
            <w:vAlign w:val="center"/>
          </w:tcPr>
          <w:p w14:paraId="6646DF9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Bq/L</w:t>
            </w:r>
          </w:p>
        </w:tc>
        <w:tc>
          <w:tcPr>
            <w:tcW w:w="2904" w:type="dxa"/>
            <w:tcBorders>
              <w:tl2br w:val="nil"/>
              <w:tr2bl w:val="nil"/>
            </w:tcBorders>
            <w:vAlign w:val="center"/>
          </w:tcPr>
          <w:p w14:paraId="4CE25D8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1.0</w:t>
            </w:r>
          </w:p>
        </w:tc>
      </w:tr>
    </w:tbl>
    <w:p w14:paraId="2112D988">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p>
    <w:p w14:paraId="46E18B49">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(4)声环境</w:t>
      </w:r>
    </w:p>
    <w:p w14:paraId="7B73F85D">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b/>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项目声环境执行《声环境质量标准》(GB3096-2008)2类标准，评价标准限值见表2.4-</w:t>
      </w:r>
      <w:r>
        <w:rPr>
          <w:rFonts w:hint="eastAsia" w:cs="Times New Roman" w:eastAsiaTheme="minorEastAsia"/>
          <w:snapToGrid w:val="0"/>
          <w:color w:val="000000" w:themeColor="text1"/>
          <w:sz w:val="24"/>
          <w:highlight w:val="none"/>
          <w:lang w:val="en-US" w:eastAsia="zh-CN"/>
          <w14:textFill>
            <w14:solidFill>
              <w14:schemeClr w14:val="tx1"/>
            </w14:solidFill>
          </w14:textFill>
        </w:rPr>
        <w:t>6</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w:t>
      </w:r>
    </w:p>
    <w:p w14:paraId="77F0EAE1">
      <w:pPr>
        <w:keepNext w:val="0"/>
        <w:keepLines w:val="0"/>
        <w:pageBreakBefore w:val="0"/>
        <w:widowControl w:val="0"/>
        <w:kinsoku/>
        <w:wordWrap/>
        <w:overflowPunct/>
        <w:topLinePunct w:val="0"/>
        <w:autoSpaceDE/>
        <w:autoSpaceDN/>
        <w:bidi w:val="0"/>
        <w:adjustRightInd/>
        <w:snapToGrid/>
        <w:spacing w:line="240" w:lineRule="auto"/>
        <w:jc w:val="right"/>
        <w:textAlignment w:val="auto"/>
        <w:rPr>
          <w:rFonts w:hint="default" w:ascii="Times New Roman" w:hAnsi="Times New Roman" w:cs="Times New Roman" w:eastAsiaTheme="minorEastAsia"/>
          <w:b/>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b/>
          <w:color w:val="000000" w:themeColor="text1"/>
          <w:sz w:val="24"/>
          <w:highlight w:val="none"/>
          <w:lang w:val="en-US" w:eastAsia="zh-CN"/>
          <w14:textFill>
            <w14:solidFill>
              <w14:schemeClr w14:val="tx1"/>
            </w14:solidFill>
          </w14:textFill>
        </w:rPr>
        <w:t>表2.4-</w:t>
      </w:r>
      <w:r>
        <w:rPr>
          <w:rFonts w:hint="eastAsia" w:cs="Times New Roman" w:eastAsiaTheme="minorEastAsia"/>
          <w:b/>
          <w:color w:val="000000" w:themeColor="text1"/>
          <w:sz w:val="24"/>
          <w:highlight w:val="none"/>
          <w:lang w:val="en-US" w:eastAsia="zh-CN"/>
          <w14:textFill>
            <w14:solidFill>
              <w14:schemeClr w14:val="tx1"/>
            </w14:solidFill>
          </w14:textFill>
        </w:rPr>
        <w:t>6</w:t>
      </w:r>
      <w:r>
        <w:rPr>
          <w:rFonts w:hint="default" w:ascii="Times New Roman" w:hAnsi="Times New Roman" w:cs="Times New Roman" w:eastAsiaTheme="minorEastAsia"/>
          <w:b/>
          <w:color w:val="000000" w:themeColor="text1"/>
          <w:sz w:val="24"/>
          <w:highlight w:val="none"/>
          <w:lang w:val="en-US" w:eastAsia="zh-CN"/>
          <w14:textFill>
            <w14:solidFill>
              <w14:schemeClr w14:val="tx1"/>
            </w14:solidFill>
          </w14:textFill>
        </w:rPr>
        <w:t xml:space="preserve">    声环境质量标准                  单位：dB(A)</w:t>
      </w:r>
    </w:p>
    <w:p w14:paraId="7EFD0CED">
      <w:pPr>
        <w:spacing w:line="16" w:lineRule="exact"/>
        <w:rPr>
          <w:rFonts w:hint="default" w:ascii="Times New Roman" w:hAnsi="Times New Roman" w:cs="Times New Roman" w:eastAsiaTheme="minorEastAsia"/>
          <w:color w:val="000000" w:themeColor="text1"/>
          <w:highlight w:val="none"/>
          <w14:textFill>
            <w14:solidFill>
              <w14:schemeClr w14:val="tx1"/>
            </w14:solidFill>
          </w14:textFill>
        </w:rPr>
      </w:pPr>
    </w:p>
    <w:tbl>
      <w:tblPr>
        <w:tblStyle w:val="612"/>
        <w:tblW w:w="898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49"/>
        <w:gridCol w:w="2464"/>
        <w:gridCol w:w="3271"/>
      </w:tblGrid>
      <w:tr w14:paraId="7BC6B2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3249" w:type="dxa"/>
            <w:tcBorders>
              <w:top w:val="single" w:color="000000" w:sz="12" w:space="0"/>
              <w:left w:val="single" w:color="000000" w:sz="12" w:space="0"/>
              <w:bottom w:val="single" w:color="000000" w:sz="6" w:space="0"/>
              <w:right w:val="single" w:color="000000" w:sz="6" w:space="0"/>
            </w:tcBorders>
            <w:vAlign w:val="center"/>
          </w:tcPr>
          <w:p w14:paraId="24BD7218">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5"/>
                <w:sz w:val="21"/>
                <w:szCs w:val="21"/>
                <w:highlight w:val="none"/>
                <w14:textFill>
                  <w14:solidFill>
                    <w14:schemeClr w14:val="tx1"/>
                  </w14:solidFill>
                </w14:textFill>
              </w:rPr>
              <w:t>类</w:t>
            </w:r>
            <w:r>
              <w:rPr>
                <w:rFonts w:hint="default" w:ascii="Times New Roman" w:hAnsi="Times New Roman" w:cs="Times New Roman" w:eastAsiaTheme="minorEastAsia"/>
                <w:color w:val="000000" w:themeColor="text1"/>
                <w:spacing w:val="4"/>
                <w:sz w:val="21"/>
                <w:szCs w:val="21"/>
                <w:highlight w:val="none"/>
                <w14:textFill>
                  <w14:solidFill>
                    <w14:schemeClr w14:val="tx1"/>
                  </w14:solidFill>
                </w14:textFill>
              </w:rPr>
              <w:t>别</w:t>
            </w:r>
          </w:p>
        </w:tc>
        <w:tc>
          <w:tcPr>
            <w:tcW w:w="2464" w:type="dxa"/>
            <w:tcBorders>
              <w:top w:val="single" w:color="000000" w:sz="12" w:space="0"/>
              <w:left w:val="single" w:color="000000" w:sz="6" w:space="0"/>
              <w:bottom w:val="single" w:color="000000" w:sz="6" w:space="0"/>
              <w:right w:val="single" w:color="000000" w:sz="6" w:space="0"/>
            </w:tcBorders>
            <w:vAlign w:val="center"/>
          </w:tcPr>
          <w:p w14:paraId="080A9C98">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5"/>
                <w:sz w:val="21"/>
                <w:szCs w:val="21"/>
                <w:highlight w:val="none"/>
                <w14:textFill>
                  <w14:solidFill>
                    <w14:schemeClr w14:val="tx1"/>
                  </w14:solidFill>
                </w14:textFill>
              </w:rPr>
              <w:t>昼间</w:t>
            </w:r>
          </w:p>
        </w:tc>
        <w:tc>
          <w:tcPr>
            <w:tcW w:w="3271" w:type="dxa"/>
            <w:tcBorders>
              <w:top w:val="single" w:color="000000" w:sz="12" w:space="0"/>
              <w:left w:val="single" w:color="000000" w:sz="6" w:space="0"/>
              <w:bottom w:val="single" w:color="000000" w:sz="6" w:space="0"/>
              <w:right w:val="single" w:color="000000" w:sz="12" w:space="0"/>
            </w:tcBorders>
            <w:vAlign w:val="center"/>
          </w:tcPr>
          <w:p w14:paraId="70E8BF07">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3"/>
                <w:sz w:val="21"/>
                <w:szCs w:val="21"/>
                <w:highlight w:val="none"/>
                <w14:textFill>
                  <w14:solidFill>
                    <w14:schemeClr w14:val="tx1"/>
                  </w14:solidFill>
                </w14:textFill>
              </w:rPr>
              <w:t>夜间</w:t>
            </w:r>
          </w:p>
        </w:tc>
      </w:tr>
      <w:tr w14:paraId="68376C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3249" w:type="dxa"/>
            <w:tcBorders>
              <w:top w:val="single" w:color="000000" w:sz="6" w:space="0"/>
              <w:left w:val="single" w:color="000000" w:sz="12" w:space="0"/>
              <w:bottom w:val="single" w:color="000000" w:sz="12" w:space="0"/>
              <w:right w:val="single" w:color="000000" w:sz="6" w:space="0"/>
            </w:tcBorders>
            <w:vAlign w:val="center"/>
          </w:tcPr>
          <w:p w14:paraId="235DF045">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2类声环境功能区</w:t>
            </w:r>
          </w:p>
        </w:tc>
        <w:tc>
          <w:tcPr>
            <w:tcW w:w="2464" w:type="dxa"/>
            <w:tcBorders>
              <w:top w:val="single" w:color="000000" w:sz="6" w:space="0"/>
              <w:left w:val="single" w:color="000000" w:sz="6" w:space="0"/>
              <w:bottom w:val="single" w:color="000000" w:sz="12" w:space="0"/>
              <w:right w:val="single" w:color="000000" w:sz="6" w:space="0"/>
            </w:tcBorders>
            <w:vAlign w:val="center"/>
          </w:tcPr>
          <w:p w14:paraId="55F1C31F">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1"/>
                <w:sz w:val="21"/>
                <w:szCs w:val="21"/>
                <w:highlight w:val="none"/>
                <w14:textFill>
                  <w14:solidFill>
                    <w14:schemeClr w14:val="tx1"/>
                  </w14:solidFill>
                </w14:textFill>
              </w:rPr>
              <w:t>6</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0</w:t>
            </w:r>
          </w:p>
        </w:tc>
        <w:tc>
          <w:tcPr>
            <w:tcW w:w="3271" w:type="dxa"/>
            <w:tcBorders>
              <w:top w:val="single" w:color="000000" w:sz="6" w:space="0"/>
              <w:left w:val="single" w:color="000000" w:sz="6" w:space="0"/>
              <w:bottom w:val="single" w:color="000000" w:sz="12" w:space="0"/>
              <w:right w:val="single" w:color="000000" w:sz="12" w:space="0"/>
            </w:tcBorders>
            <w:vAlign w:val="center"/>
          </w:tcPr>
          <w:p w14:paraId="6F0DA9AA">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2"/>
                <w:sz w:val="21"/>
                <w:szCs w:val="21"/>
                <w:highlight w:val="none"/>
                <w14:textFill>
                  <w14:solidFill>
                    <w14:schemeClr w14:val="tx1"/>
                  </w14:solidFill>
                </w14:textFill>
              </w:rPr>
              <w:t>5</w:t>
            </w:r>
            <w:r>
              <w:rPr>
                <w:rFonts w:hint="default" w:ascii="Times New Roman" w:hAnsi="Times New Roman" w:cs="Times New Roman" w:eastAsiaTheme="minorEastAsia"/>
                <w:color w:val="000000" w:themeColor="text1"/>
                <w:spacing w:val="-1"/>
                <w:sz w:val="21"/>
                <w:szCs w:val="21"/>
                <w:highlight w:val="none"/>
                <w14:textFill>
                  <w14:solidFill>
                    <w14:schemeClr w14:val="tx1"/>
                  </w14:solidFill>
                </w14:textFill>
              </w:rPr>
              <w:t>0</w:t>
            </w:r>
          </w:p>
        </w:tc>
      </w:tr>
    </w:tbl>
    <w:p w14:paraId="1178FDC7">
      <w:pPr>
        <w:pStyle w:val="52"/>
        <w:ind w:left="0" w:leftChars="0" w:firstLine="0" w:firstLineChars="0"/>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p>
    <w:p w14:paraId="35A5A323">
      <w:pPr>
        <w:keepNext w:val="0"/>
        <w:keepLines w:val="0"/>
        <w:pageBreakBefore w:val="0"/>
        <w:widowControl w:val="0"/>
        <w:numPr>
          <w:ilvl w:val="0"/>
          <w:numId w:val="0"/>
        </w:numPr>
        <w:tabs>
          <w:tab w:val="left" w:pos="1260"/>
        </w:tabs>
        <w:kinsoku/>
        <w:wordWrap/>
        <w:overflowPunct/>
        <w:topLinePunct w:val="0"/>
        <w:autoSpaceDE/>
        <w:autoSpaceDN/>
        <w:bidi w:val="0"/>
        <w:adjustRightInd w:val="0"/>
        <w:snapToGrid/>
        <w:spacing w:line="360" w:lineRule="auto"/>
        <w:textAlignment w:val="auto"/>
        <w:outlineLvl w:val="9"/>
        <w:rPr>
          <w:rFonts w:hint="default"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t>2.4.2.2污染物排放标准</w:t>
      </w:r>
    </w:p>
    <w:p w14:paraId="4BC17A1B">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(1)废气</w:t>
      </w:r>
    </w:p>
    <w:p w14:paraId="03E39F18">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项目施工过程中产生的废气执行《建筑施工扬尘排放标准》(DB6501/T030-2022)中无组织排放监控浓度限值。有关标准限值见表2.4-</w:t>
      </w:r>
      <w:r>
        <w:rPr>
          <w:rFonts w:hint="eastAsia" w:cs="Times New Roman" w:eastAsiaTheme="minorEastAsia"/>
          <w:snapToGrid w:val="0"/>
          <w:color w:val="000000" w:themeColor="text1"/>
          <w:sz w:val="24"/>
          <w:highlight w:val="none"/>
          <w:lang w:val="en-US" w:eastAsia="zh-CN"/>
          <w14:textFill>
            <w14:solidFill>
              <w14:schemeClr w14:val="tx1"/>
            </w14:solidFill>
          </w14:textFill>
        </w:rPr>
        <w:t>7</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w:t>
      </w:r>
    </w:p>
    <w:p w14:paraId="0BBDC452">
      <w:pPr>
        <w:keepNext w:val="0"/>
        <w:keepLines w:val="0"/>
        <w:pageBreakBefore w:val="0"/>
        <w:widowControl w:val="0"/>
        <w:kinsoku/>
        <w:wordWrap/>
        <w:overflowPunct/>
        <w:topLinePunct w:val="0"/>
        <w:autoSpaceDE/>
        <w:autoSpaceDN/>
        <w:bidi w:val="0"/>
        <w:adjustRightInd/>
        <w:snapToGrid/>
        <w:spacing w:line="240" w:lineRule="auto"/>
        <w:jc w:val="right"/>
        <w:textAlignment w:val="auto"/>
        <w:rPr>
          <w:rFonts w:hint="default" w:ascii="Times New Roman" w:hAnsi="Times New Roman" w:cs="Times New Roman" w:eastAsiaTheme="minorEastAsia"/>
          <w:b/>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b/>
          <w:color w:val="000000" w:themeColor="text1"/>
          <w:sz w:val="24"/>
          <w:highlight w:val="none"/>
          <w:lang w:val="en-US" w:eastAsia="zh-CN"/>
          <w14:textFill>
            <w14:solidFill>
              <w14:schemeClr w14:val="tx1"/>
            </w14:solidFill>
          </w14:textFill>
        </w:rPr>
        <w:t>表2.4-</w:t>
      </w:r>
      <w:r>
        <w:rPr>
          <w:rFonts w:hint="eastAsia" w:cs="Times New Roman" w:eastAsiaTheme="minorEastAsia"/>
          <w:b/>
          <w:color w:val="000000" w:themeColor="text1"/>
          <w:sz w:val="24"/>
          <w:highlight w:val="none"/>
          <w:lang w:val="en-US" w:eastAsia="zh-CN"/>
          <w14:textFill>
            <w14:solidFill>
              <w14:schemeClr w14:val="tx1"/>
            </w14:solidFill>
          </w14:textFill>
        </w:rPr>
        <w:t>7</w:t>
      </w:r>
      <w:r>
        <w:rPr>
          <w:rFonts w:hint="default" w:ascii="Times New Roman" w:hAnsi="Times New Roman" w:cs="Times New Roman" w:eastAsiaTheme="minorEastAsia"/>
          <w:b/>
          <w:color w:val="000000" w:themeColor="text1"/>
          <w:sz w:val="24"/>
          <w:highlight w:val="none"/>
          <w:lang w:val="en-US" w:eastAsia="zh-CN"/>
          <w14:textFill>
            <w14:solidFill>
              <w14:schemeClr w14:val="tx1"/>
            </w14:solidFill>
          </w14:textFill>
        </w:rPr>
        <w:t xml:space="preserve">    项目大气污染物排放标准值一览表             单位：mg/m</w:t>
      </w:r>
      <w:r>
        <w:rPr>
          <w:rFonts w:hint="default" w:ascii="Times New Roman" w:hAnsi="Times New Roman" w:cs="Times New Roman" w:eastAsiaTheme="minorEastAsia"/>
          <w:b/>
          <w:color w:val="000000" w:themeColor="text1"/>
          <w:sz w:val="24"/>
          <w:highlight w:val="none"/>
          <w:vertAlign w:val="superscript"/>
          <w:lang w:val="en-US" w:eastAsia="zh-CN"/>
          <w14:textFill>
            <w14:solidFill>
              <w14:schemeClr w14:val="tx1"/>
            </w14:solidFill>
          </w14:textFill>
        </w:rPr>
        <w:t>3</w:t>
      </w:r>
    </w:p>
    <w:p w14:paraId="607921A0">
      <w:pPr>
        <w:spacing w:line="22" w:lineRule="exact"/>
        <w:rPr>
          <w:rFonts w:hint="default" w:ascii="Times New Roman" w:hAnsi="Times New Roman" w:cs="Times New Roman" w:eastAsiaTheme="minorEastAsia"/>
          <w:color w:val="000000" w:themeColor="text1"/>
          <w:highlight w:val="none"/>
          <w14:textFill>
            <w14:solidFill>
              <w14:schemeClr w14:val="tx1"/>
            </w14:solidFill>
          </w14:textFill>
        </w:rPr>
      </w:pPr>
    </w:p>
    <w:tbl>
      <w:tblPr>
        <w:tblStyle w:val="612"/>
        <w:tblW w:w="5130"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0" w:type="dxa"/>
          <w:bottom w:w="0" w:type="dxa"/>
          <w:right w:w="0" w:type="dxa"/>
        </w:tblCellMar>
      </w:tblPr>
      <w:tblGrid>
        <w:gridCol w:w="816"/>
        <w:gridCol w:w="1089"/>
        <w:gridCol w:w="1080"/>
        <w:gridCol w:w="2161"/>
        <w:gridCol w:w="1255"/>
        <w:gridCol w:w="2821"/>
      </w:tblGrid>
      <w:tr w14:paraId="332E8C5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442" w:type="pct"/>
            <w:tcBorders>
              <w:tl2br w:val="nil"/>
              <w:tr2bl w:val="nil"/>
            </w:tcBorders>
            <w:vAlign w:val="center"/>
          </w:tcPr>
          <w:p w14:paraId="02446CDD">
            <w:pPr>
              <w:pStyle w:val="194"/>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污染源</w:t>
            </w:r>
          </w:p>
        </w:tc>
        <w:tc>
          <w:tcPr>
            <w:tcW w:w="590" w:type="pct"/>
            <w:tcBorders>
              <w:tl2br w:val="nil"/>
              <w:tr2bl w:val="nil"/>
            </w:tcBorders>
            <w:vAlign w:val="center"/>
          </w:tcPr>
          <w:p w14:paraId="36DED7DE">
            <w:pPr>
              <w:pStyle w:val="194"/>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污染物类型</w:t>
            </w:r>
          </w:p>
        </w:tc>
        <w:tc>
          <w:tcPr>
            <w:tcW w:w="585" w:type="pct"/>
            <w:tcBorders>
              <w:tl2br w:val="nil"/>
              <w:tr2bl w:val="nil"/>
            </w:tcBorders>
            <w:vAlign w:val="center"/>
          </w:tcPr>
          <w:p w14:paraId="0B2CD945">
            <w:pPr>
              <w:pStyle w:val="194"/>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排放限值(mg/m</w:t>
            </w:r>
            <w:r>
              <w:rPr>
                <w:rFonts w:hint="default" w:ascii="Times New Roman" w:hAnsi="Times New Roman" w:cs="Times New Roman" w:eastAsiaTheme="minorEastAsia"/>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w:t>
            </w:r>
          </w:p>
        </w:tc>
        <w:tc>
          <w:tcPr>
            <w:tcW w:w="1171" w:type="pct"/>
            <w:tcBorders>
              <w:tl2br w:val="nil"/>
              <w:tr2bl w:val="nil"/>
            </w:tcBorders>
            <w:vAlign w:val="center"/>
          </w:tcPr>
          <w:p w14:paraId="601B5E08">
            <w:pPr>
              <w:pStyle w:val="194"/>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施工阶段</w:t>
            </w:r>
          </w:p>
        </w:tc>
        <w:tc>
          <w:tcPr>
            <w:tcW w:w="680" w:type="pct"/>
            <w:tcBorders>
              <w:tl2br w:val="nil"/>
              <w:tr2bl w:val="nil"/>
            </w:tcBorders>
            <w:vAlign w:val="center"/>
          </w:tcPr>
          <w:p w14:paraId="5DBA29AB">
            <w:pPr>
              <w:pStyle w:val="194"/>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firstLine="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监测周期</w:t>
            </w:r>
          </w:p>
        </w:tc>
        <w:tc>
          <w:tcPr>
            <w:tcW w:w="1528" w:type="pct"/>
            <w:tcBorders>
              <w:tl2br w:val="nil"/>
              <w:tr2bl w:val="nil"/>
            </w:tcBorders>
            <w:vAlign w:val="center"/>
          </w:tcPr>
          <w:p w14:paraId="2189274E">
            <w:pPr>
              <w:pStyle w:val="194"/>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firstLine="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评价标准</w:t>
            </w:r>
          </w:p>
        </w:tc>
      </w:tr>
      <w:tr w14:paraId="6825980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442" w:type="pct"/>
            <w:vMerge w:val="restart"/>
            <w:tcBorders>
              <w:tl2br w:val="nil"/>
              <w:tr2bl w:val="nil"/>
            </w:tcBorders>
            <w:vAlign w:val="center"/>
          </w:tcPr>
          <w:p w14:paraId="0B09F80B">
            <w:pPr>
              <w:pStyle w:val="194"/>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施工</w:t>
            </w:r>
          </w:p>
          <w:p w14:paraId="14C3F691">
            <w:pPr>
              <w:pStyle w:val="194"/>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扬尘</w:t>
            </w:r>
          </w:p>
        </w:tc>
        <w:tc>
          <w:tcPr>
            <w:tcW w:w="590" w:type="pct"/>
            <w:tcBorders>
              <w:tl2br w:val="nil"/>
              <w:tr2bl w:val="nil"/>
            </w:tcBorders>
            <w:vAlign w:val="center"/>
          </w:tcPr>
          <w:p w14:paraId="51D56916">
            <w:pPr>
              <w:pStyle w:val="194"/>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PM</w:t>
            </w:r>
            <w:r>
              <w:rPr>
                <w:rFonts w:hint="default" w:ascii="Times New Roman" w:hAnsi="Times New Roman" w:cs="Times New Roman" w:eastAsiaTheme="minorEastAsia"/>
                <w:color w:val="000000" w:themeColor="text1"/>
                <w:sz w:val="21"/>
                <w:szCs w:val="21"/>
                <w:highlight w:val="none"/>
                <w:vertAlign w:val="subscript"/>
                <w:lang w:val="en-US" w:eastAsia="zh-CN"/>
                <w14:textFill>
                  <w14:solidFill>
                    <w14:schemeClr w14:val="tx1"/>
                  </w14:solidFill>
                </w14:textFill>
              </w:rPr>
              <w:t>10</w:t>
            </w:r>
          </w:p>
        </w:tc>
        <w:tc>
          <w:tcPr>
            <w:tcW w:w="585" w:type="pct"/>
            <w:tcBorders>
              <w:tl2br w:val="nil"/>
              <w:tr2bl w:val="nil"/>
            </w:tcBorders>
            <w:vAlign w:val="center"/>
          </w:tcPr>
          <w:p w14:paraId="6BA65B2E">
            <w:pPr>
              <w:pStyle w:val="194"/>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1.0</w:t>
            </w:r>
          </w:p>
        </w:tc>
        <w:tc>
          <w:tcPr>
            <w:tcW w:w="1171" w:type="pct"/>
            <w:tcBorders>
              <w:tl2br w:val="nil"/>
              <w:tr2bl w:val="nil"/>
            </w:tcBorders>
            <w:vAlign w:val="center"/>
          </w:tcPr>
          <w:p w14:paraId="4485CE87">
            <w:pPr>
              <w:pStyle w:val="194"/>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拆除阶段、土石方阶段</w:t>
            </w:r>
          </w:p>
        </w:tc>
        <w:tc>
          <w:tcPr>
            <w:tcW w:w="680" w:type="pct"/>
            <w:vMerge w:val="restart"/>
            <w:tcBorders>
              <w:tl2br w:val="nil"/>
              <w:tr2bl w:val="nil"/>
            </w:tcBorders>
            <w:vAlign w:val="center"/>
          </w:tcPr>
          <w:p w14:paraId="4647F0CA">
            <w:pPr>
              <w:pStyle w:val="194"/>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1h</w:t>
            </w:r>
          </w:p>
        </w:tc>
        <w:tc>
          <w:tcPr>
            <w:tcW w:w="1528" w:type="pct"/>
            <w:vMerge w:val="restart"/>
            <w:tcBorders>
              <w:tl2br w:val="nil"/>
              <w:tr2bl w:val="nil"/>
            </w:tcBorders>
            <w:vAlign w:val="center"/>
          </w:tcPr>
          <w:p w14:paraId="29A636AA">
            <w:pPr>
              <w:pStyle w:val="194"/>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《建筑施工扬尘排放标准》(DB6501/T030-2022)</w:t>
            </w:r>
          </w:p>
        </w:tc>
      </w:tr>
      <w:tr w14:paraId="110F09D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87" w:hRule="atLeast"/>
        </w:trPr>
        <w:tc>
          <w:tcPr>
            <w:tcW w:w="442" w:type="pct"/>
            <w:vMerge w:val="continue"/>
            <w:tcBorders>
              <w:tl2br w:val="nil"/>
              <w:tr2bl w:val="nil"/>
            </w:tcBorders>
            <w:vAlign w:val="center"/>
          </w:tcPr>
          <w:p w14:paraId="5857A0E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eastAsiaTheme="minorEastAsia"/>
                <w:color w:val="000000" w:themeColor="text1"/>
                <w:spacing w:val="1"/>
                <w:sz w:val="21"/>
                <w:szCs w:val="21"/>
                <w:highlight w:val="none"/>
                <w14:textFill>
                  <w14:solidFill>
                    <w14:schemeClr w14:val="tx1"/>
                  </w14:solidFill>
                </w14:textFill>
              </w:rPr>
            </w:pPr>
          </w:p>
        </w:tc>
        <w:tc>
          <w:tcPr>
            <w:tcW w:w="590" w:type="pct"/>
            <w:tcBorders>
              <w:tl2br w:val="nil"/>
              <w:tr2bl w:val="nil"/>
            </w:tcBorders>
            <w:vAlign w:val="center"/>
          </w:tcPr>
          <w:p w14:paraId="0B84CD8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PM</w:t>
            </w:r>
            <w:r>
              <w:rPr>
                <w:rFonts w:hint="default" w:ascii="Times New Roman" w:hAnsi="Times New Roman" w:cs="Times New Roman" w:eastAsiaTheme="minorEastAsia"/>
                <w:color w:val="000000" w:themeColor="text1"/>
                <w:sz w:val="21"/>
                <w:szCs w:val="21"/>
                <w:highlight w:val="none"/>
                <w:vertAlign w:val="subscript"/>
                <w:lang w:val="en-US" w:eastAsia="zh-CN"/>
                <w14:textFill>
                  <w14:solidFill>
                    <w14:schemeClr w14:val="tx1"/>
                  </w14:solidFill>
                </w14:textFill>
              </w:rPr>
              <w:t>10</w:t>
            </w:r>
          </w:p>
        </w:tc>
        <w:tc>
          <w:tcPr>
            <w:tcW w:w="585" w:type="pct"/>
            <w:tcBorders>
              <w:tl2br w:val="nil"/>
              <w:tr2bl w:val="nil"/>
            </w:tcBorders>
            <w:vAlign w:val="center"/>
          </w:tcPr>
          <w:p w14:paraId="6AA252B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t>0.12</w:t>
            </w:r>
          </w:p>
        </w:tc>
        <w:tc>
          <w:tcPr>
            <w:tcW w:w="1171" w:type="pct"/>
            <w:tcBorders>
              <w:tl2br w:val="nil"/>
              <w:tr2bl w:val="nil"/>
            </w:tcBorders>
            <w:vAlign w:val="center"/>
          </w:tcPr>
          <w:p w14:paraId="77D361F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结构阶段、装修阶段</w:t>
            </w:r>
          </w:p>
        </w:tc>
        <w:tc>
          <w:tcPr>
            <w:tcW w:w="680" w:type="pct"/>
            <w:vMerge w:val="continue"/>
            <w:tcBorders>
              <w:tl2br w:val="nil"/>
              <w:tr2bl w:val="nil"/>
            </w:tcBorders>
            <w:vAlign w:val="center"/>
          </w:tcPr>
          <w:p w14:paraId="3912B5F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1528" w:type="pct"/>
            <w:vMerge w:val="continue"/>
            <w:tcBorders>
              <w:tl2br w:val="nil"/>
              <w:tr2bl w:val="nil"/>
            </w:tcBorders>
            <w:vAlign w:val="center"/>
          </w:tcPr>
          <w:p w14:paraId="4FDA082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r>
    </w:tbl>
    <w:p w14:paraId="5B6CDB56">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FF0000"/>
          <w:sz w:val="24"/>
          <w:highlight w:val="none"/>
          <w:lang w:val="en-US" w:eastAsia="zh-CN"/>
        </w:rPr>
      </w:pPr>
    </w:p>
    <w:p w14:paraId="76674CAE">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(2)废水</w:t>
      </w:r>
    </w:p>
    <w:p w14:paraId="2575E808">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FF0000"/>
          <w:sz w:val="24"/>
          <w:highlight w:val="none"/>
          <w:lang w:val="en-US" w:eastAsia="zh-CN"/>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本项目施工场地内不设置机械修配，施工机械修理维护依托</w:t>
      </w:r>
      <w:r>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沙依巴克区内与项目区较近的</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商业机修站维修。混凝土将依托乌鲁木齐现有的商品混凝土，施工场地内不设置修理厂及混凝土拌合站。因此没有机修废水、砂石冲洗废水产生。风机、箱</w:t>
      </w:r>
      <w:r>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变</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等基础采用混凝土直接浇筑的方式施工，浇筑后表面洒水润湿进行养护，养护过程中，大部分养护水被混凝土吸收或被蒸发；</w:t>
      </w:r>
      <w:r>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车辆冲洗废水经沉淀池处理后循环利用，不外排；</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施工人员生活污水经施工营地配置的移动环保厕所和防渗污水收集池，生活污水集中收集定期清运。</w:t>
      </w:r>
    </w:p>
    <w:p w14:paraId="15983876">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(3)声环境</w:t>
      </w:r>
    </w:p>
    <w:p w14:paraId="7F9697E1">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项目施工期建筑施工场界噪声执行《建筑施工场界环境噪声排放标准》(GB12523-2011)的有关规定，具体见表2.4-</w:t>
      </w:r>
      <w:r>
        <w:rPr>
          <w:rFonts w:hint="eastAsia" w:cs="Times New Roman" w:eastAsiaTheme="minorEastAsia"/>
          <w:snapToGrid w:val="0"/>
          <w:color w:val="000000" w:themeColor="text1"/>
          <w:sz w:val="24"/>
          <w:highlight w:val="none"/>
          <w:lang w:val="en-US" w:eastAsia="zh-CN"/>
          <w14:textFill>
            <w14:solidFill>
              <w14:schemeClr w14:val="tx1"/>
            </w14:solidFill>
          </w14:textFill>
        </w:rPr>
        <w:t>8</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w:t>
      </w:r>
    </w:p>
    <w:p w14:paraId="1E689D2F">
      <w:pPr>
        <w:keepNext w:val="0"/>
        <w:keepLines w:val="0"/>
        <w:pageBreakBefore w:val="0"/>
        <w:widowControl w:val="0"/>
        <w:kinsoku/>
        <w:wordWrap/>
        <w:overflowPunct/>
        <w:topLinePunct w:val="0"/>
        <w:autoSpaceDE/>
        <w:autoSpaceDN/>
        <w:bidi w:val="0"/>
        <w:adjustRightInd/>
        <w:snapToGrid/>
        <w:spacing w:line="240" w:lineRule="auto"/>
        <w:ind w:left="480" w:firstLine="482" w:firstLineChars="200"/>
        <w:jc w:val="right"/>
        <w:textAlignment w:val="auto"/>
        <w:rPr>
          <w:rFonts w:hint="default" w:ascii="Times New Roman" w:hAnsi="Times New Roman" w:cs="Times New Roman" w:eastAsiaTheme="minorEastAsia"/>
          <w:b/>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b/>
          <w:color w:val="000000" w:themeColor="text1"/>
          <w:sz w:val="24"/>
          <w:highlight w:val="none"/>
          <w:lang w:val="en-US" w:eastAsia="zh-CN"/>
          <w14:textFill>
            <w14:solidFill>
              <w14:schemeClr w14:val="tx1"/>
            </w14:solidFill>
          </w14:textFill>
        </w:rPr>
        <w:t>表2.4</w:t>
      </w:r>
      <w:r>
        <w:rPr>
          <w:rFonts w:hint="eastAsia" w:cs="Times New Roman" w:eastAsiaTheme="minorEastAsia"/>
          <w:b/>
          <w:color w:val="000000" w:themeColor="text1"/>
          <w:sz w:val="24"/>
          <w:highlight w:val="none"/>
          <w:lang w:val="en-US" w:eastAsia="zh-CN"/>
          <w14:textFill>
            <w14:solidFill>
              <w14:schemeClr w14:val="tx1"/>
            </w14:solidFill>
          </w14:textFill>
        </w:rPr>
        <w:t>-8</w:t>
      </w:r>
      <w:r>
        <w:rPr>
          <w:rFonts w:hint="default" w:ascii="Times New Roman" w:hAnsi="Times New Roman" w:cs="Times New Roman" w:eastAsiaTheme="minorEastAsia"/>
          <w:b/>
          <w:color w:val="000000" w:themeColor="text1"/>
          <w:sz w:val="24"/>
          <w:highlight w:val="none"/>
          <w:lang w:val="en-US" w:eastAsia="zh-CN"/>
          <w14:textFill>
            <w14:solidFill>
              <w14:schemeClr w14:val="tx1"/>
            </w14:solidFill>
          </w14:textFill>
        </w:rPr>
        <w:t xml:space="preserve">    建筑施工场界环境噪声排放标准          单位：dB(A)</w:t>
      </w:r>
    </w:p>
    <w:p w14:paraId="66221C75">
      <w:pPr>
        <w:spacing w:line="17" w:lineRule="exact"/>
        <w:rPr>
          <w:rFonts w:hint="default" w:ascii="Times New Roman" w:hAnsi="Times New Roman" w:cs="Times New Roman" w:eastAsiaTheme="minorEastAsia"/>
          <w:color w:val="000000" w:themeColor="text1"/>
          <w:highlight w:val="none"/>
          <w14:textFill>
            <w14:solidFill>
              <w14:schemeClr w14:val="tx1"/>
            </w14:solidFill>
          </w14:textFill>
        </w:rPr>
      </w:pPr>
    </w:p>
    <w:tbl>
      <w:tblPr>
        <w:tblStyle w:val="612"/>
        <w:tblW w:w="898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63"/>
        <w:gridCol w:w="2829"/>
        <w:gridCol w:w="2894"/>
      </w:tblGrid>
      <w:tr w14:paraId="523742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3263" w:type="dxa"/>
            <w:vMerge w:val="restart"/>
            <w:tcBorders>
              <w:top w:val="single" w:color="000000" w:sz="12" w:space="0"/>
              <w:left w:val="single" w:color="000000" w:sz="12" w:space="0"/>
              <w:bottom w:val="single" w:color="000000" w:sz="6" w:space="0"/>
              <w:right w:val="single" w:color="000000" w:sz="6" w:space="0"/>
            </w:tcBorders>
            <w:vAlign w:val="center"/>
          </w:tcPr>
          <w:p w14:paraId="48AA3A0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spacing w:val="5"/>
                <w:position w:val="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5"/>
                <w:position w:val="1"/>
                <w:sz w:val="21"/>
                <w:szCs w:val="21"/>
                <w:highlight w:val="none"/>
                <w14:textFill>
                  <w14:solidFill>
                    <w14:schemeClr w14:val="tx1"/>
                  </w14:solidFill>
                </w14:textFill>
              </w:rPr>
              <w:t>实施阶段</w:t>
            </w:r>
          </w:p>
        </w:tc>
        <w:tc>
          <w:tcPr>
            <w:tcW w:w="5723" w:type="dxa"/>
            <w:gridSpan w:val="2"/>
            <w:tcBorders>
              <w:top w:val="single" w:color="000000" w:sz="12" w:space="0"/>
              <w:left w:val="single" w:color="000000" w:sz="6" w:space="0"/>
              <w:bottom w:val="single" w:color="000000" w:sz="6" w:space="0"/>
              <w:right w:val="single" w:color="000000" w:sz="12" w:space="0"/>
            </w:tcBorders>
            <w:vAlign w:val="center"/>
          </w:tcPr>
          <w:p w14:paraId="74746CE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spacing w:val="5"/>
                <w:position w:val="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5"/>
                <w:position w:val="1"/>
                <w:sz w:val="21"/>
                <w:szCs w:val="21"/>
                <w:highlight w:val="none"/>
                <w14:textFill>
                  <w14:solidFill>
                    <w14:schemeClr w14:val="tx1"/>
                  </w14:solidFill>
                </w14:textFill>
              </w:rPr>
              <w:t>噪声排放限值dB(A)</w:t>
            </w:r>
          </w:p>
        </w:tc>
      </w:tr>
      <w:tr w14:paraId="3B5FE1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3263" w:type="dxa"/>
            <w:vMerge w:val="continue"/>
            <w:tcBorders>
              <w:top w:val="single" w:color="000000" w:sz="6" w:space="0"/>
              <w:left w:val="single" w:color="000000" w:sz="12" w:space="0"/>
              <w:bottom w:val="single" w:color="000000" w:sz="6" w:space="0"/>
              <w:right w:val="single" w:color="000000" w:sz="6" w:space="0"/>
            </w:tcBorders>
            <w:vAlign w:val="center"/>
          </w:tcPr>
          <w:p w14:paraId="243479EE">
            <w:pPr>
              <w:keepNext w:val="0"/>
              <w:keepLines w:val="0"/>
              <w:pageBreakBefore w:val="0"/>
              <w:widowControl w:val="0"/>
              <w:kinsoku/>
              <w:wordWrap/>
              <w:overflowPunct/>
              <w:topLinePunct w:val="0"/>
              <w:autoSpaceDE/>
              <w:autoSpaceDN/>
              <w:bidi w:val="0"/>
              <w:adjustRightInd/>
              <w:snapToGrid/>
              <w:spacing w:line="240" w:lineRule="auto"/>
              <w:ind w:left="460"/>
              <w:jc w:val="center"/>
              <w:textAlignment w:val="auto"/>
              <w:rPr>
                <w:rFonts w:hint="default" w:ascii="Times New Roman" w:hAnsi="Times New Roman" w:cs="Times New Roman" w:eastAsiaTheme="minorEastAsia"/>
                <w:color w:val="000000" w:themeColor="text1"/>
                <w:spacing w:val="5"/>
                <w:position w:val="1"/>
                <w:sz w:val="21"/>
                <w:szCs w:val="21"/>
                <w:highlight w:val="none"/>
                <w14:textFill>
                  <w14:solidFill>
                    <w14:schemeClr w14:val="tx1"/>
                  </w14:solidFill>
                </w14:textFill>
              </w:rPr>
            </w:pPr>
          </w:p>
        </w:tc>
        <w:tc>
          <w:tcPr>
            <w:tcW w:w="2829" w:type="dxa"/>
            <w:tcBorders>
              <w:top w:val="single" w:color="000000" w:sz="6" w:space="0"/>
              <w:left w:val="single" w:color="000000" w:sz="6" w:space="0"/>
              <w:bottom w:val="single" w:color="000000" w:sz="6" w:space="0"/>
              <w:right w:val="single" w:color="000000" w:sz="6" w:space="0"/>
            </w:tcBorders>
            <w:vAlign w:val="center"/>
          </w:tcPr>
          <w:p w14:paraId="2AF93C2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spacing w:val="5"/>
                <w:position w:val="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5"/>
                <w:position w:val="1"/>
                <w:sz w:val="21"/>
                <w:szCs w:val="21"/>
                <w:highlight w:val="none"/>
                <w14:textFill>
                  <w14:solidFill>
                    <w14:schemeClr w14:val="tx1"/>
                  </w14:solidFill>
                </w14:textFill>
              </w:rPr>
              <w:t>昼间</w:t>
            </w:r>
          </w:p>
        </w:tc>
        <w:tc>
          <w:tcPr>
            <w:tcW w:w="2894" w:type="dxa"/>
            <w:tcBorders>
              <w:top w:val="single" w:color="000000" w:sz="6" w:space="0"/>
              <w:left w:val="single" w:color="000000" w:sz="6" w:space="0"/>
              <w:bottom w:val="single" w:color="000000" w:sz="6" w:space="0"/>
              <w:right w:val="single" w:color="000000" w:sz="12" w:space="0"/>
            </w:tcBorders>
            <w:vAlign w:val="center"/>
          </w:tcPr>
          <w:p w14:paraId="2CCB3A3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spacing w:val="5"/>
                <w:position w:val="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5"/>
                <w:position w:val="1"/>
                <w:sz w:val="21"/>
                <w:szCs w:val="21"/>
                <w:highlight w:val="none"/>
                <w14:textFill>
                  <w14:solidFill>
                    <w14:schemeClr w14:val="tx1"/>
                  </w14:solidFill>
                </w14:textFill>
              </w:rPr>
              <w:t>夜间</w:t>
            </w:r>
          </w:p>
        </w:tc>
      </w:tr>
      <w:tr w14:paraId="36E3A2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7" w:hRule="atLeast"/>
        </w:trPr>
        <w:tc>
          <w:tcPr>
            <w:tcW w:w="3263" w:type="dxa"/>
            <w:tcBorders>
              <w:top w:val="single" w:color="000000" w:sz="6" w:space="0"/>
              <w:left w:val="single" w:color="000000" w:sz="12" w:space="0"/>
              <w:bottom w:val="single" w:color="000000" w:sz="12" w:space="0"/>
              <w:right w:val="single" w:color="000000" w:sz="6" w:space="0"/>
            </w:tcBorders>
            <w:vAlign w:val="center"/>
          </w:tcPr>
          <w:p w14:paraId="65408DD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spacing w:val="5"/>
                <w:position w:val="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5"/>
                <w:position w:val="1"/>
                <w:sz w:val="21"/>
                <w:szCs w:val="21"/>
                <w:highlight w:val="none"/>
                <w14:textFill>
                  <w14:solidFill>
                    <w14:schemeClr w14:val="tx1"/>
                  </w14:solidFill>
                </w14:textFill>
              </w:rPr>
              <w:t>建筑施工</w:t>
            </w:r>
          </w:p>
        </w:tc>
        <w:tc>
          <w:tcPr>
            <w:tcW w:w="2829" w:type="dxa"/>
            <w:tcBorders>
              <w:top w:val="single" w:color="000000" w:sz="6" w:space="0"/>
              <w:left w:val="single" w:color="000000" w:sz="6" w:space="0"/>
              <w:bottom w:val="single" w:color="000000" w:sz="12" w:space="0"/>
              <w:right w:val="single" w:color="000000" w:sz="6" w:space="0"/>
            </w:tcBorders>
            <w:vAlign w:val="center"/>
          </w:tcPr>
          <w:p w14:paraId="4E5FFE1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spacing w:val="5"/>
                <w:position w:val="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5"/>
                <w:position w:val="1"/>
                <w:sz w:val="21"/>
                <w:szCs w:val="21"/>
                <w:highlight w:val="none"/>
                <w14:textFill>
                  <w14:solidFill>
                    <w14:schemeClr w14:val="tx1"/>
                  </w14:solidFill>
                </w14:textFill>
              </w:rPr>
              <w:t>70</w:t>
            </w:r>
          </w:p>
        </w:tc>
        <w:tc>
          <w:tcPr>
            <w:tcW w:w="2894" w:type="dxa"/>
            <w:tcBorders>
              <w:top w:val="single" w:color="000000" w:sz="6" w:space="0"/>
              <w:left w:val="single" w:color="000000" w:sz="6" w:space="0"/>
              <w:bottom w:val="single" w:color="000000" w:sz="12" w:space="0"/>
              <w:right w:val="single" w:color="000000" w:sz="12" w:space="0"/>
            </w:tcBorders>
            <w:vAlign w:val="center"/>
          </w:tcPr>
          <w:p w14:paraId="525ECF6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spacing w:val="5"/>
                <w:position w:val="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5"/>
                <w:position w:val="1"/>
                <w:sz w:val="21"/>
                <w:szCs w:val="21"/>
                <w:highlight w:val="none"/>
                <w14:textFill>
                  <w14:solidFill>
                    <w14:schemeClr w14:val="tx1"/>
                  </w14:solidFill>
                </w14:textFill>
              </w:rPr>
              <w:t>55</w:t>
            </w:r>
          </w:p>
        </w:tc>
      </w:tr>
    </w:tbl>
    <w:p w14:paraId="3EAB9F0B">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p>
    <w:p w14:paraId="0C0697F3">
      <w:pPr>
        <w:spacing w:beforeLines="0" w:afterLines="0"/>
        <w:ind w:left="0" w:leftChars="0" w:firstLine="480" w:firstLineChars="200"/>
        <w:jc w:val="left"/>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eastAsia" w:ascii="宋体" w:hAnsi="宋体" w:eastAsia="宋体"/>
          <w:sz w:val="24"/>
        </w:rPr>
        <w:t>运营期风机噪声执行《风力发电场噪声限值及测量方法》（</w:t>
      </w:r>
      <w:r>
        <w:rPr>
          <w:rFonts w:hint="eastAsia" w:ascii="TimesNewRomanPSMT" w:hAnsi="TimesNewRomanPSMT" w:eastAsia="TimesNewRomanPSMT"/>
          <w:sz w:val="24"/>
        </w:rPr>
        <w:t>DL/T1084-2021</w:t>
      </w:r>
      <w:r>
        <w:rPr>
          <w:rFonts w:hint="eastAsia" w:ascii="宋体" w:hAnsi="宋体" w:eastAsia="宋体"/>
          <w:sz w:val="24"/>
        </w:rPr>
        <w:t>）相关标准限值及《声环境质量标准》（</w:t>
      </w:r>
      <w:r>
        <w:rPr>
          <w:rFonts w:hint="eastAsia" w:ascii="TimesNewRomanPSMT" w:hAnsi="TimesNewRomanPSMT" w:eastAsia="TimesNewRomanPSMT"/>
          <w:sz w:val="24"/>
        </w:rPr>
        <w:t>GB3096-2008</w:t>
      </w:r>
      <w:r>
        <w:rPr>
          <w:rFonts w:hint="eastAsia" w:ascii="宋体" w:hAnsi="宋体" w:eastAsia="宋体"/>
          <w:sz w:val="24"/>
        </w:rPr>
        <w:t>）</w:t>
      </w:r>
      <w:r>
        <w:rPr>
          <w:rFonts w:hint="eastAsia" w:ascii="TimesNewRomanPSMT" w:hAnsi="TimesNewRomanPSMT" w:eastAsia="TimesNewRomanPSMT"/>
          <w:sz w:val="24"/>
        </w:rPr>
        <w:t xml:space="preserve">2 </w:t>
      </w:r>
      <w:r>
        <w:rPr>
          <w:rFonts w:hint="eastAsia" w:ascii="宋体" w:hAnsi="宋体" w:eastAsia="宋体"/>
          <w:sz w:val="24"/>
        </w:rPr>
        <w:t>类标准限值。</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详见表2.4-</w:t>
      </w:r>
      <w:r>
        <w:rPr>
          <w:rFonts w:hint="eastAsia" w:cs="Times New Roman" w:eastAsiaTheme="minorEastAsia"/>
          <w:snapToGrid w:val="0"/>
          <w:color w:val="000000" w:themeColor="text1"/>
          <w:sz w:val="24"/>
          <w:highlight w:val="none"/>
          <w:lang w:val="en-US" w:eastAsia="zh-CN"/>
          <w14:textFill>
            <w14:solidFill>
              <w14:schemeClr w14:val="tx1"/>
            </w14:solidFill>
          </w14:textFill>
        </w:rPr>
        <w:t>9</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w:t>
      </w:r>
    </w:p>
    <w:p w14:paraId="0EC68E0D">
      <w:pPr>
        <w:keepNext w:val="0"/>
        <w:keepLines w:val="0"/>
        <w:pageBreakBefore w:val="0"/>
        <w:widowControl w:val="0"/>
        <w:kinsoku/>
        <w:wordWrap/>
        <w:overflowPunct/>
        <w:topLinePunct w:val="0"/>
        <w:autoSpaceDE/>
        <w:autoSpaceDN/>
        <w:bidi w:val="0"/>
        <w:adjustRightInd/>
        <w:snapToGrid/>
        <w:spacing w:line="240" w:lineRule="auto"/>
        <w:ind w:left="480" w:firstLine="482" w:firstLineChars="200"/>
        <w:jc w:val="right"/>
        <w:textAlignment w:val="auto"/>
        <w:rPr>
          <w:rFonts w:hint="default" w:ascii="Times New Roman" w:hAnsi="Times New Roman" w:cs="Times New Roman" w:eastAsiaTheme="minorEastAsia"/>
          <w:b/>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b/>
          <w:color w:val="000000" w:themeColor="text1"/>
          <w:sz w:val="24"/>
          <w:highlight w:val="none"/>
          <w:lang w:val="en-US" w:eastAsia="zh-CN"/>
          <w14:textFill>
            <w14:solidFill>
              <w14:schemeClr w14:val="tx1"/>
            </w14:solidFill>
          </w14:textFill>
        </w:rPr>
        <w:t>表2.4-</w:t>
      </w:r>
      <w:r>
        <w:rPr>
          <w:rFonts w:hint="eastAsia" w:cs="Times New Roman" w:eastAsiaTheme="minorEastAsia"/>
          <w:b/>
          <w:color w:val="000000" w:themeColor="text1"/>
          <w:sz w:val="24"/>
          <w:highlight w:val="none"/>
          <w:lang w:val="en-US" w:eastAsia="zh-CN"/>
          <w14:textFill>
            <w14:solidFill>
              <w14:schemeClr w14:val="tx1"/>
            </w14:solidFill>
          </w14:textFill>
        </w:rPr>
        <w:t>9</w:t>
      </w:r>
      <w:r>
        <w:rPr>
          <w:rFonts w:hint="default" w:ascii="Times New Roman" w:hAnsi="Times New Roman" w:cs="Times New Roman" w:eastAsiaTheme="minorEastAsia"/>
          <w:b/>
          <w:color w:val="000000" w:themeColor="text1"/>
          <w:sz w:val="24"/>
          <w:highlight w:val="none"/>
          <w:lang w:val="en-US" w:eastAsia="zh-CN"/>
          <w14:textFill>
            <w14:solidFill>
              <w14:schemeClr w14:val="tx1"/>
            </w14:solidFill>
          </w14:textFill>
        </w:rPr>
        <w:t xml:space="preserve">    </w:t>
      </w:r>
      <w:r>
        <w:rPr>
          <w:rFonts w:hint="eastAsia" w:cs="Times New Roman" w:eastAsiaTheme="minorEastAsia"/>
          <w:b/>
          <w:color w:val="000000" w:themeColor="text1"/>
          <w:sz w:val="24"/>
          <w:highlight w:val="none"/>
          <w:lang w:val="en-US" w:eastAsia="zh-CN"/>
          <w14:textFill>
            <w14:solidFill>
              <w14:schemeClr w14:val="tx1"/>
            </w14:solidFill>
          </w14:textFill>
        </w:rPr>
        <w:t xml:space="preserve">   </w:t>
      </w:r>
      <w:r>
        <w:rPr>
          <w:rFonts w:hint="default" w:ascii="Times New Roman" w:hAnsi="Times New Roman" w:cs="Times New Roman" w:eastAsiaTheme="minorEastAsia"/>
          <w:b/>
          <w:color w:val="000000" w:themeColor="text1"/>
          <w:sz w:val="24"/>
          <w:highlight w:val="none"/>
          <w:lang w:val="en-US" w:eastAsia="zh-CN"/>
          <w14:textFill>
            <w14:solidFill>
              <w14:schemeClr w14:val="tx1"/>
            </w14:solidFill>
          </w14:textFill>
        </w:rPr>
        <w:t>厂界环境噪声排放标准           单位：dB(A)</w:t>
      </w:r>
    </w:p>
    <w:p w14:paraId="7E5DFAB4">
      <w:pPr>
        <w:spacing w:line="18" w:lineRule="exact"/>
        <w:rPr>
          <w:rFonts w:hint="default" w:ascii="Times New Roman" w:hAnsi="Times New Roman" w:cs="Times New Roman" w:eastAsiaTheme="minorEastAsia"/>
          <w:color w:val="000000" w:themeColor="text1"/>
          <w:highlight w:val="none"/>
          <w14:textFill>
            <w14:solidFill>
              <w14:schemeClr w14:val="tx1"/>
            </w14:solidFill>
          </w14:textFill>
        </w:rPr>
      </w:pPr>
    </w:p>
    <w:tbl>
      <w:tblPr>
        <w:tblStyle w:val="612"/>
        <w:tblW w:w="898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63"/>
        <w:gridCol w:w="2829"/>
        <w:gridCol w:w="2894"/>
      </w:tblGrid>
      <w:tr w14:paraId="577DD9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3263" w:type="dxa"/>
            <w:vMerge w:val="restart"/>
            <w:tcBorders>
              <w:top w:val="single" w:color="000000" w:sz="12" w:space="0"/>
              <w:left w:val="single" w:color="000000" w:sz="12" w:space="0"/>
              <w:bottom w:val="single" w:color="000000" w:sz="6" w:space="0"/>
              <w:right w:val="single" w:color="000000" w:sz="6" w:space="0"/>
            </w:tcBorders>
            <w:vAlign w:val="center"/>
          </w:tcPr>
          <w:p w14:paraId="41E6A50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spacing w:val="5"/>
                <w:position w:val="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5"/>
                <w:position w:val="1"/>
                <w:sz w:val="21"/>
                <w:szCs w:val="21"/>
                <w:highlight w:val="none"/>
                <w14:textFill>
                  <w14:solidFill>
                    <w14:schemeClr w14:val="tx1"/>
                  </w14:solidFill>
                </w14:textFill>
              </w:rPr>
              <w:t>声环境功能区类别</w:t>
            </w:r>
          </w:p>
        </w:tc>
        <w:tc>
          <w:tcPr>
            <w:tcW w:w="5723" w:type="dxa"/>
            <w:gridSpan w:val="2"/>
            <w:tcBorders>
              <w:top w:val="single" w:color="000000" w:sz="12" w:space="0"/>
              <w:left w:val="single" w:color="000000" w:sz="6" w:space="0"/>
              <w:bottom w:val="single" w:color="000000" w:sz="6" w:space="0"/>
              <w:right w:val="single" w:color="000000" w:sz="12" w:space="0"/>
            </w:tcBorders>
            <w:vAlign w:val="center"/>
          </w:tcPr>
          <w:p w14:paraId="6FE622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spacing w:val="5"/>
                <w:position w:val="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5"/>
                <w:position w:val="1"/>
                <w:sz w:val="21"/>
                <w:szCs w:val="21"/>
                <w:highlight w:val="none"/>
                <w14:textFill>
                  <w14:solidFill>
                    <w14:schemeClr w14:val="tx1"/>
                  </w14:solidFill>
                </w14:textFill>
              </w:rPr>
              <w:t>时段</w:t>
            </w:r>
          </w:p>
        </w:tc>
      </w:tr>
      <w:tr w14:paraId="59824F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3263" w:type="dxa"/>
            <w:vMerge w:val="continue"/>
            <w:tcBorders>
              <w:top w:val="single" w:color="000000" w:sz="6" w:space="0"/>
              <w:left w:val="single" w:color="000000" w:sz="12" w:space="0"/>
              <w:bottom w:val="single" w:color="000000" w:sz="6" w:space="0"/>
              <w:right w:val="single" w:color="000000" w:sz="6" w:space="0"/>
            </w:tcBorders>
            <w:vAlign w:val="center"/>
          </w:tcPr>
          <w:p w14:paraId="734C5B4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spacing w:val="5"/>
                <w:position w:val="1"/>
                <w:sz w:val="21"/>
                <w:szCs w:val="21"/>
                <w:highlight w:val="none"/>
                <w14:textFill>
                  <w14:solidFill>
                    <w14:schemeClr w14:val="tx1"/>
                  </w14:solidFill>
                </w14:textFill>
              </w:rPr>
            </w:pPr>
          </w:p>
        </w:tc>
        <w:tc>
          <w:tcPr>
            <w:tcW w:w="2829" w:type="dxa"/>
            <w:tcBorders>
              <w:top w:val="single" w:color="000000" w:sz="6" w:space="0"/>
              <w:left w:val="single" w:color="000000" w:sz="6" w:space="0"/>
              <w:bottom w:val="single" w:color="000000" w:sz="6" w:space="0"/>
              <w:right w:val="single" w:color="000000" w:sz="6" w:space="0"/>
            </w:tcBorders>
            <w:vAlign w:val="center"/>
          </w:tcPr>
          <w:p w14:paraId="758E100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spacing w:val="5"/>
                <w:position w:val="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5"/>
                <w:position w:val="1"/>
                <w:sz w:val="21"/>
                <w:szCs w:val="21"/>
                <w:highlight w:val="none"/>
                <w14:textFill>
                  <w14:solidFill>
                    <w14:schemeClr w14:val="tx1"/>
                  </w14:solidFill>
                </w14:textFill>
              </w:rPr>
              <w:t>昼间</w:t>
            </w:r>
          </w:p>
        </w:tc>
        <w:tc>
          <w:tcPr>
            <w:tcW w:w="2894" w:type="dxa"/>
            <w:tcBorders>
              <w:top w:val="single" w:color="000000" w:sz="6" w:space="0"/>
              <w:left w:val="single" w:color="000000" w:sz="6" w:space="0"/>
              <w:bottom w:val="single" w:color="000000" w:sz="6" w:space="0"/>
              <w:right w:val="single" w:color="000000" w:sz="12" w:space="0"/>
            </w:tcBorders>
            <w:vAlign w:val="center"/>
          </w:tcPr>
          <w:p w14:paraId="729282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spacing w:val="5"/>
                <w:position w:val="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5"/>
                <w:position w:val="1"/>
                <w:sz w:val="21"/>
                <w:szCs w:val="21"/>
                <w:highlight w:val="none"/>
                <w14:textFill>
                  <w14:solidFill>
                    <w14:schemeClr w14:val="tx1"/>
                  </w14:solidFill>
                </w14:textFill>
              </w:rPr>
              <w:t>夜间</w:t>
            </w:r>
          </w:p>
        </w:tc>
      </w:tr>
      <w:tr w14:paraId="230DBF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3263" w:type="dxa"/>
            <w:tcBorders>
              <w:top w:val="single" w:color="000000" w:sz="6" w:space="0"/>
              <w:left w:val="single" w:color="000000" w:sz="12" w:space="0"/>
              <w:bottom w:val="single" w:color="000000" w:sz="12" w:space="0"/>
              <w:right w:val="single" w:color="000000" w:sz="6" w:space="0"/>
            </w:tcBorders>
            <w:vAlign w:val="center"/>
          </w:tcPr>
          <w:p w14:paraId="0F5C765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spacing w:val="5"/>
                <w:position w:val="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5"/>
                <w:position w:val="1"/>
                <w:sz w:val="21"/>
                <w:szCs w:val="21"/>
                <w:highlight w:val="none"/>
                <w14:textFill>
                  <w14:solidFill>
                    <w14:schemeClr w14:val="tx1"/>
                  </w14:solidFill>
                </w14:textFill>
              </w:rPr>
              <w:t>2类</w:t>
            </w:r>
          </w:p>
        </w:tc>
        <w:tc>
          <w:tcPr>
            <w:tcW w:w="2829" w:type="dxa"/>
            <w:tcBorders>
              <w:top w:val="single" w:color="000000" w:sz="6" w:space="0"/>
              <w:left w:val="single" w:color="000000" w:sz="6" w:space="0"/>
              <w:bottom w:val="single" w:color="000000" w:sz="12" w:space="0"/>
              <w:right w:val="single" w:color="000000" w:sz="6" w:space="0"/>
            </w:tcBorders>
            <w:vAlign w:val="center"/>
          </w:tcPr>
          <w:p w14:paraId="7F28EB0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spacing w:val="5"/>
                <w:position w:val="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5"/>
                <w:position w:val="1"/>
                <w:sz w:val="21"/>
                <w:szCs w:val="21"/>
                <w:highlight w:val="none"/>
                <w14:textFill>
                  <w14:solidFill>
                    <w14:schemeClr w14:val="tx1"/>
                  </w14:solidFill>
                </w14:textFill>
              </w:rPr>
              <w:t>60</w:t>
            </w:r>
          </w:p>
        </w:tc>
        <w:tc>
          <w:tcPr>
            <w:tcW w:w="2894" w:type="dxa"/>
            <w:tcBorders>
              <w:top w:val="single" w:color="000000" w:sz="6" w:space="0"/>
              <w:left w:val="single" w:color="000000" w:sz="6" w:space="0"/>
              <w:bottom w:val="single" w:color="000000" w:sz="12" w:space="0"/>
              <w:right w:val="single" w:color="000000" w:sz="12" w:space="0"/>
            </w:tcBorders>
            <w:vAlign w:val="center"/>
          </w:tcPr>
          <w:p w14:paraId="08AAC4F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spacing w:val="5"/>
                <w:position w:val="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5"/>
                <w:position w:val="1"/>
                <w:sz w:val="21"/>
                <w:szCs w:val="21"/>
                <w:highlight w:val="none"/>
                <w14:textFill>
                  <w14:solidFill>
                    <w14:schemeClr w14:val="tx1"/>
                  </w14:solidFill>
                </w14:textFill>
              </w:rPr>
              <w:t>50</w:t>
            </w:r>
          </w:p>
        </w:tc>
      </w:tr>
    </w:tbl>
    <w:p w14:paraId="414E70C9">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p>
    <w:p w14:paraId="302B9E7A">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(4)固体废物</w:t>
      </w:r>
    </w:p>
    <w:p w14:paraId="7BC28EE6">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一般固体废物处置执行《一般工业固体废物贮存和填埋污染控制标准》(GB18599-2020)，危险废物执行《危险废物贮存污染控制标准》(GB18597-2023)、《危险废物收集贮存运输技术规范》(HJ2025-2012)及《危险废物转移管理办法》(部令 第23号)。</w:t>
      </w:r>
    </w:p>
    <w:p w14:paraId="53E6764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inorEastAsia"/>
          <w:b/>
          <w:color w:val="000000" w:themeColor="text1"/>
          <w:sz w:val="24"/>
          <w:highlight w:val="none"/>
          <w14:textFill>
            <w14:solidFill>
              <w14:schemeClr w14:val="tx1"/>
            </w14:solidFill>
          </w14:textFill>
        </w:rPr>
      </w:pPr>
    </w:p>
    <w:p w14:paraId="02FBC39F">
      <w:pPr>
        <w:pStyle w:val="4"/>
        <w:pageBreakBefore w:val="0"/>
        <w:widowControl w:val="0"/>
        <w:numPr>
          <w:ilvl w:val="0"/>
          <w:numId w:val="0"/>
        </w:numPr>
        <w:tabs>
          <w:tab w:val="left" w:pos="630"/>
          <w:tab w:val="left" w:pos="3403"/>
        </w:tabs>
        <w:kinsoku/>
        <w:wordWrap w:val="0"/>
        <w:overflowPunct/>
        <w:topLinePunct w:val="0"/>
        <w:autoSpaceDE/>
        <w:autoSpaceDN/>
        <w:bidi w:val="0"/>
        <w:adjustRightInd/>
        <w:snapToGrid/>
        <w:spacing w:before="0" w:beforeLines="0" w:after="0" w:afterLines="0" w:line="360" w:lineRule="auto"/>
        <w:outlineLvl w:val="1"/>
        <w:rPr>
          <w:rFonts w:hint="default" w:ascii="Times New Roman" w:hAnsi="Times New Roman" w:cs="Times New Roman" w:eastAsiaTheme="minorEastAsia"/>
          <w:color w:val="000000" w:themeColor="text1"/>
          <w:sz w:val="30"/>
          <w:highlight w:val="none"/>
          <w:lang w:val="en-US" w:eastAsia="zh-CN"/>
          <w14:textFill>
            <w14:solidFill>
              <w14:schemeClr w14:val="tx1"/>
            </w14:solidFill>
          </w14:textFill>
        </w:rPr>
      </w:pPr>
      <w:bookmarkStart w:id="182" w:name="_Toc30926"/>
      <w:bookmarkStart w:id="183" w:name="_Toc29854"/>
      <w:bookmarkStart w:id="184" w:name="_Toc24060"/>
      <w:r>
        <w:rPr>
          <w:rFonts w:hint="default" w:ascii="Times New Roman" w:hAnsi="Times New Roman" w:cs="Times New Roman" w:eastAsiaTheme="minorEastAsia"/>
          <w:color w:val="000000" w:themeColor="text1"/>
          <w:sz w:val="30"/>
          <w:highlight w:val="none"/>
          <w:lang w:val="en-US" w:eastAsia="zh-CN"/>
          <w14:textFill>
            <w14:solidFill>
              <w14:schemeClr w14:val="tx1"/>
            </w14:solidFill>
          </w14:textFill>
        </w:rPr>
        <w:t>2.5 评价等级和评价范围</w:t>
      </w:r>
      <w:bookmarkEnd w:id="182"/>
      <w:bookmarkEnd w:id="183"/>
      <w:bookmarkEnd w:id="184"/>
    </w:p>
    <w:p w14:paraId="0DA9BD40">
      <w:pPr>
        <w:pStyle w:val="11"/>
        <w:bidi w:val="0"/>
        <w:ind w:left="0"/>
        <w:outlineLvl w:val="2"/>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bookmarkStart w:id="185" w:name="_Toc29700"/>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2.5.1 评价等级</w:t>
      </w:r>
      <w:bookmarkEnd w:id="185"/>
    </w:p>
    <w:p w14:paraId="27D3E73A">
      <w:pPr>
        <w:keepNext w:val="0"/>
        <w:keepLines w:val="0"/>
        <w:pageBreakBefore w:val="0"/>
        <w:widowControl w:val="0"/>
        <w:numPr>
          <w:ilvl w:val="0"/>
          <w:numId w:val="0"/>
        </w:numPr>
        <w:tabs>
          <w:tab w:val="left" w:pos="1260"/>
        </w:tabs>
        <w:kinsoku/>
        <w:wordWrap/>
        <w:overflowPunct/>
        <w:topLinePunct w:val="0"/>
        <w:autoSpaceDE/>
        <w:autoSpaceDN/>
        <w:bidi w:val="0"/>
        <w:adjustRightInd w:val="0"/>
        <w:snapToGrid/>
        <w:spacing w:line="360" w:lineRule="auto"/>
        <w:textAlignment w:val="auto"/>
        <w:outlineLvl w:val="9"/>
        <w:rPr>
          <w:rFonts w:hint="default"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t>2.5.1.1 大气环境影响评价等级</w:t>
      </w:r>
    </w:p>
    <w:p w14:paraId="12E5D13F">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本项目施工期主要为扬尘和机械尾气排放，运营期无废气排放。按《环境影响评价技术导则 大气环境》(HJ2.2-2018)规定，确定本次大气环境评价工作等级为三级。</w:t>
      </w:r>
    </w:p>
    <w:p w14:paraId="325C3A23">
      <w:pPr>
        <w:keepNext w:val="0"/>
        <w:keepLines w:val="0"/>
        <w:pageBreakBefore w:val="0"/>
        <w:widowControl w:val="0"/>
        <w:numPr>
          <w:ilvl w:val="0"/>
          <w:numId w:val="0"/>
        </w:numPr>
        <w:tabs>
          <w:tab w:val="left" w:pos="1260"/>
        </w:tabs>
        <w:kinsoku/>
        <w:wordWrap/>
        <w:overflowPunct/>
        <w:topLinePunct w:val="0"/>
        <w:autoSpaceDE/>
        <w:autoSpaceDN/>
        <w:bidi w:val="0"/>
        <w:adjustRightInd w:val="0"/>
        <w:snapToGrid/>
        <w:spacing w:line="360" w:lineRule="auto"/>
        <w:textAlignment w:val="auto"/>
        <w:outlineLvl w:val="9"/>
        <w:rPr>
          <w:rFonts w:hint="default"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t>2.5.1.2 地表水环境影响评价等级</w:t>
      </w:r>
    </w:p>
    <w:p w14:paraId="73DF72D5">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本项目施工期生活污水排入施工营地配置的移动环保厕所和防渗污水收集池，最终由吸污车统一收集清运；位于水源地二级保护区和准保护区内的基础设施养护时先用吸水材料覆盖混凝土，在吸水材料上洒水，养护水被混凝土吸收或自然蒸发。项目施工临建场地布置在水源地二级保护区外，</w:t>
      </w:r>
      <w:r>
        <w:rPr>
          <w:rFonts w:hint="eastAsia" w:cs="Times New Roman" w:eastAsiaTheme="minorEastAsia"/>
          <w:snapToGrid w:val="0"/>
          <w:color w:val="000000" w:themeColor="text1"/>
          <w:sz w:val="24"/>
          <w:highlight w:val="none"/>
          <w:lang w:val="en-US" w:eastAsia="zh-CN"/>
          <w14:textFill>
            <w14:solidFill>
              <w14:schemeClr w14:val="tx1"/>
            </w14:solidFill>
          </w14:textFill>
        </w:rPr>
        <w:t>风电项目</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运营期不产生生活污水。按《环境影响评价技术导则 地表水环境》(HJ2.3-2018)中水污染影响型建设项目评价等级判定，确定本项目地表水评价等级为三级B。</w:t>
      </w:r>
    </w:p>
    <w:p w14:paraId="6B5DE4BB">
      <w:pPr>
        <w:keepNext w:val="0"/>
        <w:keepLines w:val="0"/>
        <w:pageBreakBefore w:val="0"/>
        <w:widowControl w:val="0"/>
        <w:numPr>
          <w:ilvl w:val="0"/>
          <w:numId w:val="0"/>
        </w:numPr>
        <w:tabs>
          <w:tab w:val="left" w:pos="1260"/>
        </w:tabs>
        <w:kinsoku/>
        <w:wordWrap/>
        <w:overflowPunct/>
        <w:topLinePunct w:val="0"/>
        <w:autoSpaceDE/>
        <w:autoSpaceDN/>
        <w:bidi w:val="0"/>
        <w:adjustRightInd w:val="0"/>
        <w:snapToGrid/>
        <w:spacing w:line="360" w:lineRule="auto"/>
        <w:textAlignment w:val="auto"/>
        <w:outlineLvl w:val="9"/>
        <w:rPr>
          <w:rFonts w:hint="default"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t>2.5.1.3 地下水环境影响评价等级</w:t>
      </w:r>
    </w:p>
    <w:p w14:paraId="45617A94">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本项目为风力发电项目，根据《环境影响评价技术导则 地下水环境》(HJ610-2016)附录A地下水环境影响评价行业分类表，属于其中的“E 电力 34 其他能源发电 涉及环境敏感区的总装机容量5万千瓦及以上的风力发电</w:t>
      </w:r>
      <w:r>
        <w:rPr>
          <w:rFonts w:hint="eastAsia" w:cs="Times New Roman" w:eastAsiaTheme="minorEastAsia"/>
          <w:snapToGrid w:val="0"/>
          <w:color w:val="000000" w:themeColor="text1"/>
          <w:sz w:val="24"/>
          <w:highlight w:val="none"/>
          <w:lang w:val="en-US" w:eastAsia="zh-CN"/>
          <w14:textFill>
            <w14:solidFill>
              <w14:schemeClr w14:val="tx1"/>
            </w14:solidFill>
          </w14:textFill>
        </w:rPr>
        <w:t>项目</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w:t>
      </w:r>
      <w:r>
        <w:rPr>
          <w:rFonts w:hint="default" w:ascii="Times New Roman" w:hAnsi="Times New Roman" w:cs="Times New Roman" w:eastAsiaTheme="minorEastAsia"/>
          <w:color w:val="000000" w:themeColor="text1"/>
          <w:spacing w:val="0"/>
          <w:kern w:val="0"/>
          <w:sz w:val="24"/>
          <w:szCs w:val="24"/>
          <w:highlight w:val="none"/>
          <w:lang w:val="en-US" w:eastAsia="zh-CN"/>
          <w14:textFill>
            <w14:solidFill>
              <w14:schemeClr w14:val="tx1"/>
            </w14:solidFill>
          </w14:textFill>
        </w:rPr>
        <w:t>地下水环境影响评价项目类别为Ⅳ类</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w:t>
      </w:r>
    </w:p>
    <w:p w14:paraId="2FCDD91F">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FF0000"/>
          <w:sz w:val="24"/>
          <w:highlight w:val="none"/>
          <w:lang w:val="en-US" w:eastAsia="zh-CN"/>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根据《环境影响评价技术导则 地下水环境》(HJ610-2016)，Ⅳ类建设项目不开展地下水环境影响评价。由于本项目涉及</w:t>
      </w:r>
      <w:r>
        <w:rPr>
          <w:rFonts w:hint="eastAsia" w:ascii="宋体" w:hAnsi="宋体" w:eastAsia="宋体" w:cs="宋体"/>
          <w:color w:val="000000" w:themeColor="text1"/>
          <w:sz w:val="24"/>
          <w:lang w:val="en-US" w:eastAsia="zh-CN"/>
          <w14:textFill>
            <w14:solidFill>
              <w14:schemeClr w14:val="tx1"/>
            </w14:solidFill>
          </w14:textFill>
        </w:rPr>
        <w:t>西山地下饮用水源地二级保护区、</w:t>
      </w:r>
      <w:r>
        <w:rPr>
          <w:rFonts w:hint="eastAsia" w:ascii="宋体" w:hAnsi="宋体" w:eastAsia="宋体"/>
          <w:color w:val="000000" w:themeColor="text1"/>
          <w:sz w:val="24"/>
          <w14:textFill>
            <w14:solidFill>
              <w14:schemeClr w14:val="tx1"/>
            </w14:solidFill>
          </w14:textFill>
        </w:rPr>
        <w:t>甘河子（含铁路专供）</w:t>
      </w:r>
      <w:r>
        <w:rPr>
          <w:rFonts w:hint="eastAsia" w:ascii="宋体" w:hAnsi="宋体" w:eastAsia="宋体" w:cs="宋体"/>
          <w:color w:val="000000" w:themeColor="text1"/>
          <w:sz w:val="24"/>
          <w:lang w:val="en-US" w:eastAsia="zh-CN"/>
          <w14:textFill>
            <w14:solidFill>
              <w14:schemeClr w14:val="tx1"/>
            </w14:solidFill>
          </w14:textFill>
        </w:rPr>
        <w:t>地下饮用</w:t>
      </w:r>
      <w:r>
        <w:rPr>
          <w:rFonts w:hint="eastAsia" w:ascii="宋体" w:hAnsi="宋体" w:eastAsia="宋体"/>
          <w:color w:val="000000" w:themeColor="text1"/>
          <w:sz w:val="24"/>
          <w14:textFill>
            <w14:solidFill>
              <w14:schemeClr w14:val="tx1"/>
            </w14:solidFill>
          </w14:textFill>
        </w:rPr>
        <w:t>水源地</w:t>
      </w:r>
      <w:r>
        <w:rPr>
          <w:rFonts w:hint="eastAsia" w:ascii="宋体" w:hAnsi="宋体" w:eastAsia="宋体"/>
          <w:color w:val="000000" w:themeColor="text1"/>
          <w:sz w:val="24"/>
          <w:lang w:val="en-US" w:eastAsia="zh-CN"/>
          <w14:textFill>
            <w14:solidFill>
              <w14:schemeClr w14:val="tx1"/>
            </w14:solidFill>
          </w14:textFill>
        </w:rPr>
        <w:t>二级保护区以及</w:t>
      </w:r>
      <w:r>
        <w:rPr>
          <w:rFonts w:hint="eastAsia" w:cs="Times New Roman" w:eastAsiaTheme="minorEastAsia"/>
          <w:color w:val="000000" w:themeColor="text1"/>
          <w:sz w:val="24"/>
          <w:highlight w:val="none"/>
          <w:lang w:val="en-US" w:eastAsia="zh-CN"/>
          <w14:textFill>
            <w14:solidFill>
              <w14:schemeClr w14:val="tx1"/>
            </w14:solidFill>
          </w14:textFill>
        </w:rPr>
        <w:t>乌拉泊、柴西、柴北、西山、甘河子（含铁路专供）准保护区</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，本次评价须对其环境影响进行重点分析。</w:t>
      </w:r>
    </w:p>
    <w:p w14:paraId="5DD66AF7">
      <w:pPr>
        <w:keepNext w:val="0"/>
        <w:keepLines w:val="0"/>
        <w:pageBreakBefore w:val="0"/>
        <w:widowControl w:val="0"/>
        <w:numPr>
          <w:ilvl w:val="0"/>
          <w:numId w:val="0"/>
        </w:numPr>
        <w:tabs>
          <w:tab w:val="left" w:pos="1260"/>
        </w:tabs>
        <w:kinsoku/>
        <w:wordWrap/>
        <w:overflowPunct/>
        <w:topLinePunct w:val="0"/>
        <w:autoSpaceDE/>
        <w:autoSpaceDN/>
        <w:bidi w:val="0"/>
        <w:adjustRightInd/>
        <w:snapToGrid/>
        <w:spacing w:line="360" w:lineRule="auto"/>
        <w:ind w:leftChars="0"/>
        <w:textAlignment w:val="auto"/>
        <w:outlineLvl w:val="9"/>
        <w:rPr>
          <w:rFonts w:hint="default"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t>2.5.1.4 声评价环境影响评价等级</w:t>
      </w:r>
    </w:p>
    <w:p w14:paraId="4002EB9D">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本项目所处声环境功能区为2类区，评价范围内不涉及声环境保护目标，根据《环境影响评价技术导则 声环境》(HJ2.4-2021)的有关规定，确定本项目声环境评价等级为二级。</w:t>
      </w:r>
    </w:p>
    <w:p w14:paraId="2C4B6025">
      <w:pPr>
        <w:keepNext w:val="0"/>
        <w:keepLines w:val="0"/>
        <w:pageBreakBefore w:val="0"/>
        <w:widowControl w:val="0"/>
        <w:numPr>
          <w:ilvl w:val="0"/>
          <w:numId w:val="0"/>
        </w:numPr>
        <w:tabs>
          <w:tab w:val="left" w:pos="1260"/>
        </w:tabs>
        <w:kinsoku/>
        <w:wordWrap/>
        <w:overflowPunct/>
        <w:topLinePunct w:val="0"/>
        <w:autoSpaceDE/>
        <w:autoSpaceDN/>
        <w:bidi w:val="0"/>
        <w:adjustRightInd/>
        <w:snapToGrid/>
        <w:spacing w:line="360" w:lineRule="auto"/>
        <w:ind w:leftChars="0"/>
        <w:textAlignment w:val="auto"/>
        <w:outlineLvl w:val="9"/>
        <w:rPr>
          <w:rFonts w:hint="default"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t>2.5.1.5 土壤环境影响评价等级</w:t>
      </w:r>
    </w:p>
    <w:p w14:paraId="2E37A63F">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根据《环境影响评价技术导则 土壤环境(试行)》(HJ964-2018)附录 A，可知本项目类别为Ⅳ类项目(电力热力燃气及水生产和供应业，其他)，由此确定，本项目可不开展土壤环境影响评价。</w:t>
      </w:r>
    </w:p>
    <w:p w14:paraId="5AC8635D">
      <w:pPr>
        <w:keepNext w:val="0"/>
        <w:keepLines w:val="0"/>
        <w:pageBreakBefore w:val="0"/>
        <w:widowControl w:val="0"/>
        <w:numPr>
          <w:ilvl w:val="0"/>
          <w:numId w:val="0"/>
        </w:numPr>
        <w:tabs>
          <w:tab w:val="left" w:pos="1260"/>
        </w:tabs>
        <w:kinsoku/>
        <w:wordWrap/>
        <w:overflowPunct/>
        <w:topLinePunct w:val="0"/>
        <w:autoSpaceDE/>
        <w:autoSpaceDN/>
        <w:bidi w:val="0"/>
        <w:adjustRightInd/>
        <w:snapToGrid/>
        <w:spacing w:line="360" w:lineRule="auto"/>
        <w:ind w:leftChars="0"/>
        <w:textAlignment w:val="auto"/>
        <w:outlineLvl w:val="9"/>
        <w:rPr>
          <w:rFonts w:hint="default"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t>2.5.1.6 生态环境评价等级</w:t>
      </w:r>
    </w:p>
    <w:p w14:paraId="082E48E9">
      <w:pPr>
        <w:keepNext w:val="0"/>
        <w:keepLines w:val="0"/>
        <w:pageBreakBefore w:val="0"/>
        <w:widowControl/>
        <w:kinsoku/>
        <w:wordWrap/>
        <w:overflowPunct w:val="0"/>
        <w:topLinePunct w:val="0"/>
        <w:autoSpaceDE w:val="0"/>
        <w:autoSpaceDN w:val="0"/>
        <w:bidi w:val="0"/>
        <w:adjustRightInd w:val="0"/>
        <w:snapToGrid w:val="0"/>
        <w:spacing w:line="360" w:lineRule="auto"/>
        <w:ind w:left="0" w:leftChars="0" w:right="0" w:firstLine="472" w:firstLineChars="200"/>
        <w:textAlignment w:val="baseline"/>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pacing w:val="-2"/>
          <w:sz w:val="24"/>
          <w:szCs w:val="24"/>
          <w14:textFill>
            <w14:solidFill>
              <w14:schemeClr w14:val="tx1"/>
            </w14:solidFill>
          </w14:textFill>
        </w:rPr>
        <w:t>根据《环境影响评价技术导则 生态影响》(HJ19-2022)中评价等级判定原则进行生</w:t>
      </w:r>
      <w:r>
        <w:rPr>
          <w:rFonts w:hint="default" w:ascii="Times New Roman" w:hAnsi="Times New Roman" w:eastAsia="宋体" w:cs="Times New Roman"/>
          <w:color w:val="000000" w:themeColor="text1"/>
          <w:spacing w:val="-1"/>
          <w:sz w:val="24"/>
          <w:szCs w:val="24"/>
          <w14:textFill>
            <w14:solidFill>
              <w14:schemeClr w14:val="tx1"/>
            </w14:solidFill>
          </w14:textFill>
        </w:rPr>
        <w:t>态环境评价等级判定。</w:t>
      </w:r>
    </w:p>
    <w:p w14:paraId="5577E48C">
      <w:pPr>
        <w:keepNext w:val="0"/>
        <w:keepLines w:val="0"/>
        <w:pageBreakBefore w:val="0"/>
        <w:widowControl/>
        <w:kinsoku/>
        <w:wordWrap/>
        <w:overflowPunct w:val="0"/>
        <w:topLinePunct w:val="0"/>
        <w:autoSpaceDE w:val="0"/>
        <w:autoSpaceDN w:val="0"/>
        <w:bidi w:val="0"/>
        <w:adjustRightInd w:val="0"/>
        <w:snapToGrid w:val="0"/>
        <w:spacing w:line="360" w:lineRule="auto"/>
        <w:ind w:left="0" w:leftChars="0" w:right="0" w:firstLine="462" w:firstLineChars="200"/>
        <w:textAlignment w:val="baseline"/>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pacing w:val="-5"/>
          <w:sz w:val="24"/>
          <w:szCs w:val="24"/>
          <w14:textFill>
            <w14:solidFill>
              <w14:schemeClr w14:val="tx1"/>
            </w14:solidFill>
          </w14:textFill>
        </w:rPr>
        <w:t>（1）判定原则</w:t>
      </w:r>
    </w:p>
    <w:p w14:paraId="32572DA6">
      <w:pPr>
        <w:keepNext w:val="0"/>
        <w:keepLines w:val="0"/>
        <w:pageBreakBefore w:val="0"/>
        <w:widowControl/>
        <w:kinsoku/>
        <w:wordWrap/>
        <w:overflowPunct w:val="0"/>
        <w:topLinePunct w:val="0"/>
        <w:autoSpaceDE w:val="0"/>
        <w:autoSpaceDN w:val="0"/>
        <w:bidi w:val="0"/>
        <w:adjustRightInd w:val="0"/>
        <w:snapToGrid w:val="0"/>
        <w:spacing w:line="360" w:lineRule="auto"/>
        <w:ind w:left="0" w:leftChars="0" w:right="0" w:firstLine="476" w:firstLineChars="200"/>
        <w:textAlignment w:val="baseline"/>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pacing w:val="-1"/>
          <w:sz w:val="24"/>
          <w:szCs w:val="24"/>
          <w14:textFill>
            <w14:solidFill>
              <w14:schemeClr w14:val="tx1"/>
            </w14:solidFill>
          </w14:textFill>
        </w:rPr>
        <w:t>6.1.2  按以下原则确定评价等级：</w:t>
      </w:r>
    </w:p>
    <w:p w14:paraId="0177C2DC">
      <w:pPr>
        <w:keepNext w:val="0"/>
        <w:keepLines w:val="0"/>
        <w:pageBreakBefore w:val="0"/>
        <w:widowControl/>
        <w:kinsoku/>
        <w:wordWrap/>
        <w:overflowPunct w:val="0"/>
        <w:topLinePunct w:val="0"/>
        <w:autoSpaceDE w:val="0"/>
        <w:autoSpaceDN w:val="0"/>
        <w:bidi w:val="0"/>
        <w:adjustRightInd w:val="0"/>
        <w:snapToGrid w:val="0"/>
        <w:spacing w:line="360" w:lineRule="auto"/>
        <w:ind w:left="0" w:leftChars="0" w:right="0" w:firstLine="472" w:firstLineChars="200"/>
        <w:textAlignment w:val="baseline"/>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pacing w:val="-2"/>
          <w:sz w:val="24"/>
          <w:szCs w:val="24"/>
          <w14:textFill>
            <w14:solidFill>
              <w14:schemeClr w14:val="tx1"/>
            </w14:solidFill>
          </w14:textFill>
        </w:rPr>
        <w:t>a）涉及国家公园、</w:t>
      </w:r>
      <w:r>
        <w:rPr>
          <w:rFonts w:hint="default" w:ascii="Times New Roman" w:hAnsi="Times New Roman" w:eastAsia="宋体" w:cs="Times New Roman"/>
          <w:color w:val="000000" w:themeColor="text1"/>
          <w:spacing w:val="-59"/>
          <w:sz w:val="24"/>
          <w:szCs w:val="24"/>
          <w14:textFill>
            <w14:solidFill>
              <w14:schemeClr w14:val="tx1"/>
            </w14:solidFill>
          </w14:textFill>
        </w:rPr>
        <w:t xml:space="preserve"> </w:t>
      </w:r>
      <w:r>
        <w:rPr>
          <w:rFonts w:hint="default" w:ascii="Times New Roman" w:hAnsi="Times New Roman" w:eastAsia="宋体" w:cs="Times New Roman"/>
          <w:color w:val="000000" w:themeColor="text1"/>
          <w:spacing w:val="-2"/>
          <w:sz w:val="24"/>
          <w:szCs w:val="24"/>
          <w14:textFill>
            <w14:solidFill>
              <w14:schemeClr w14:val="tx1"/>
            </w14:solidFill>
          </w14:textFill>
        </w:rPr>
        <w:t>自然保护区、世界自然遗产、重要生境时，评价等级为一级；</w:t>
      </w:r>
    </w:p>
    <w:p w14:paraId="71242538">
      <w:pPr>
        <w:keepNext w:val="0"/>
        <w:keepLines w:val="0"/>
        <w:pageBreakBefore w:val="0"/>
        <w:widowControl/>
        <w:kinsoku/>
        <w:wordWrap/>
        <w:overflowPunct w:val="0"/>
        <w:topLinePunct w:val="0"/>
        <w:autoSpaceDE w:val="0"/>
        <w:autoSpaceDN w:val="0"/>
        <w:bidi w:val="0"/>
        <w:adjustRightInd w:val="0"/>
        <w:snapToGrid w:val="0"/>
        <w:spacing w:line="360" w:lineRule="auto"/>
        <w:ind w:left="0" w:leftChars="0" w:right="0" w:firstLine="480" w:firstLineChars="200"/>
        <w:textAlignment w:val="baseline"/>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b）涉及自然公园时，评价等级为二级；</w:t>
      </w:r>
    </w:p>
    <w:p w14:paraId="261DBAF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76" w:firstLineChars="200"/>
        <w:textAlignment w:val="auto"/>
        <w:rPr>
          <w:rFonts w:hint="default" w:ascii="Times New Roman" w:hAnsi="Times New Roman" w:eastAsia="宋体" w:cs="Times New Roman"/>
          <w:color w:val="000000" w:themeColor="text1"/>
          <w:spacing w:val="-1"/>
          <w:sz w:val="24"/>
          <w:szCs w:val="24"/>
          <w14:textFill>
            <w14:solidFill>
              <w14:schemeClr w14:val="tx1"/>
            </w14:solidFill>
          </w14:textFill>
        </w:rPr>
      </w:pPr>
      <w:r>
        <w:rPr>
          <w:rFonts w:hint="default" w:ascii="Times New Roman" w:hAnsi="Times New Roman" w:eastAsia="宋体" w:cs="Times New Roman"/>
          <w:color w:val="000000" w:themeColor="text1"/>
          <w:spacing w:val="-1"/>
          <w:sz w:val="24"/>
          <w:szCs w:val="24"/>
          <w14:textFill>
            <w14:solidFill>
              <w14:schemeClr w14:val="tx1"/>
            </w14:solidFill>
          </w14:textFill>
        </w:rPr>
        <w:t>c）涉及生态保护红线时，评价等级不低于二级；</w:t>
      </w:r>
    </w:p>
    <w:p w14:paraId="19DE3A1E">
      <w:pPr>
        <w:keepNext w:val="0"/>
        <w:keepLines w:val="0"/>
        <w:pageBreakBefore w:val="0"/>
        <w:widowControl/>
        <w:kinsoku/>
        <w:wordWrap/>
        <w:overflowPunct w:val="0"/>
        <w:topLinePunct w:val="0"/>
        <w:autoSpaceDE w:val="0"/>
        <w:autoSpaceDN w:val="0"/>
        <w:bidi w:val="0"/>
        <w:adjustRightInd w:val="0"/>
        <w:snapToGrid w:val="0"/>
        <w:spacing w:line="360" w:lineRule="auto"/>
        <w:ind w:left="0" w:leftChars="0" w:right="0" w:firstLine="488" w:firstLineChars="200"/>
        <w:textAlignment w:val="baseline"/>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pacing w:val="2"/>
          <w:sz w:val="24"/>
          <w:szCs w:val="24"/>
          <w14:textFill>
            <w14:solidFill>
              <w14:schemeClr w14:val="tx1"/>
            </w14:solidFill>
          </w14:textFill>
        </w:rPr>
        <w:t>d）根据</w:t>
      </w:r>
      <w:r>
        <w:rPr>
          <w:rFonts w:hint="default" w:ascii="Times New Roman" w:hAnsi="Times New Roman" w:eastAsia="宋体" w:cs="Times New Roman"/>
          <w:color w:val="000000" w:themeColor="text1"/>
          <w:spacing w:val="-34"/>
          <w:sz w:val="24"/>
          <w:szCs w:val="24"/>
          <w14:textFill>
            <w14:solidFill>
              <w14:schemeClr w14:val="tx1"/>
            </w14:solidFill>
          </w14:textFill>
        </w:rPr>
        <w:t xml:space="preserve"> </w:t>
      </w:r>
      <w:r>
        <w:rPr>
          <w:rFonts w:hint="default" w:ascii="Times New Roman" w:hAnsi="Times New Roman" w:eastAsia="宋体" w:cs="Times New Roman"/>
          <w:color w:val="000000" w:themeColor="text1"/>
          <w:sz w:val="24"/>
          <w:szCs w:val="24"/>
          <w14:textFill>
            <w14:solidFill>
              <w14:schemeClr w14:val="tx1"/>
            </w14:solidFill>
          </w14:textFill>
        </w:rPr>
        <w:t>HJ</w:t>
      </w:r>
      <w:r>
        <w:rPr>
          <w:rFonts w:hint="default" w:ascii="Times New Roman" w:hAnsi="Times New Roman" w:eastAsia="宋体" w:cs="Times New Roman"/>
          <w:color w:val="000000" w:themeColor="text1"/>
          <w:spacing w:val="2"/>
          <w:sz w:val="24"/>
          <w:szCs w:val="24"/>
          <w14:textFill>
            <w14:solidFill>
              <w14:schemeClr w14:val="tx1"/>
            </w14:solidFill>
          </w14:textFill>
        </w:rPr>
        <w:t>2.3判断属于水文要素影响型且地表水评价等级不低于二级的建设项</w:t>
      </w:r>
      <w:r>
        <w:rPr>
          <w:rFonts w:hint="default" w:ascii="Times New Roman" w:hAnsi="Times New Roman" w:eastAsia="宋体" w:cs="Times New Roman"/>
          <w:color w:val="000000" w:themeColor="text1"/>
          <w:spacing w:val="-4"/>
          <w:sz w:val="24"/>
          <w:szCs w:val="24"/>
          <w14:textFill>
            <w14:solidFill>
              <w14:schemeClr w14:val="tx1"/>
            </w14:solidFill>
          </w14:textFill>
        </w:rPr>
        <w:t>目，生态影响评价等级不低于二级；</w:t>
      </w:r>
    </w:p>
    <w:p w14:paraId="466CBB4C">
      <w:pPr>
        <w:keepNext w:val="0"/>
        <w:keepLines w:val="0"/>
        <w:pageBreakBefore w:val="0"/>
        <w:widowControl/>
        <w:kinsoku/>
        <w:wordWrap/>
        <w:overflowPunct w:val="0"/>
        <w:topLinePunct w:val="0"/>
        <w:autoSpaceDE w:val="0"/>
        <w:autoSpaceDN w:val="0"/>
        <w:bidi w:val="0"/>
        <w:adjustRightInd w:val="0"/>
        <w:snapToGrid w:val="0"/>
        <w:spacing w:line="360" w:lineRule="auto"/>
        <w:ind w:left="0" w:leftChars="0" w:right="0" w:firstLine="468" w:firstLineChars="200"/>
        <w:textAlignment w:val="baseline"/>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pacing w:val="-3"/>
          <w:sz w:val="24"/>
          <w:szCs w:val="24"/>
          <w14:textFill>
            <w14:solidFill>
              <w14:schemeClr w14:val="tx1"/>
            </w14:solidFill>
          </w14:textFill>
        </w:rPr>
        <w:t>e）根据</w:t>
      </w:r>
      <w:r>
        <w:rPr>
          <w:rFonts w:hint="default" w:ascii="Times New Roman" w:hAnsi="Times New Roman" w:eastAsia="宋体" w:cs="Times New Roman"/>
          <w:color w:val="000000" w:themeColor="text1"/>
          <w:spacing w:val="-56"/>
          <w:sz w:val="24"/>
          <w:szCs w:val="24"/>
          <w14:textFill>
            <w14:solidFill>
              <w14:schemeClr w14:val="tx1"/>
            </w14:solidFill>
          </w14:textFill>
        </w:rPr>
        <w:t xml:space="preserve"> </w:t>
      </w:r>
      <w:r>
        <w:rPr>
          <w:rFonts w:hint="default" w:ascii="Times New Roman" w:hAnsi="Times New Roman" w:eastAsia="宋体" w:cs="Times New Roman"/>
          <w:color w:val="000000" w:themeColor="text1"/>
          <w:spacing w:val="-3"/>
          <w:sz w:val="24"/>
          <w:szCs w:val="24"/>
          <w14:textFill>
            <w14:solidFill>
              <w14:schemeClr w14:val="tx1"/>
            </w14:solidFill>
          </w14:textFill>
        </w:rPr>
        <w:t>HJ610、HJ964判断地下水水位或土壤影响范围内分布</w:t>
      </w:r>
      <w:r>
        <w:rPr>
          <w:rFonts w:hint="default" w:ascii="Times New Roman" w:hAnsi="Times New Roman" w:eastAsia="宋体" w:cs="Times New Roman"/>
          <w:color w:val="000000" w:themeColor="text1"/>
          <w:spacing w:val="-4"/>
          <w:sz w:val="24"/>
          <w:szCs w:val="24"/>
          <w14:textFill>
            <w14:solidFill>
              <w14:schemeClr w14:val="tx1"/>
            </w14:solidFill>
          </w14:textFill>
        </w:rPr>
        <w:t>有天然林、公益林、</w:t>
      </w:r>
      <w:r>
        <w:rPr>
          <w:rFonts w:hint="default" w:ascii="Times New Roman" w:hAnsi="Times New Roman" w:eastAsia="宋体" w:cs="Times New Roman"/>
          <w:color w:val="000000" w:themeColor="text1"/>
          <w:spacing w:val="-1"/>
          <w:sz w:val="24"/>
          <w:szCs w:val="24"/>
          <w14:textFill>
            <w14:solidFill>
              <w14:schemeClr w14:val="tx1"/>
            </w14:solidFill>
          </w14:textFill>
        </w:rPr>
        <w:t>湿地等生态保护目标的建设项目，生态影响评价等级不低于二级；</w:t>
      </w:r>
    </w:p>
    <w:p w14:paraId="2ECEBF99">
      <w:pPr>
        <w:keepNext w:val="0"/>
        <w:keepLines w:val="0"/>
        <w:pageBreakBefore w:val="0"/>
        <w:widowControl/>
        <w:kinsoku/>
        <w:wordWrap/>
        <w:overflowPunct w:val="0"/>
        <w:topLinePunct w:val="0"/>
        <w:autoSpaceDE w:val="0"/>
        <w:autoSpaceDN w:val="0"/>
        <w:bidi w:val="0"/>
        <w:adjustRightInd w:val="0"/>
        <w:snapToGrid w:val="0"/>
        <w:spacing w:line="360" w:lineRule="auto"/>
        <w:ind w:left="0" w:leftChars="0" w:right="0" w:firstLine="476" w:firstLineChars="200"/>
        <w:textAlignment w:val="baseline"/>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pacing w:val="-1"/>
          <w:sz w:val="24"/>
          <w:szCs w:val="24"/>
          <w14:textFill>
            <w14:solidFill>
              <w14:schemeClr w14:val="tx1"/>
            </w14:solidFill>
          </w14:textFill>
        </w:rPr>
        <w:t>f）当工程占地规模大于</w:t>
      </w:r>
      <w:r>
        <w:rPr>
          <w:rFonts w:hint="default" w:ascii="Times New Roman" w:hAnsi="Times New Roman" w:eastAsia="宋体" w:cs="Times New Roman"/>
          <w:color w:val="000000" w:themeColor="text1"/>
          <w:spacing w:val="-55"/>
          <w:sz w:val="24"/>
          <w:szCs w:val="24"/>
          <w14:textFill>
            <w14:solidFill>
              <w14:schemeClr w14:val="tx1"/>
            </w14:solidFill>
          </w14:textFill>
        </w:rPr>
        <w:t xml:space="preserve"> </w:t>
      </w:r>
      <w:r>
        <w:rPr>
          <w:rFonts w:hint="default" w:ascii="Times New Roman" w:hAnsi="Times New Roman" w:eastAsia="宋体" w:cs="Times New Roman"/>
          <w:color w:val="000000" w:themeColor="text1"/>
          <w:spacing w:val="-1"/>
          <w:sz w:val="24"/>
          <w:szCs w:val="24"/>
          <w14:textFill>
            <w14:solidFill>
              <w14:schemeClr w14:val="tx1"/>
            </w14:solidFill>
          </w14:textFill>
        </w:rPr>
        <w:t>20km</w:t>
      </w:r>
      <w:r>
        <w:rPr>
          <w:rFonts w:hint="default" w:ascii="Times New Roman" w:hAnsi="Times New Roman" w:eastAsia="宋体" w:cs="Times New Roman"/>
          <w:color w:val="000000" w:themeColor="text1"/>
          <w:spacing w:val="-1"/>
          <w:position w:val="8"/>
          <w:sz w:val="15"/>
          <w:szCs w:val="15"/>
          <w14:textFill>
            <w14:solidFill>
              <w14:schemeClr w14:val="tx1"/>
            </w14:solidFill>
          </w14:textFill>
        </w:rPr>
        <w:t>2</w:t>
      </w:r>
      <w:r>
        <w:rPr>
          <w:rFonts w:hint="default" w:ascii="Times New Roman" w:hAnsi="Times New Roman" w:eastAsia="宋体" w:cs="Times New Roman"/>
          <w:color w:val="000000" w:themeColor="text1"/>
          <w:spacing w:val="-1"/>
          <w:sz w:val="24"/>
          <w:szCs w:val="24"/>
          <w14:textFill>
            <w14:solidFill>
              <w14:schemeClr w14:val="tx1"/>
            </w14:solidFill>
          </w14:textFill>
        </w:rPr>
        <w:t>时（包括永久和临时占用陆域和</w:t>
      </w:r>
      <w:r>
        <w:rPr>
          <w:rFonts w:hint="default" w:ascii="Times New Roman" w:hAnsi="Times New Roman" w:eastAsia="宋体" w:cs="Times New Roman"/>
          <w:color w:val="000000" w:themeColor="text1"/>
          <w:spacing w:val="-2"/>
          <w:sz w:val="24"/>
          <w:szCs w:val="24"/>
          <w14:textFill>
            <w14:solidFill>
              <w14:schemeClr w14:val="tx1"/>
            </w14:solidFill>
          </w14:textFill>
        </w:rPr>
        <w:t>水域</w:t>
      </w:r>
      <w:r>
        <w:rPr>
          <w:rFonts w:hint="default" w:ascii="Times New Roman" w:hAnsi="Times New Roman" w:eastAsia="宋体" w:cs="Times New Roman"/>
          <w:color w:val="000000" w:themeColor="text1"/>
          <w:spacing w:val="3"/>
          <w:sz w:val="24"/>
          <w:szCs w:val="24"/>
          <w14:textFill>
            <w14:solidFill>
              <w14:schemeClr w14:val="tx1"/>
            </w14:solidFill>
          </w14:textFill>
        </w:rPr>
        <w:t>），</w:t>
      </w:r>
      <w:r>
        <w:rPr>
          <w:rFonts w:hint="default" w:ascii="Times New Roman" w:hAnsi="Times New Roman" w:eastAsia="宋体" w:cs="Times New Roman"/>
          <w:color w:val="000000" w:themeColor="text1"/>
          <w:spacing w:val="-2"/>
          <w:sz w:val="24"/>
          <w:szCs w:val="24"/>
          <w14:textFill>
            <w14:solidFill>
              <w14:schemeClr w14:val="tx1"/>
            </w14:solidFill>
          </w14:textFill>
        </w:rPr>
        <w:t>评价等级</w:t>
      </w:r>
      <w:r>
        <w:rPr>
          <w:rFonts w:hint="default" w:ascii="Times New Roman" w:hAnsi="Times New Roman" w:eastAsia="宋体" w:cs="Times New Roman"/>
          <w:color w:val="000000" w:themeColor="text1"/>
          <w:spacing w:val="-1"/>
          <w:sz w:val="24"/>
          <w:szCs w:val="24"/>
          <w14:textFill>
            <w14:solidFill>
              <w14:schemeClr w14:val="tx1"/>
            </w14:solidFill>
          </w14:textFill>
        </w:rPr>
        <w:t>不低于二级；改扩建项目的占地范围以新增占地（包括陆域和水域）确定；</w:t>
      </w:r>
    </w:p>
    <w:p w14:paraId="3A3857D9">
      <w:pPr>
        <w:keepNext w:val="0"/>
        <w:keepLines w:val="0"/>
        <w:pageBreakBefore w:val="0"/>
        <w:widowControl/>
        <w:kinsoku/>
        <w:wordWrap/>
        <w:overflowPunct w:val="0"/>
        <w:topLinePunct w:val="0"/>
        <w:autoSpaceDE w:val="0"/>
        <w:autoSpaceDN w:val="0"/>
        <w:bidi w:val="0"/>
        <w:adjustRightInd w:val="0"/>
        <w:snapToGrid w:val="0"/>
        <w:spacing w:line="360" w:lineRule="auto"/>
        <w:ind w:left="0" w:leftChars="0" w:right="0" w:firstLine="480" w:firstLineChars="200"/>
        <w:textAlignment w:val="baseline"/>
        <w:rPr>
          <w:rFonts w:hint="default" w:ascii="Times New Roman" w:hAnsi="Times New Roman" w:eastAsia="宋体" w:cs="Times New Roman"/>
          <w:color w:val="000000" w:themeColor="text1"/>
          <w:spacing w:val="-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g）除本条 a）、b）、c）、d）、e）、f）以外的情</w:t>
      </w:r>
      <w:r>
        <w:rPr>
          <w:rFonts w:hint="default" w:ascii="Times New Roman" w:hAnsi="Times New Roman" w:eastAsia="宋体" w:cs="Times New Roman"/>
          <w:color w:val="000000" w:themeColor="text1"/>
          <w:spacing w:val="-1"/>
          <w:sz w:val="24"/>
          <w:szCs w:val="24"/>
          <w14:textFill>
            <w14:solidFill>
              <w14:schemeClr w14:val="tx1"/>
            </w14:solidFill>
          </w14:textFill>
        </w:rPr>
        <w:t>况，评价等级为三级；</w:t>
      </w:r>
    </w:p>
    <w:p w14:paraId="5D121BB3">
      <w:pPr>
        <w:keepNext w:val="0"/>
        <w:keepLines w:val="0"/>
        <w:pageBreakBefore w:val="0"/>
        <w:widowControl/>
        <w:kinsoku/>
        <w:wordWrap/>
        <w:overflowPunct w:val="0"/>
        <w:topLinePunct w:val="0"/>
        <w:autoSpaceDE w:val="0"/>
        <w:autoSpaceDN w:val="0"/>
        <w:bidi w:val="0"/>
        <w:adjustRightInd w:val="0"/>
        <w:snapToGrid w:val="0"/>
        <w:spacing w:line="360" w:lineRule="auto"/>
        <w:ind w:left="0" w:leftChars="0" w:right="0" w:firstLine="476" w:firstLineChars="200"/>
        <w:textAlignment w:val="baseline"/>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pacing w:val="-1"/>
          <w:sz w:val="24"/>
          <w:szCs w:val="24"/>
          <w14:textFill>
            <w14:solidFill>
              <w14:schemeClr w14:val="tx1"/>
            </w14:solidFill>
          </w14:textFill>
        </w:rPr>
        <w:t>h）当评价等级判定同时符合上述多种情况时，应采用其</w:t>
      </w:r>
      <w:r>
        <w:rPr>
          <w:rFonts w:hint="default" w:ascii="Times New Roman" w:hAnsi="Times New Roman" w:eastAsia="宋体" w:cs="Times New Roman"/>
          <w:color w:val="000000" w:themeColor="text1"/>
          <w:spacing w:val="-2"/>
          <w:sz w:val="24"/>
          <w:szCs w:val="24"/>
          <w14:textFill>
            <w14:solidFill>
              <w14:schemeClr w14:val="tx1"/>
            </w14:solidFill>
          </w14:textFill>
        </w:rPr>
        <w:t>中最高的评价等级。</w:t>
      </w:r>
    </w:p>
    <w:p w14:paraId="2E715320">
      <w:pPr>
        <w:keepNext w:val="0"/>
        <w:keepLines w:val="0"/>
        <w:pageBreakBefore w:val="0"/>
        <w:widowControl/>
        <w:kinsoku/>
        <w:wordWrap/>
        <w:overflowPunct w:val="0"/>
        <w:topLinePunct w:val="0"/>
        <w:autoSpaceDE w:val="0"/>
        <w:autoSpaceDN w:val="0"/>
        <w:bidi w:val="0"/>
        <w:adjustRightInd w:val="0"/>
        <w:snapToGrid w:val="0"/>
        <w:spacing w:line="360" w:lineRule="auto"/>
        <w:ind w:left="0" w:leftChars="0" w:right="0" w:firstLine="480" w:firstLineChars="200"/>
        <w:textAlignment w:val="baseline"/>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6.1.3</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szCs w:val="24"/>
          <w14:textFill>
            <w14:solidFill>
              <w14:schemeClr w14:val="tx1"/>
            </w14:solidFill>
          </w14:textFill>
        </w:rPr>
        <w:t xml:space="preserve"> 建设项目涉及经论证对保护生物多样性具有重要意义的区域时，可适当上调</w:t>
      </w:r>
      <w:r>
        <w:rPr>
          <w:rFonts w:hint="default" w:ascii="Times New Roman" w:hAnsi="Times New Roman" w:eastAsia="宋体" w:cs="Times New Roman"/>
          <w:color w:val="000000" w:themeColor="text1"/>
          <w:spacing w:val="-2"/>
          <w:sz w:val="24"/>
          <w:szCs w:val="24"/>
          <w14:textFill>
            <w14:solidFill>
              <w14:schemeClr w14:val="tx1"/>
            </w14:solidFill>
          </w14:textFill>
        </w:rPr>
        <w:t>评价等级。</w:t>
      </w:r>
    </w:p>
    <w:p w14:paraId="04F62F77">
      <w:pPr>
        <w:keepNext w:val="0"/>
        <w:keepLines w:val="0"/>
        <w:pageBreakBefore w:val="0"/>
        <w:widowControl/>
        <w:kinsoku/>
        <w:wordWrap/>
        <w:overflowPunct w:val="0"/>
        <w:topLinePunct w:val="0"/>
        <w:autoSpaceDE w:val="0"/>
        <w:autoSpaceDN w:val="0"/>
        <w:bidi w:val="0"/>
        <w:adjustRightInd w:val="0"/>
        <w:snapToGrid w:val="0"/>
        <w:spacing w:line="360" w:lineRule="auto"/>
        <w:ind w:left="0" w:leftChars="0" w:right="0" w:firstLine="480" w:firstLineChars="200"/>
        <w:textAlignment w:val="baseline"/>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6.1.4</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szCs w:val="24"/>
          <w14:textFill>
            <w14:solidFill>
              <w14:schemeClr w14:val="tx1"/>
            </w14:solidFill>
          </w14:textFill>
        </w:rPr>
        <w:t xml:space="preserve"> 建设项目同时涉及陆生、水生生态影响时，可针对陆生生态、水生生态分别</w:t>
      </w:r>
      <w:r>
        <w:rPr>
          <w:rFonts w:hint="default" w:ascii="Times New Roman" w:hAnsi="Times New Roman" w:eastAsia="宋体" w:cs="Times New Roman"/>
          <w:color w:val="000000" w:themeColor="text1"/>
          <w:spacing w:val="-2"/>
          <w:sz w:val="24"/>
          <w:szCs w:val="24"/>
          <w14:textFill>
            <w14:solidFill>
              <w14:schemeClr w14:val="tx1"/>
            </w14:solidFill>
          </w14:textFill>
        </w:rPr>
        <w:t>判定评价等级。</w:t>
      </w:r>
    </w:p>
    <w:p w14:paraId="1A632537">
      <w:pPr>
        <w:keepNext w:val="0"/>
        <w:keepLines w:val="0"/>
        <w:pageBreakBefore w:val="0"/>
        <w:widowControl/>
        <w:kinsoku/>
        <w:wordWrap/>
        <w:overflowPunct w:val="0"/>
        <w:topLinePunct w:val="0"/>
        <w:autoSpaceDE w:val="0"/>
        <w:autoSpaceDN w:val="0"/>
        <w:bidi w:val="0"/>
        <w:adjustRightInd w:val="0"/>
        <w:snapToGrid w:val="0"/>
        <w:spacing w:line="360" w:lineRule="auto"/>
        <w:ind w:left="0" w:leftChars="0" w:right="0" w:firstLine="476" w:firstLineChars="200"/>
        <w:textAlignment w:val="baseline"/>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1"/>
          <w:sz w:val="24"/>
          <w:szCs w:val="24"/>
        </w:rPr>
        <w:t>6.1.5  在矿山开采可能导致矿区土地利用类型明显改</w:t>
      </w:r>
      <w:r>
        <w:rPr>
          <w:rFonts w:hint="default" w:ascii="Times New Roman" w:hAnsi="Times New Roman" w:eastAsia="宋体" w:cs="Times New Roman"/>
          <w:color w:val="auto"/>
          <w:spacing w:val="-2"/>
          <w:sz w:val="24"/>
          <w:szCs w:val="24"/>
        </w:rPr>
        <w:t>变，或拦河闸坝建设可能明显</w:t>
      </w:r>
      <w:r>
        <w:rPr>
          <w:rFonts w:hint="default" w:ascii="Times New Roman" w:hAnsi="Times New Roman" w:eastAsia="宋体" w:cs="Times New Roman"/>
          <w:color w:val="auto"/>
          <w:spacing w:val="-1"/>
          <w:sz w:val="24"/>
          <w:szCs w:val="24"/>
        </w:rPr>
        <w:t>改变水文情势等情况下，评价等级应上调一级。</w:t>
      </w:r>
    </w:p>
    <w:p w14:paraId="783B064B">
      <w:pPr>
        <w:keepNext w:val="0"/>
        <w:keepLines w:val="0"/>
        <w:pageBreakBefore w:val="0"/>
        <w:widowControl/>
        <w:kinsoku/>
        <w:wordWrap/>
        <w:overflowPunct w:val="0"/>
        <w:topLinePunct w:val="0"/>
        <w:autoSpaceDE w:val="0"/>
        <w:autoSpaceDN w:val="0"/>
        <w:bidi w:val="0"/>
        <w:adjustRightInd w:val="0"/>
        <w:snapToGrid w:val="0"/>
        <w:spacing w:line="360" w:lineRule="auto"/>
        <w:ind w:left="0" w:leftChars="0" w:right="0" w:firstLine="472" w:firstLineChars="200"/>
        <w:textAlignment w:val="baseline"/>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2"/>
          <w:sz w:val="24"/>
          <w:szCs w:val="24"/>
        </w:rPr>
        <w:t>6.1.6  线性工程可分段确定评价等级。线性工程地下穿越或地表跨越生态敏感区，</w:t>
      </w:r>
      <w:r>
        <w:rPr>
          <w:rFonts w:hint="default" w:ascii="Times New Roman" w:hAnsi="Times New Roman" w:eastAsia="宋体" w:cs="Times New Roman"/>
          <w:color w:val="auto"/>
          <w:sz w:val="24"/>
          <w:szCs w:val="24"/>
        </w:rPr>
        <w:t>在生态敏感区范围内无永久、临时占地时，</w:t>
      </w:r>
      <w:r>
        <w:rPr>
          <w:rFonts w:hint="default" w:ascii="Times New Roman" w:hAnsi="Times New Roman" w:eastAsia="宋体" w:cs="Times New Roman"/>
          <w:color w:val="auto"/>
          <w:spacing w:val="-1"/>
          <w:sz w:val="24"/>
          <w:szCs w:val="24"/>
        </w:rPr>
        <w:t>评价等级可下调一级。</w:t>
      </w:r>
    </w:p>
    <w:p w14:paraId="42485AAB">
      <w:pPr>
        <w:keepNext w:val="0"/>
        <w:keepLines w:val="0"/>
        <w:pageBreakBefore w:val="0"/>
        <w:widowControl/>
        <w:kinsoku/>
        <w:wordWrap/>
        <w:overflowPunct w:val="0"/>
        <w:topLinePunct w:val="0"/>
        <w:autoSpaceDE w:val="0"/>
        <w:autoSpaceDN w:val="0"/>
        <w:bidi w:val="0"/>
        <w:adjustRightInd w:val="0"/>
        <w:snapToGrid w:val="0"/>
        <w:spacing w:line="360" w:lineRule="auto"/>
        <w:ind w:left="0" w:leftChars="0" w:right="0" w:firstLine="466" w:firstLineChars="200"/>
        <w:textAlignment w:val="baseline"/>
        <w:rPr>
          <w:rFonts w:hint="default" w:ascii="Times New Roman" w:hAnsi="Times New Roman" w:eastAsia="宋体" w:cs="Times New Roman"/>
          <w:b/>
          <w:bCs/>
          <w:color w:val="000000" w:themeColor="text1"/>
          <w:spacing w:val="-4"/>
          <w:sz w:val="24"/>
          <w:szCs w:val="24"/>
          <w14:textFill>
            <w14:solidFill>
              <w14:schemeClr w14:val="tx1"/>
            </w14:solidFill>
          </w14:textFill>
        </w:rPr>
      </w:pPr>
    </w:p>
    <w:p w14:paraId="65C3A99D">
      <w:pPr>
        <w:keepNext w:val="0"/>
        <w:keepLines w:val="0"/>
        <w:pageBreakBefore w:val="0"/>
        <w:widowControl/>
        <w:kinsoku/>
        <w:wordWrap/>
        <w:overflowPunct w:val="0"/>
        <w:topLinePunct w:val="0"/>
        <w:autoSpaceDE w:val="0"/>
        <w:autoSpaceDN w:val="0"/>
        <w:bidi w:val="0"/>
        <w:adjustRightInd w:val="0"/>
        <w:snapToGrid w:val="0"/>
        <w:spacing w:line="360" w:lineRule="auto"/>
        <w:ind w:left="0" w:leftChars="0" w:right="0" w:firstLine="466" w:firstLineChars="200"/>
        <w:textAlignment w:val="baseline"/>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pacing w:val="-4"/>
          <w:sz w:val="24"/>
          <w:szCs w:val="24"/>
          <w14:textFill>
            <w14:solidFill>
              <w14:schemeClr w14:val="tx1"/>
            </w14:solidFill>
          </w14:textFill>
        </w:rPr>
        <w:t>（2）本项目等级判定</w:t>
      </w:r>
    </w:p>
    <w:p w14:paraId="56195979">
      <w:pPr>
        <w:keepNext w:val="0"/>
        <w:keepLines w:val="0"/>
        <w:pageBreakBefore w:val="0"/>
        <w:widowControl/>
        <w:kinsoku/>
        <w:wordWrap/>
        <w:overflowPunct w:val="0"/>
        <w:topLinePunct w:val="0"/>
        <w:autoSpaceDE w:val="0"/>
        <w:autoSpaceDN w:val="0"/>
        <w:bidi w:val="0"/>
        <w:adjustRightInd w:val="0"/>
        <w:snapToGrid w:val="0"/>
        <w:spacing w:line="360" w:lineRule="auto"/>
        <w:ind w:left="0" w:leftChars="0" w:right="0" w:firstLine="480" w:firstLineChars="200"/>
        <w:textAlignment w:val="baseline"/>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①</w:t>
      </w:r>
      <w:r>
        <w:rPr>
          <w:rFonts w:hint="eastAsia" w:eastAsia="宋体" w:cs="Times New Roman"/>
          <w:color w:val="000000" w:themeColor="text1"/>
          <w:sz w:val="24"/>
          <w:szCs w:val="24"/>
          <w:lang w:val="en-US" w:eastAsia="zh-CN"/>
          <w14:textFill>
            <w14:solidFill>
              <w14:schemeClr w14:val="tx1"/>
            </w14:solidFill>
          </w14:textFill>
        </w:rPr>
        <w:t>本项目不涉及</w:t>
      </w:r>
      <w:r>
        <w:rPr>
          <w:rFonts w:hint="default" w:ascii="Times New Roman" w:hAnsi="Times New Roman" w:eastAsia="宋体" w:cs="Times New Roman"/>
          <w:color w:val="000000" w:themeColor="text1"/>
          <w:spacing w:val="-2"/>
          <w:sz w:val="24"/>
          <w:szCs w:val="24"/>
          <w14:textFill>
            <w14:solidFill>
              <w14:schemeClr w14:val="tx1"/>
            </w14:solidFill>
          </w14:textFill>
        </w:rPr>
        <w:t>涉及国家公园、</w:t>
      </w:r>
      <w:r>
        <w:rPr>
          <w:rFonts w:hint="default" w:ascii="Times New Roman" w:hAnsi="Times New Roman" w:eastAsia="宋体" w:cs="Times New Roman"/>
          <w:color w:val="000000" w:themeColor="text1"/>
          <w:spacing w:val="-59"/>
          <w:sz w:val="24"/>
          <w:szCs w:val="24"/>
          <w14:textFill>
            <w14:solidFill>
              <w14:schemeClr w14:val="tx1"/>
            </w14:solidFill>
          </w14:textFill>
        </w:rPr>
        <w:t xml:space="preserve"> </w:t>
      </w:r>
      <w:r>
        <w:rPr>
          <w:rFonts w:hint="default" w:ascii="Times New Roman" w:hAnsi="Times New Roman" w:eastAsia="宋体" w:cs="Times New Roman"/>
          <w:color w:val="000000" w:themeColor="text1"/>
          <w:spacing w:val="-2"/>
          <w:sz w:val="24"/>
          <w:szCs w:val="24"/>
          <w14:textFill>
            <w14:solidFill>
              <w14:schemeClr w14:val="tx1"/>
            </w14:solidFill>
          </w14:textFill>
        </w:rPr>
        <w:t>自然保护区、世界自然遗产、重要生境</w:t>
      </w:r>
      <w:r>
        <w:rPr>
          <w:rFonts w:hint="eastAsia" w:ascii="Times New Roman" w:hAnsi="Times New Roman" w:eastAsia="宋体" w:cs="Times New Roman"/>
          <w:color w:val="000000" w:themeColor="text1"/>
          <w:spacing w:val="-2"/>
          <w:sz w:val="24"/>
          <w:szCs w:val="24"/>
          <w:lang w:eastAsia="zh-CN"/>
          <w14:textFill>
            <w14:solidFill>
              <w14:schemeClr w14:val="tx1"/>
            </w14:solidFill>
          </w14:textFill>
        </w:rPr>
        <w:t>，</w:t>
      </w:r>
      <w:r>
        <w:rPr>
          <w:rFonts w:hint="eastAsia" w:ascii="Times New Roman" w:hAnsi="Times New Roman" w:eastAsia="宋体" w:cs="Times New Roman"/>
          <w:color w:val="000000" w:themeColor="text1"/>
          <w:spacing w:val="-2"/>
          <w:sz w:val="24"/>
          <w:szCs w:val="24"/>
          <w:lang w:val="en-US" w:eastAsia="zh-CN"/>
          <w14:textFill>
            <w14:solidFill>
              <w14:schemeClr w14:val="tx1"/>
            </w14:solidFill>
          </w14:textFill>
        </w:rPr>
        <w:t>最近的</w:t>
      </w:r>
      <w:r>
        <w:rPr>
          <w:rFonts w:hint="default" w:ascii="Times New Roman" w:hAnsi="Times New Roman" w:eastAsia="宋体" w:cs="Times New Roman"/>
          <w:color w:val="000000" w:themeColor="text1"/>
          <w:sz w:val="24"/>
          <w:szCs w:val="24"/>
          <w14:textFill>
            <w14:solidFill>
              <w14:schemeClr w14:val="tx1"/>
            </w14:solidFill>
          </w14:textFill>
        </w:rPr>
        <w:t>柴窝堡湖国家湿地自然公园位于本项目</w:t>
      </w:r>
      <w:r>
        <w:rPr>
          <w:rFonts w:hint="eastAsia" w:eastAsia="宋体" w:cs="Times New Roman"/>
          <w:color w:val="000000" w:themeColor="text1"/>
          <w:sz w:val="24"/>
          <w:szCs w:val="24"/>
          <w:lang w:val="en-US" w:eastAsia="zh-CN"/>
          <w14:textFill>
            <w14:solidFill>
              <w14:schemeClr w14:val="tx1"/>
            </w14:solidFill>
          </w14:textFill>
        </w:rPr>
        <w:t>H1风机东南侧约31km处，</w:t>
      </w:r>
      <w:r>
        <w:rPr>
          <w:rFonts w:hint="default" w:ascii="Times New Roman" w:hAnsi="Times New Roman" w:eastAsia="宋体" w:cs="Times New Roman"/>
          <w:color w:val="000000" w:themeColor="text1"/>
          <w:spacing w:val="-3"/>
          <w:sz w:val="24"/>
          <w:szCs w:val="24"/>
          <w14:textFill>
            <w14:solidFill>
              <w14:schemeClr w14:val="tx1"/>
            </w14:solidFill>
          </w14:textFill>
        </w:rPr>
        <w:t>因此，本项目不涉及国家公园、自</w:t>
      </w:r>
      <w:r>
        <w:rPr>
          <w:rFonts w:hint="default" w:ascii="Times New Roman" w:hAnsi="Times New Roman" w:eastAsia="宋体" w:cs="Times New Roman"/>
          <w:color w:val="000000" w:themeColor="text1"/>
          <w:spacing w:val="-4"/>
          <w:sz w:val="24"/>
          <w:szCs w:val="24"/>
          <w14:textFill>
            <w14:solidFill>
              <w14:schemeClr w14:val="tx1"/>
            </w14:solidFill>
          </w14:textFill>
        </w:rPr>
        <w:t>然保</w:t>
      </w:r>
      <w:r>
        <w:rPr>
          <w:rFonts w:hint="default" w:ascii="Times New Roman" w:hAnsi="Times New Roman" w:eastAsia="宋体" w:cs="Times New Roman"/>
          <w:color w:val="000000" w:themeColor="text1"/>
          <w:spacing w:val="-1"/>
          <w:sz w:val="24"/>
          <w:szCs w:val="24"/>
          <w14:textFill>
            <w14:solidFill>
              <w14:schemeClr w14:val="tx1"/>
            </w14:solidFill>
          </w14:textFill>
        </w:rPr>
        <w:t>护区、世界自然遗产、重要生境。</w:t>
      </w:r>
    </w:p>
    <w:p w14:paraId="1CEE683B">
      <w:pPr>
        <w:keepNext w:val="0"/>
        <w:keepLines w:val="0"/>
        <w:pageBreakBefore w:val="0"/>
        <w:widowControl/>
        <w:kinsoku/>
        <w:wordWrap/>
        <w:overflowPunct w:val="0"/>
        <w:topLinePunct w:val="0"/>
        <w:autoSpaceDE w:val="0"/>
        <w:autoSpaceDN w:val="0"/>
        <w:bidi w:val="0"/>
        <w:adjustRightInd w:val="0"/>
        <w:snapToGrid w:val="0"/>
        <w:spacing w:line="360" w:lineRule="auto"/>
        <w:ind w:left="0" w:leftChars="0" w:right="0" w:firstLine="476" w:firstLineChars="200"/>
        <w:textAlignment w:val="baseline"/>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pacing w:val="-1"/>
          <w:sz w:val="24"/>
          <w:szCs w:val="24"/>
          <w14:textFill>
            <w14:solidFill>
              <w14:schemeClr w14:val="tx1"/>
            </w14:solidFill>
          </w14:textFill>
        </w:rPr>
        <w:t>②不项目不涉及自然公园。</w:t>
      </w:r>
    </w:p>
    <w:p w14:paraId="4EB66C14">
      <w:pPr>
        <w:keepNext w:val="0"/>
        <w:keepLines w:val="0"/>
        <w:pageBreakBefore w:val="0"/>
        <w:widowControl/>
        <w:kinsoku/>
        <w:wordWrap/>
        <w:overflowPunct w:val="0"/>
        <w:topLinePunct w:val="0"/>
        <w:autoSpaceDE w:val="0"/>
        <w:autoSpaceDN w:val="0"/>
        <w:bidi w:val="0"/>
        <w:adjustRightInd w:val="0"/>
        <w:snapToGrid w:val="0"/>
        <w:spacing w:line="360" w:lineRule="auto"/>
        <w:ind w:left="0" w:leftChars="0" w:right="0" w:firstLine="468" w:firstLineChars="200"/>
        <w:textAlignment w:val="baseline"/>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pacing w:val="-3"/>
          <w:sz w:val="24"/>
          <w:szCs w:val="24"/>
          <w14:textFill>
            <w14:solidFill>
              <w14:schemeClr w14:val="tx1"/>
            </w14:solidFill>
          </w14:textFill>
        </w:rPr>
        <w:t>③</w:t>
      </w:r>
      <w:r>
        <w:rPr>
          <w:rFonts w:hint="default" w:ascii="Times New Roman" w:hAnsi="Times New Roman" w:eastAsia="宋体" w:cs="Times New Roman"/>
          <w:color w:val="000000" w:themeColor="text1"/>
          <w:spacing w:val="-1"/>
          <w:sz w:val="24"/>
          <w:szCs w:val="24"/>
          <w14:textFill>
            <w14:solidFill>
              <w14:schemeClr w14:val="tx1"/>
            </w14:solidFill>
          </w14:textFill>
        </w:rPr>
        <w:t>本项目不涉及生态保护红线区域。</w:t>
      </w:r>
    </w:p>
    <w:p w14:paraId="581A581E">
      <w:pPr>
        <w:keepNext w:val="0"/>
        <w:keepLines w:val="0"/>
        <w:pageBreakBefore w:val="0"/>
        <w:widowControl/>
        <w:kinsoku/>
        <w:wordWrap/>
        <w:overflowPunct w:val="0"/>
        <w:topLinePunct w:val="0"/>
        <w:autoSpaceDE w:val="0"/>
        <w:autoSpaceDN w:val="0"/>
        <w:bidi w:val="0"/>
        <w:adjustRightInd w:val="0"/>
        <w:snapToGrid w:val="0"/>
        <w:spacing w:line="360" w:lineRule="auto"/>
        <w:ind w:left="0" w:leftChars="0" w:right="0" w:firstLine="488" w:firstLineChars="200"/>
        <w:textAlignment w:val="baseline"/>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pacing w:val="2"/>
          <w:sz w:val="24"/>
          <w:szCs w:val="24"/>
          <w14:textFill>
            <w14:solidFill>
              <w14:schemeClr w14:val="tx1"/>
            </w14:solidFill>
          </w14:textFill>
        </w:rPr>
        <w:t>④本项目不存在涉水施工，不属于水文要素影响型。本项目施工期冲洗废水</w:t>
      </w:r>
      <w:r>
        <w:rPr>
          <w:rFonts w:hint="default" w:ascii="Times New Roman" w:hAnsi="Times New Roman" w:eastAsia="宋体" w:cs="Times New Roman"/>
          <w:color w:val="000000" w:themeColor="text1"/>
          <w:spacing w:val="1"/>
          <w:sz w:val="24"/>
          <w:szCs w:val="24"/>
          <w14:textFill>
            <w14:solidFill>
              <w14:schemeClr w14:val="tx1"/>
            </w14:solidFill>
          </w14:textFill>
        </w:rPr>
        <w:t>循环</w:t>
      </w:r>
      <w:r>
        <w:rPr>
          <w:rFonts w:hint="default" w:ascii="Times New Roman" w:hAnsi="Times New Roman" w:eastAsia="宋体" w:cs="Times New Roman"/>
          <w:color w:val="000000" w:themeColor="text1"/>
          <w:spacing w:val="2"/>
          <w:sz w:val="24"/>
          <w:szCs w:val="24"/>
          <w14:textFill>
            <w14:solidFill>
              <w14:schemeClr w14:val="tx1"/>
            </w14:solidFill>
          </w14:textFill>
        </w:rPr>
        <w:t>使用，不外排。生活污水集中收集后委托环卫部门统一清运，不</w:t>
      </w:r>
      <w:r>
        <w:rPr>
          <w:rFonts w:hint="default" w:ascii="Times New Roman" w:hAnsi="Times New Roman" w:eastAsia="宋体" w:cs="Times New Roman"/>
          <w:color w:val="000000" w:themeColor="text1"/>
          <w:spacing w:val="1"/>
          <w:sz w:val="24"/>
          <w:szCs w:val="24"/>
          <w14:textFill>
            <w14:solidFill>
              <w14:schemeClr w14:val="tx1"/>
            </w14:solidFill>
          </w14:textFill>
        </w:rPr>
        <w:t>外排。</w:t>
      </w:r>
      <w:r>
        <w:rPr>
          <w:rFonts w:hint="eastAsia" w:eastAsia="宋体" w:cs="Times New Roman"/>
          <w:color w:val="000000" w:themeColor="text1"/>
          <w:spacing w:val="1"/>
          <w:sz w:val="24"/>
          <w:szCs w:val="24"/>
          <w:lang w:val="en-US" w:eastAsia="zh-CN"/>
          <w14:textFill>
            <w14:solidFill>
              <w14:schemeClr w14:val="tx1"/>
            </w14:solidFill>
          </w14:textFill>
        </w:rPr>
        <w:t>风电项目</w:t>
      </w:r>
      <w:r>
        <w:rPr>
          <w:rFonts w:hint="default" w:ascii="Times New Roman" w:hAnsi="Times New Roman" w:eastAsia="宋体" w:cs="Times New Roman"/>
          <w:color w:val="000000" w:themeColor="text1"/>
          <w:spacing w:val="1"/>
          <w:sz w:val="24"/>
          <w:szCs w:val="24"/>
          <w14:textFill>
            <w14:solidFill>
              <w14:schemeClr w14:val="tx1"/>
            </w14:solidFill>
          </w14:textFill>
        </w:rPr>
        <w:t>运营期</w:t>
      </w:r>
      <w:r>
        <w:rPr>
          <w:rFonts w:hint="eastAsia" w:eastAsia="宋体" w:cs="Times New Roman"/>
          <w:color w:val="000000" w:themeColor="text1"/>
          <w:spacing w:val="1"/>
          <w:sz w:val="24"/>
          <w:szCs w:val="24"/>
          <w:lang w:val="en-US" w:eastAsia="zh-CN"/>
          <w14:textFill>
            <w14:solidFill>
              <w14:schemeClr w14:val="tx1"/>
            </w14:solidFill>
          </w14:textFill>
        </w:rPr>
        <w:t>无</w:t>
      </w:r>
      <w:r>
        <w:rPr>
          <w:rFonts w:hint="default" w:ascii="Times New Roman" w:hAnsi="Times New Roman" w:eastAsia="宋体" w:cs="Times New Roman"/>
          <w:color w:val="000000" w:themeColor="text1"/>
          <w:spacing w:val="1"/>
          <w:sz w:val="24"/>
          <w:szCs w:val="24"/>
          <w14:textFill>
            <w14:solidFill>
              <w14:schemeClr w14:val="tx1"/>
            </w14:solidFill>
          </w14:textFill>
        </w:rPr>
        <w:t>废水</w:t>
      </w:r>
      <w:r>
        <w:rPr>
          <w:rFonts w:hint="eastAsia" w:eastAsia="宋体" w:cs="Times New Roman"/>
          <w:color w:val="000000" w:themeColor="text1"/>
          <w:spacing w:val="1"/>
          <w:sz w:val="24"/>
          <w:szCs w:val="24"/>
          <w:lang w:val="en-US" w:eastAsia="zh-CN"/>
          <w14:textFill>
            <w14:solidFill>
              <w14:schemeClr w14:val="tx1"/>
            </w14:solidFill>
          </w14:textFill>
        </w:rPr>
        <w:t>产生</w:t>
      </w:r>
      <w:r>
        <w:rPr>
          <w:rFonts w:hint="default" w:ascii="Times New Roman" w:hAnsi="Times New Roman" w:eastAsia="宋体" w:cs="Times New Roman"/>
          <w:color w:val="000000" w:themeColor="text1"/>
          <w:spacing w:val="-2"/>
          <w:sz w:val="24"/>
          <w:szCs w:val="24"/>
          <w14:textFill>
            <w14:solidFill>
              <w14:schemeClr w14:val="tx1"/>
            </w14:solidFill>
          </w14:textFill>
        </w:rPr>
        <w:t>；地</w:t>
      </w:r>
      <w:r>
        <w:rPr>
          <w:rFonts w:hint="default" w:ascii="Times New Roman" w:hAnsi="Times New Roman" w:eastAsia="宋体" w:cs="Times New Roman"/>
          <w:color w:val="000000" w:themeColor="text1"/>
          <w:spacing w:val="-3"/>
          <w:sz w:val="24"/>
          <w:szCs w:val="24"/>
          <w14:textFill>
            <w14:solidFill>
              <w14:schemeClr w14:val="tx1"/>
            </w14:solidFill>
          </w14:textFill>
        </w:rPr>
        <w:t>表水评价等级为三级</w:t>
      </w:r>
      <w:r>
        <w:rPr>
          <w:rFonts w:hint="default" w:ascii="Times New Roman" w:hAnsi="Times New Roman" w:eastAsia="宋体" w:cs="Times New Roman"/>
          <w:color w:val="000000" w:themeColor="text1"/>
          <w:spacing w:val="-56"/>
          <w:sz w:val="24"/>
          <w:szCs w:val="24"/>
          <w14:textFill>
            <w14:solidFill>
              <w14:schemeClr w14:val="tx1"/>
            </w14:solidFill>
          </w14:textFill>
        </w:rPr>
        <w:t xml:space="preserve"> </w:t>
      </w:r>
      <w:r>
        <w:rPr>
          <w:rFonts w:hint="default" w:ascii="Times New Roman" w:hAnsi="Times New Roman" w:eastAsia="宋体" w:cs="Times New Roman"/>
          <w:color w:val="000000" w:themeColor="text1"/>
          <w:spacing w:val="-3"/>
          <w:sz w:val="24"/>
          <w:szCs w:val="24"/>
          <w14:textFill>
            <w14:solidFill>
              <w14:schemeClr w14:val="tx1"/>
            </w14:solidFill>
          </w14:textFill>
        </w:rPr>
        <w:t>B。因此本项目不属于根据</w:t>
      </w:r>
      <w:r>
        <w:rPr>
          <w:rFonts w:hint="default" w:ascii="Times New Roman" w:hAnsi="Times New Roman" w:eastAsia="宋体" w:cs="Times New Roman"/>
          <w:color w:val="000000" w:themeColor="text1"/>
          <w:spacing w:val="-55"/>
          <w:sz w:val="24"/>
          <w:szCs w:val="24"/>
          <w14:textFill>
            <w14:solidFill>
              <w14:schemeClr w14:val="tx1"/>
            </w14:solidFill>
          </w14:textFill>
        </w:rPr>
        <w:t xml:space="preserve"> </w:t>
      </w:r>
      <w:r>
        <w:rPr>
          <w:rFonts w:hint="default" w:ascii="Times New Roman" w:hAnsi="Times New Roman" w:eastAsia="宋体" w:cs="Times New Roman"/>
          <w:color w:val="000000" w:themeColor="text1"/>
          <w:spacing w:val="-3"/>
          <w:sz w:val="24"/>
          <w:szCs w:val="24"/>
          <w14:textFill>
            <w14:solidFill>
              <w14:schemeClr w14:val="tx1"/>
            </w14:solidFill>
          </w14:textFill>
        </w:rPr>
        <w:t>HJ2.3判断属于水文要素影响型</w:t>
      </w:r>
      <w:r>
        <w:rPr>
          <w:rFonts w:hint="default" w:ascii="Times New Roman" w:hAnsi="Times New Roman" w:eastAsia="宋体" w:cs="Times New Roman"/>
          <w:color w:val="000000" w:themeColor="text1"/>
          <w:spacing w:val="-4"/>
          <w:sz w:val="24"/>
          <w:szCs w:val="24"/>
          <w14:textFill>
            <w14:solidFill>
              <w14:schemeClr w14:val="tx1"/>
            </w14:solidFill>
          </w14:textFill>
        </w:rPr>
        <w:t>且地表</w:t>
      </w:r>
      <w:r>
        <w:rPr>
          <w:rFonts w:hint="default" w:ascii="Times New Roman" w:hAnsi="Times New Roman" w:eastAsia="宋体" w:cs="Times New Roman"/>
          <w:color w:val="000000" w:themeColor="text1"/>
          <w:spacing w:val="-1"/>
          <w:sz w:val="24"/>
          <w:szCs w:val="24"/>
          <w14:textFill>
            <w14:solidFill>
              <w14:schemeClr w14:val="tx1"/>
            </w14:solidFill>
          </w14:textFill>
        </w:rPr>
        <w:t>水评价等级不低于二级的建设项目。</w:t>
      </w:r>
    </w:p>
    <w:p w14:paraId="22179C7C">
      <w:pPr>
        <w:keepNext w:val="0"/>
        <w:keepLines w:val="0"/>
        <w:pageBreakBefore w:val="0"/>
        <w:widowControl/>
        <w:kinsoku/>
        <w:wordWrap/>
        <w:overflowPunct w:val="0"/>
        <w:topLinePunct w:val="0"/>
        <w:autoSpaceDE w:val="0"/>
        <w:autoSpaceDN w:val="0"/>
        <w:bidi w:val="0"/>
        <w:adjustRightInd w:val="0"/>
        <w:snapToGrid w:val="0"/>
        <w:spacing w:line="360" w:lineRule="auto"/>
        <w:ind w:left="0" w:leftChars="0" w:right="0" w:firstLine="476" w:firstLineChars="200"/>
        <w:textAlignment w:val="baseline"/>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pacing w:val="-1"/>
          <w:sz w:val="24"/>
          <w:szCs w:val="24"/>
          <w14:textFill>
            <w14:solidFill>
              <w14:schemeClr w14:val="tx1"/>
            </w14:solidFill>
          </w14:textFill>
        </w:rPr>
        <w:t>⑤本项目不涉及天然林、公益林、湿地等生态保护目标。</w:t>
      </w:r>
    </w:p>
    <w:p w14:paraId="030F6AD6">
      <w:pPr>
        <w:keepNext w:val="0"/>
        <w:keepLines w:val="0"/>
        <w:pageBreakBefore w:val="0"/>
        <w:widowControl/>
        <w:kinsoku/>
        <w:wordWrap/>
        <w:overflowPunct w:val="0"/>
        <w:topLinePunct w:val="0"/>
        <w:autoSpaceDE w:val="0"/>
        <w:autoSpaceDN w:val="0"/>
        <w:bidi w:val="0"/>
        <w:adjustRightInd w:val="0"/>
        <w:snapToGrid w:val="0"/>
        <w:spacing w:line="360" w:lineRule="auto"/>
        <w:ind w:left="0" w:leftChars="0" w:right="0" w:firstLine="480" w:firstLineChars="200"/>
        <w:textAlignment w:val="baseline"/>
        <w:rPr>
          <w:rFonts w:hint="default" w:ascii="Times New Roman" w:hAnsi="Times New Roman" w:eastAsia="宋体" w:cs="Times New Roman"/>
          <w:color w:val="000000" w:themeColor="text1"/>
          <w:spacing w:val="0"/>
          <w:sz w:val="24"/>
          <w:szCs w:val="24"/>
          <w14:textFill>
            <w14:solidFill>
              <w14:schemeClr w14:val="tx1"/>
            </w14:solidFill>
          </w14:textFill>
        </w:rPr>
      </w:pPr>
      <w:r>
        <w:rPr>
          <w:rFonts w:hint="default" w:ascii="Times New Roman" w:hAnsi="Times New Roman" w:eastAsia="宋体" w:cs="Times New Roman"/>
          <w:color w:val="000000" w:themeColor="text1"/>
          <w:spacing w:val="0"/>
          <w:sz w:val="24"/>
          <w:szCs w:val="24"/>
          <w14:textFill>
            <w14:solidFill>
              <w14:schemeClr w14:val="tx1"/>
            </w14:solidFill>
          </w14:textFill>
        </w:rPr>
        <w:t>⑥本项目占地面积</w:t>
      </w:r>
      <w:r>
        <w:rPr>
          <w:rFonts w:hint="eastAsia" w:eastAsia="宋体" w:cs="Times New Roman"/>
          <w:color w:val="000000" w:themeColor="text1"/>
          <w:spacing w:val="0"/>
          <w:sz w:val="24"/>
          <w:szCs w:val="24"/>
          <w:lang w:val="en-US" w:eastAsia="zh-CN"/>
          <w14:textFill>
            <w14:solidFill>
              <w14:schemeClr w14:val="tx1"/>
            </w14:solidFill>
          </w14:textFill>
        </w:rPr>
        <w:t>150955</w:t>
      </w:r>
      <w:r>
        <w:rPr>
          <w:rFonts w:hint="default" w:ascii="Times New Roman" w:hAnsi="Times New Roman" w:eastAsia="宋体" w:cs="Times New Roman"/>
          <w:color w:val="000000" w:themeColor="text1"/>
          <w:spacing w:val="0"/>
          <w:sz w:val="24"/>
          <w:szCs w:val="24"/>
          <w14:textFill>
            <w14:solidFill>
              <w14:schemeClr w14:val="tx1"/>
            </w14:solidFill>
          </w14:textFill>
        </w:rPr>
        <w:t>m</w:t>
      </w:r>
      <w:r>
        <w:rPr>
          <w:rFonts w:hint="default" w:ascii="Times New Roman" w:hAnsi="Times New Roman" w:eastAsia="宋体" w:cs="Times New Roman"/>
          <w:color w:val="000000" w:themeColor="text1"/>
          <w:spacing w:val="0"/>
          <w:position w:val="7"/>
          <w:sz w:val="15"/>
          <w:szCs w:val="15"/>
          <w14:textFill>
            <w14:solidFill>
              <w14:schemeClr w14:val="tx1"/>
            </w14:solidFill>
          </w14:textFill>
        </w:rPr>
        <w:t>2</w:t>
      </w:r>
      <w:r>
        <w:rPr>
          <w:rFonts w:hint="default" w:ascii="Times New Roman" w:hAnsi="Times New Roman" w:eastAsia="宋体" w:cs="Times New Roman"/>
          <w:color w:val="000000" w:themeColor="text1"/>
          <w:spacing w:val="0"/>
          <w:sz w:val="24"/>
          <w:szCs w:val="24"/>
          <w14:textFill>
            <w14:solidFill>
              <w14:schemeClr w14:val="tx1"/>
            </w14:solidFill>
          </w14:textFill>
        </w:rPr>
        <w:t>（</w:t>
      </w:r>
      <w:r>
        <w:rPr>
          <w:rFonts w:hint="eastAsia" w:eastAsia="宋体" w:cs="Times New Roman"/>
          <w:color w:val="000000" w:themeColor="text1"/>
          <w:spacing w:val="0"/>
          <w:sz w:val="24"/>
          <w:szCs w:val="24"/>
          <w:lang w:val="en-US" w:eastAsia="zh-CN"/>
          <w14:textFill>
            <w14:solidFill>
              <w14:schemeClr w14:val="tx1"/>
            </w14:solidFill>
          </w14:textFill>
        </w:rPr>
        <w:t>0.15</w:t>
      </w:r>
      <w:r>
        <w:rPr>
          <w:rFonts w:hint="default" w:ascii="Times New Roman" w:hAnsi="Times New Roman" w:eastAsia="宋体" w:cs="Times New Roman"/>
          <w:color w:val="000000" w:themeColor="text1"/>
          <w:spacing w:val="0"/>
          <w:sz w:val="24"/>
          <w:szCs w:val="24"/>
          <w14:textFill>
            <w14:solidFill>
              <w14:schemeClr w14:val="tx1"/>
            </w14:solidFill>
          </w14:textFill>
        </w:rPr>
        <w:t>km</w:t>
      </w:r>
      <w:r>
        <w:rPr>
          <w:rFonts w:hint="default" w:ascii="Times New Roman" w:hAnsi="Times New Roman" w:eastAsia="宋体" w:cs="Times New Roman"/>
          <w:color w:val="000000" w:themeColor="text1"/>
          <w:spacing w:val="0"/>
          <w:position w:val="7"/>
          <w:sz w:val="15"/>
          <w:szCs w:val="15"/>
          <w14:textFill>
            <w14:solidFill>
              <w14:schemeClr w14:val="tx1"/>
            </w14:solidFill>
          </w14:textFill>
        </w:rPr>
        <w:t xml:space="preserve">2 </w:t>
      </w:r>
      <w:r>
        <w:rPr>
          <w:rFonts w:hint="default" w:ascii="Times New Roman" w:hAnsi="Times New Roman" w:eastAsia="宋体" w:cs="Times New Roman"/>
          <w:color w:val="000000" w:themeColor="text1"/>
          <w:spacing w:val="0"/>
          <w:sz w:val="24"/>
          <w:szCs w:val="24"/>
          <w14:textFill>
            <w14:solidFill>
              <w14:schemeClr w14:val="tx1"/>
            </w14:solidFill>
          </w14:textFill>
        </w:rPr>
        <w:t>），小于 20km</w:t>
      </w:r>
      <w:r>
        <w:rPr>
          <w:rFonts w:hint="default" w:ascii="Times New Roman" w:hAnsi="Times New Roman" w:eastAsia="宋体" w:cs="Times New Roman"/>
          <w:color w:val="000000" w:themeColor="text1"/>
          <w:spacing w:val="0"/>
          <w:position w:val="7"/>
          <w:sz w:val="15"/>
          <w:szCs w:val="15"/>
          <w14:textFill>
            <w14:solidFill>
              <w14:schemeClr w14:val="tx1"/>
            </w14:solidFill>
          </w14:textFill>
        </w:rPr>
        <w:t>2</w:t>
      </w:r>
      <w:r>
        <w:rPr>
          <w:rFonts w:hint="default" w:ascii="Times New Roman" w:hAnsi="Times New Roman" w:eastAsia="宋体" w:cs="Times New Roman"/>
          <w:color w:val="000000" w:themeColor="text1"/>
          <w:spacing w:val="0"/>
          <w:sz w:val="24"/>
          <w:szCs w:val="24"/>
          <w14:textFill>
            <w14:solidFill>
              <w14:schemeClr w14:val="tx1"/>
            </w14:solidFill>
          </w14:textFill>
        </w:rPr>
        <w:t>。</w:t>
      </w:r>
    </w:p>
    <w:p w14:paraId="7B813AB7">
      <w:pPr>
        <w:keepNext w:val="0"/>
        <w:keepLines w:val="0"/>
        <w:pageBreakBefore w:val="0"/>
        <w:widowControl/>
        <w:kinsoku/>
        <w:wordWrap/>
        <w:overflowPunct w:val="0"/>
        <w:topLinePunct w:val="0"/>
        <w:autoSpaceDE w:val="0"/>
        <w:autoSpaceDN w:val="0"/>
        <w:bidi w:val="0"/>
        <w:adjustRightInd w:val="0"/>
        <w:snapToGrid w:val="0"/>
        <w:spacing w:line="360" w:lineRule="auto"/>
        <w:ind w:left="0" w:leftChars="0" w:right="0" w:firstLine="480" w:firstLineChars="200"/>
        <w:textAlignment w:val="baseline"/>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⑦本项目不涉及经论证对保护生物多样性具</w:t>
      </w:r>
      <w:r>
        <w:rPr>
          <w:rFonts w:hint="default" w:ascii="Times New Roman" w:hAnsi="Times New Roman" w:eastAsia="宋体" w:cs="Times New Roman"/>
          <w:color w:val="000000" w:themeColor="text1"/>
          <w:spacing w:val="-1"/>
          <w:sz w:val="24"/>
          <w:szCs w:val="24"/>
          <w14:textFill>
            <w14:solidFill>
              <w14:schemeClr w14:val="tx1"/>
            </w14:solidFill>
          </w14:textFill>
        </w:rPr>
        <w:t>有重要意义的区域。</w:t>
      </w:r>
    </w:p>
    <w:p w14:paraId="378C8E43">
      <w:pPr>
        <w:keepNext w:val="0"/>
        <w:keepLines w:val="0"/>
        <w:pageBreakBefore w:val="0"/>
        <w:widowControl/>
        <w:kinsoku/>
        <w:wordWrap/>
        <w:overflowPunct w:val="0"/>
        <w:topLinePunct w:val="0"/>
        <w:autoSpaceDE w:val="0"/>
        <w:autoSpaceDN w:val="0"/>
        <w:bidi w:val="0"/>
        <w:adjustRightInd w:val="0"/>
        <w:snapToGrid w:val="0"/>
        <w:spacing w:line="360" w:lineRule="auto"/>
        <w:ind w:left="0" w:leftChars="0" w:right="0" w:firstLine="476" w:firstLineChars="200"/>
        <w:textAlignment w:val="baseline"/>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pacing w:val="-1"/>
          <w:sz w:val="24"/>
          <w:szCs w:val="24"/>
          <w14:textFill>
            <w14:solidFill>
              <w14:schemeClr w14:val="tx1"/>
            </w14:solidFill>
          </w14:textFill>
        </w:rPr>
        <w:t>⑧本项目不涉及水生生态影响。</w:t>
      </w:r>
    </w:p>
    <w:p w14:paraId="1DD6B347">
      <w:pPr>
        <w:keepNext w:val="0"/>
        <w:keepLines w:val="0"/>
        <w:pageBreakBefore w:val="0"/>
        <w:widowControl/>
        <w:kinsoku/>
        <w:wordWrap/>
        <w:overflowPunct w:val="0"/>
        <w:topLinePunct w:val="0"/>
        <w:autoSpaceDE w:val="0"/>
        <w:autoSpaceDN w:val="0"/>
        <w:bidi w:val="0"/>
        <w:adjustRightInd w:val="0"/>
        <w:snapToGrid w:val="0"/>
        <w:spacing w:line="360" w:lineRule="auto"/>
        <w:ind w:left="0" w:leftChars="0" w:right="0" w:firstLine="476" w:firstLineChars="200"/>
        <w:textAlignment w:val="baseline"/>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pacing w:val="-1"/>
          <w:sz w:val="24"/>
          <w:szCs w:val="24"/>
          <w14:textFill>
            <w14:solidFill>
              <w14:schemeClr w14:val="tx1"/>
            </w14:solidFill>
          </w14:textFill>
        </w:rPr>
        <w:t>⑨本项目属于风力发电项目，不涉及矿山开采。</w:t>
      </w:r>
    </w:p>
    <w:p w14:paraId="7BE52A00">
      <w:pPr>
        <w:keepNext w:val="0"/>
        <w:keepLines w:val="0"/>
        <w:pageBreakBefore w:val="0"/>
        <w:widowControl/>
        <w:kinsoku/>
        <w:wordWrap/>
        <w:overflowPunct w:val="0"/>
        <w:topLinePunct w:val="0"/>
        <w:autoSpaceDE w:val="0"/>
        <w:autoSpaceDN w:val="0"/>
        <w:bidi w:val="0"/>
        <w:adjustRightInd w:val="0"/>
        <w:snapToGrid w:val="0"/>
        <w:spacing w:line="360" w:lineRule="auto"/>
        <w:ind w:left="0" w:leftChars="0" w:right="0" w:firstLine="472" w:firstLineChars="200"/>
        <w:textAlignment w:val="baseline"/>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pacing w:val="-2"/>
          <w:sz w:val="24"/>
          <w:szCs w:val="24"/>
          <w14:textFill>
            <w14:solidFill>
              <w14:schemeClr w14:val="tx1"/>
            </w14:solidFill>
          </w14:textFill>
        </w:rPr>
        <w:t>⑩本项目</w:t>
      </w:r>
      <w:r>
        <w:rPr>
          <w:rFonts w:hint="eastAsia" w:eastAsia="宋体" w:cs="Times New Roman"/>
          <w:color w:val="000000" w:themeColor="text1"/>
          <w:spacing w:val="-2"/>
          <w:sz w:val="24"/>
          <w:szCs w:val="24"/>
          <w:lang w:val="en-US" w:eastAsia="zh-CN"/>
          <w14:textFill>
            <w14:solidFill>
              <w14:schemeClr w14:val="tx1"/>
            </w14:solidFill>
          </w14:textFill>
        </w:rPr>
        <w:t>配套的110kV送出线路不在本次评价范围内，不涉及线性工程</w:t>
      </w:r>
      <w:r>
        <w:rPr>
          <w:rFonts w:hint="default" w:ascii="Times New Roman" w:hAnsi="Times New Roman" w:eastAsia="宋体" w:cs="Times New Roman"/>
          <w:color w:val="000000" w:themeColor="text1"/>
          <w:spacing w:val="-3"/>
          <w:sz w:val="24"/>
          <w:szCs w:val="24"/>
          <w14:textFill>
            <w14:solidFill>
              <w14:schemeClr w14:val="tx1"/>
            </w14:solidFill>
          </w14:textFill>
        </w:rPr>
        <w:t>。</w:t>
      </w:r>
    </w:p>
    <w:p w14:paraId="6F665CD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8" w:firstLineChars="200"/>
        <w:textAlignment w:val="auto"/>
        <w:rPr>
          <w:rFonts w:hint="default" w:ascii="Times New Roman" w:hAnsi="Times New Roman" w:eastAsia="宋体" w:cs="Times New Roman"/>
          <w:color w:val="000000" w:themeColor="text1"/>
          <w:spacing w:val="-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14:textFill>
            <w14:solidFill>
              <w14:schemeClr w14:val="tx1"/>
            </w14:solidFill>
          </w14:textFill>
        </w:rPr>
        <w:t>综上，</w:t>
      </w:r>
      <w:r>
        <w:rPr>
          <w:rFonts w:hint="default" w:ascii="Times New Roman" w:hAnsi="Times New Roman" w:eastAsia="宋体" w:cs="Times New Roman"/>
          <w:color w:val="000000" w:themeColor="text1"/>
          <w:spacing w:val="-2"/>
          <w:sz w:val="24"/>
          <w:szCs w:val="24"/>
          <w14:textFill>
            <w14:solidFill>
              <w14:schemeClr w14:val="tx1"/>
            </w14:solidFill>
          </w14:textFill>
        </w:rPr>
        <w:t>本项目占地及评价范</w:t>
      </w:r>
      <w:r>
        <w:rPr>
          <w:rFonts w:hint="default" w:ascii="Times New Roman" w:hAnsi="Times New Roman" w:eastAsia="宋体" w:cs="Times New Roman"/>
          <w:color w:val="000000" w:themeColor="text1"/>
          <w:spacing w:val="-3"/>
          <w:sz w:val="24"/>
          <w:szCs w:val="24"/>
          <w14:textFill>
            <w14:solidFill>
              <w14:schemeClr w14:val="tx1"/>
            </w14:solidFill>
          </w14:textFill>
        </w:rPr>
        <w:t>围内不涉及国家公园、</w:t>
      </w:r>
      <w:r>
        <w:rPr>
          <w:rFonts w:hint="default" w:ascii="Times New Roman" w:hAnsi="Times New Roman" w:eastAsia="宋体" w:cs="Times New Roman"/>
          <w:color w:val="000000" w:themeColor="text1"/>
          <w:spacing w:val="-2"/>
          <w:sz w:val="24"/>
          <w:szCs w:val="24"/>
          <w14:textFill>
            <w14:solidFill>
              <w14:schemeClr w14:val="tx1"/>
            </w14:solidFill>
          </w14:textFill>
        </w:rPr>
        <w:t>自然保护区、世界自然遗产、重要生境、自然公园、生态保护红</w:t>
      </w:r>
      <w:r>
        <w:rPr>
          <w:rFonts w:hint="default" w:ascii="Times New Roman" w:hAnsi="Times New Roman" w:eastAsia="宋体" w:cs="Times New Roman"/>
          <w:color w:val="000000" w:themeColor="text1"/>
          <w:spacing w:val="-3"/>
          <w:sz w:val="24"/>
          <w:szCs w:val="24"/>
          <w14:textFill>
            <w14:solidFill>
              <w14:schemeClr w14:val="tx1"/>
            </w14:solidFill>
          </w14:textFill>
        </w:rPr>
        <w:t>线、天然林、公益林、</w:t>
      </w:r>
      <w:r>
        <w:rPr>
          <w:rFonts w:hint="default" w:ascii="Times New Roman" w:hAnsi="Times New Roman" w:eastAsia="宋体" w:cs="Times New Roman"/>
          <w:color w:val="000000" w:themeColor="text1"/>
          <w:spacing w:val="-1"/>
          <w:sz w:val="24"/>
          <w:szCs w:val="24"/>
          <w14:textFill>
            <w14:solidFill>
              <w14:schemeClr w14:val="tx1"/>
            </w14:solidFill>
          </w14:textFill>
        </w:rPr>
        <w:t>湿地等生态敏感区。项目占地面积</w:t>
      </w:r>
      <w:r>
        <w:rPr>
          <w:rFonts w:hint="default" w:ascii="Times New Roman" w:hAnsi="Times New Roman" w:eastAsia="宋体" w:cs="Times New Roman"/>
          <w:color w:val="000000" w:themeColor="text1"/>
          <w:spacing w:val="-55"/>
          <w:sz w:val="24"/>
          <w:szCs w:val="24"/>
          <w14:textFill>
            <w14:solidFill>
              <w14:schemeClr w14:val="tx1"/>
            </w14:solidFill>
          </w14:textFill>
        </w:rPr>
        <w:t xml:space="preserve"> </w:t>
      </w:r>
      <w:r>
        <w:rPr>
          <w:rFonts w:hint="eastAsia" w:eastAsia="宋体" w:cs="Times New Roman"/>
          <w:color w:val="000000" w:themeColor="text1"/>
          <w:spacing w:val="0"/>
          <w:sz w:val="24"/>
          <w:szCs w:val="24"/>
          <w:lang w:val="en-US" w:eastAsia="zh-CN"/>
          <w14:textFill>
            <w14:solidFill>
              <w14:schemeClr w14:val="tx1"/>
            </w14:solidFill>
          </w14:textFill>
        </w:rPr>
        <w:t>150955</w:t>
      </w:r>
      <w:r>
        <w:rPr>
          <w:rFonts w:hint="default" w:ascii="Times New Roman" w:hAnsi="Times New Roman" w:eastAsia="宋体" w:cs="Times New Roman"/>
          <w:color w:val="000000" w:themeColor="text1"/>
          <w:spacing w:val="-1"/>
          <w:sz w:val="24"/>
          <w:szCs w:val="24"/>
          <w14:textFill>
            <w14:solidFill>
              <w14:schemeClr w14:val="tx1"/>
            </w14:solidFill>
          </w14:textFill>
        </w:rPr>
        <w:t>m</w:t>
      </w:r>
      <w:r>
        <w:rPr>
          <w:rFonts w:hint="default" w:ascii="Times New Roman" w:hAnsi="Times New Roman" w:eastAsia="宋体" w:cs="Times New Roman"/>
          <w:color w:val="000000" w:themeColor="text1"/>
          <w:spacing w:val="-1"/>
          <w:position w:val="8"/>
          <w:sz w:val="15"/>
          <w:szCs w:val="15"/>
          <w14:textFill>
            <w14:solidFill>
              <w14:schemeClr w14:val="tx1"/>
            </w14:solidFill>
          </w14:textFill>
        </w:rPr>
        <w:t>2</w:t>
      </w:r>
      <w:r>
        <w:rPr>
          <w:rFonts w:hint="default" w:ascii="Times New Roman" w:hAnsi="Times New Roman" w:eastAsia="宋体" w:cs="Times New Roman"/>
          <w:color w:val="000000" w:themeColor="text1"/>
          <w:spacing w:val="-1"/>
          <w:sz w:val="24"/>
          <w:szCs w:val="24"/>
          <w14:textFill>
            <w14:solidFill>
              <w14:schemeClr w14:val="tx1"/>
            </w14:solidFill>
          </w14:textFill>
        </w:rPr>
        <w:t>（</w:t>
      </w:r>
      <w:r>
        <w:rPr>
          <w:rFonts w:hint="eastAsia" w:eastAsia="宋体" w:cs="Times New Roman"/>
          <w:color w:val="000000" w:themeColor="text1"/>
          <w:spacing w:val="-1"/>
          <w:sz w:val="24"/>
          <w:szCs w:val="24"/>
          <w:lang w:val="en-US" w:eastAsia="zh-CN"/>
          <w14:textFill>
            <w14:solidFill>
              <w14:schemeClr w14:val="tx1"/>
            </w14:solidFill>
          </w14:textFill>
        </w:rPr>
        <w:t>0.15</w:t>
      </w:r>
      <w:r>
        <w:rPr>
          <w:rFonts w:hint="default" w:ascii="Times New Roman" w:hAnsi="Times New Roman" w:eastAsia="宋体" w:cs="Times New Roman"/>
          <w:color w:val="000000" w:themeColor="text1"/>
          <w:spacing w:val="-1"/>
          <w:sz w:val="24"/>
          <w:szCs w:val="24"/>
          <w14:textFill>
            <w14:solidFill>
              <w14:schemeClr w14:val="tx1"/>
            </w14:solidFill>
          </w14:textFill>
        </w:rPr>
        <w:t>km</w:t>
      </w:r>
      <w:r>
        <w:rPr>
          <w:rFonts w:hint="default" w:ascii="Times New Roman" w:hAnsi="Times New Roman" w:eastAsia="宋体" w:cs="Times New Roman"/>
          <w:color w:val="000000" w:themeColor="text1"/>
          <w:spacing w:val="-1"/>
          <w:position w:val="8"/>
          <w:sz w:val="15"/>
          <w:szCs w:val="15"/>
          <w14:textFill>
            <w14:solidFill>
              <w14:schemeClr w14:val="tx1"/>
            </w14:solidFill>
          </w14:textFill>
        </w:rPr>
        <w:t xml:space="preserve">2 </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pacing w:val="-1"/>
          <w:sz w:val="24"/>
          <w:szCs w:val="24"/>
          <w14:textFill>
            <w14:solidFill>
              <w14:schemeClr w14:val="tx1"/>
            </w14:solidFill>
          </w14:textFill>
        </w:rPr>
        <w:t>小于</w:t>
      </w:r>
      <w:r>
        <w:rPr>
          <w:rFonts w:hint="default" w:ascii="Times New Roman" w:hAnsi="Times New Roman" w:eastAsia="宋体" w:cs="Times New Roman"/>
          <w:color w:val="000000" w:themeColor="text1"/>
          <w:spacing w:val="-55"/>
          <w:sz w:val="24"/>
          <w:szCs w:val="24"/>
          <w14:textFill>
            <w14:solidFill>
              <w14:schemeClr w14:val="tx1"/>
            </w14:solidFill>
          </w14:textFill>
        </w:rPr>
        <w:t xml:space="preserve"> </w:t>
      </w:r>
      <w:r>
        <w:rPr>
          <w:rFonts w:hint="default" w:ascii="Times New Roman" w:hAnsi="Times New Roman" w:eastAsia="宋体" w:cs="Times New Roman"/>
          <w:color w:val="000000" w:themeColor="text1"/>
          <w:spacing w:val="-1"/>
          <w:sz w:val="24"/>
          <w:szCs w:val="24"/>
          <w14:textFill>
            <w14:solidFill>
              <w14:schemeClr w14:val="tx1"/>
            </w14:solidFill>
          </w14:textFill>
        </w:rPr>
        <w:t>20km</w:t>
      </w:r>
      <w:r>
        <w:rPr>
          <w:rFonts w:hint="default" w:ascii="Times New Roman" w:hAnsi="Times New Roman" w:eastAsia="宋体" w:cs="Times New Roman"/>
          <w:color w:val="000000" w:themeColor="text1"/>
          <w:spacing w:val="-1"/>
          <w:position w:val="8"/>
          <w:sz w:val="15"/>
          <w:szCs w:val="15"/>
          <w14:textFill>
            <w14:solidFill>
              <w14:schemeClr w14:val="tx1"/>
            </w14:solidFill>
          </w14:textFill>
        </w:rPr>
        <w:t xml:space="preserve">2 </w:t>
      </w:r>
      <w:r>
        <w:rPr>
          <w:rFonts w:hint="default" w:ascii="Times New Roman" w:hAnsi="Times New Roman" w:eastAsia="宋体" w:cs="Times New Roman"/>
          <w:color w:val="000000" w:themeColor="text1"/>
          <w:spacing w:val="-1"/>
          <w:sz w:val="24"/>
          <w:szCs w:val="24"/>
          <w14:textFill>
            <w14:solidFill>
              <w14:schemeClr w14:val="tx1"/>
            </w14:solidFill>
          </w14:textFill>
        </w:rPr>
        <w:t>。根据《环境影响评价技术导则 生态影响》(HJ19-2022)，本项目生态评价工作等级为三级。</w:t>
      </w:r>
    </w:p>
    <w:bookmarkEnd w:id="169"/>
    <w:bookmarkEnd w:id="170"/>
    <w:bookmarkEnd w:id="171"/>
    <w:bookmarkEnd w:id="172"/>
    <w:bookmarkEnd w:id="173"/>
    <w:bookmarkEnd w:id="174"/>
    <w:bookmarkEnd w:id="175"/>
    <w:p w14:paraId="35F27A66">
      <w:pPr>
        <w:keepNext w:val="0"/>
        <w:keepLines w:val="0"/>
        <w:pageBreakBefore w:val="0"/>
        <w:widowControl w:val="0"/>
        <w:numPr>
          <w:ilvl w:val="0"/>
          <w:numId w:val="0"/>
        </w:numPr>
        <w:tabs>
          <w:tab w:val="left" w:pos="1260"/>
        </w:tabs>
        <w:kinsoku/>
        <w:wordWrap/>
        <w:overflowPunct/>
        <w:topLinePunct w:val="0"/>
        <w:autoSpaceDE/>
        <w:autoSpaceDN/>
        <w:bidi w:val="0"/>
        <w:adjustRightInd/>
        <w:snapToGrid/>
        <w:spacing w:line="360" w:lineRule="auto"/>
        <w:ind w:leftChars="0"/>
        <w:textAlignment w:val="auto"/>
        <w:outlineLvl w:val="9"/>
        <w:rPr>
          <w:rFonts w:hint="default"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pPr>
      <w:bookmarkStart w:id="186" w:name="_Toc391021120"/>
      <w:bookmarkStart w:id="187" w:name="_Toc391021336"/>
      <w:bookmarkStart w:id="188" w:name="_Toc340737480"/>
      <w:bookmarkStart w:id="189" w:name="_Toc294859091"/>
      <w:bookmarkStart w:id="190" w:name="_Toc313005862"/>
      <w:bookmarkStart w:id="191" w:name="_Toc391020895"/>
      <w:r>
        <w:rPr>
          <w:rFonts w:hint="default"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t>2.5.1.7 环境风险评价等级</w:t>
      </w:r>
    </w:p>
    <w:p w14:paraId="62AB95A8">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《建设项目环境风险评价技术导则》(HJ169-2018)中明确了适用范围不包括生态风险评价及核与辐射类建设项目的环境风险评价。但本项目涉及的废</w:t>
      </w:r>
      <w:r>
        <w:rPr>
          <w:rFonts w:hint="eastAsia" w:cs="Times New Roman" w:eastAsiaTheme="minorEastAsia"/>
          <w:snapToGrid w:val="0"/>
          <w:color w:val="000000" w:themeColor="text1"/>
          <w:sz w:val="24"/>
          <w:highlight w:val="none"/>
          <w:lang w:val="en-US" w:eastAsia="zh-CN"/>
          <w14:textFill>
            <w14:solidFill>
              <w14:schemeClr w14:val="tx1"/>
            </w14:solidFill>
          </w14:textFill>
        </w:rPr>
        <w:t>矿物油</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为易燃易爆物质，参照执行《建设项目环境风险评价技术导则》(HJ169-2018)。</w:t>
      </w:r>
    </w:p>
    <w:p w14:paraId="6AE91608">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14:textFill>
            <w14:solidFill>
              <w14:schemeClr w14:val="tx1"/>
            </w14:solidFill>
          </w14:textFill>
        </w:rPr>
        <w:t>本</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项目所有箱变均采用干式变压器，</w:t>
      </w:r>
      <w:r>
        <w:rPr>
          <w:rFonts w:hint="eastAsia" w:cs="Times New Roman" w:eastAsiaTheme="minorEastAsia"/>
          <w:snapToGrid w:val="0"/>
          <w:color w:val="000000" w:themeColor="text1"/>
          <w:sz w:val="24"/>
          <w:highlight w:val="none"/>
          <w:lang w:val="en-US" w:eastAsia="zh-CN"/>
          <w14:textFill>
            <w14:solidFill>
              <w14:schemeClr w14:val="tx1"/>
            </w14:solidFill>
          </w14:textFill>
        </w:rPr>
        <w:t>检修过程中将产生少量废润滑油、液压油，</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由后文“5.2.</w:t>
      </w:r>
      <w:r>
        <w:rPr>
          <w:rFonts w:hint="eastAsia" w:cs="Times New Roman" w:eastAsiaTheme="minorEastAsia"/>
          <w:snapToGrid w:val="0"/>
          <w:color w:val="000000" w:themeColor="text1"/>
          <w:sz w:val="24"/>
          <w:highlight w:val="none"/>
          <w:lang w:val="en-US" w:eastAsia="zh-CN"/>
          <w14:textFill>
            <w14:solidFill>
              <w14:schemeClr w14:val="tx1"/>
            </w14:solidFill>
          </w14:textFill>
        </w:rPr>
        <w:t>6</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”可知，本项目危险物质数量与临界量比值Q＜1，不存在重大风险源，风险潜势为I，根据《建设项目环境风险评价技术导则》(HJ169-2018)表1评价工作等级划分(见表2.5-1)，确定环境风险评价等级为简单分析。</w:t>
      </w:r>
    </w:p>
    <w:p w14:paraId="5B5A6079">
      <w:pPr>
        <w:bidi w:val="0"/>
        <w:spacing w:line="240" w:lineRule="auto"/>
        <w:ind w:left="0" w:leftChars="0" w:firstLine="0" w:firstLineChars="0"/>
        <w:jc w:val="center"/>
        <w:rPr>
          <w:rFonts w:hint="default" w:ascii="Times New Roman" w:hAnsi="Times New Roman" w:cs="Times New Roman" w:eastAsiaTheme="minorEastAsia"/>
          <w:b/>
          <w:bCs/>
          <w:color w:val="000000" w:themeColor="text1"/>
          <w:sz w:val="24"/>
          <w:szCs w:val="24"/>
          <w:highlight w:val="none"/>
          <w:lang w:val="en-US" w:eastAsia="zh-CN"/>
          <w14:textFill>
            <w14:solidFill>
              <w14:schemeClr w14:val="tx1"/>
            </w14:solidFill>
          </w14:textFill>
        </w:rPr>
      </w:pPr>
    </w:p>
    <w:p w14:paraId="0575C3FE">
      <w:pPr>
        <w:bidi w:val="0"/>
        <w:spacing w:line="240" w:lineRule="auto"/>
        <w:ind w:left="0" w:leftChars="0" w:firstLine="0" w:firstLineChars="0"/>
        <w:jc w:val="center"/>
        <w:rPr>
          <w:rFonts w:hint="default" w:ascii="Times New Roman" w:hAnsi="Times New Roman" w:cs="Times New Roman" w:eastAsiaTheme="minorEastAsia"/>
          <w:b/>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highlight w:val="none"/>
          <w:lang w:val="en-US" w:eastAsia="zh-CN"/>
          <w14:textFill>
            <w14:solidFill>
              <w14:schemeClr w14:val="tx1"/>
            </w14:solidFill>
          </w14:textFill>
        </w:rPr>
        <w:t>表2.5-1    评价工作等级划分</w:t>
      </w:r>
    </w:p>
    <w:tbl>
      <w:tblPr>
        <w:tblStyle w:val="76"/>
        <w:tblW w:w="928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79"/>
        <w:gridCol w:w="1626"/>
        <w:gridCol w:w="1854"/>
        <w:gridCol w:w="1854"/>
        <w:gridCol w:w="1867"/>
      </w:tblGrid>
      <w:tr w14:paraId="5A9F5A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079" w:type="dxa"/>
            <w:tcBorders>
              <w:tl2br w:val="nil"/>
              <w:tr2bl w:val="nil"/>
            </w:tcBorders>
            <w:vAlign w:val="center"/>
          </w:tcPr>
          <w:p w14:paraId="34576E0A">
            <w:pPr>
              <w:pStyle w:val="194"/>
              <w:keepNext w:val="0"/>
              <w:keepLines w:val="0"/>
              <w:pageBreakBefore w:val="0"/>
              <w:widowControl w:val="0"/>
              <w:kinsoku/>
              <w:wordWrap w:val="0"/>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环境风险潜势</w:t>
            </w:r>
          </w:p>
        </w:tc>
        <w:tc>
          <w:tcPr>
            <w:tcW w:w="1626" w:type="dxa"/>
            <w:tcBorders>
              <w:tl2br w:val="nil"/>
              <w:tr2bl w:val="nil"/>
            </w:tcBorders>
            <w:vAlign w:val="center"/>
          </w:tcPr>
          <w:p w14:paraId="16DBC703">
            <w:pPr>
              <w:pStyle w:val="194"/>
              <w:keepNext w:val="0"/>
              <w:keepLines w:val="0"/>
              <w:pageBreakBefore w:val="0"/>
              <w:widowControl w:val="0"/>
              <w:kinsoku/>
              <w:wordWrap w:val="0"/>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Ⅳ、Ⅳ+</w:t>
            </w:r>
          </w:p>
        </w:tc>
        <w:tc>
          <w:tcPr>
            <w:tcW w:w="1854" w:type="dxa"/>
            <w:tcBorders>
              <w:tl2br w:val="nil"/>
              <w:tr2bl w:val="nil"/>
            </w:tcBorders>
            <w:vAlign w:val="center"/>
          </w:tcPr>
          <w:p w14:paraId="4BE950B8">
            <w:pPr>
              <w:pStyle w:val="194"/>
              <w:keepNext w:val="0"/>
              <w:keepLines w:val="0"/>
              <w:pageBreakBefore w:val="0"/>
              <w:widowControl w:val="0"/>
              <w:kinsoku/>
              <w:wordWrap w:val="0"/>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Ⅲ</w:t>
            </w:r>
          </w:p>
        </w:tc>
        <w:tc>
          <w:tcPr>
            <w:tcW w:w="1854" w:type="dxa"/>
            <w:tcBorders>
              <w:tl2br w:val="nil"/>
              <w:tr2bl w:val="nil"/>
            </w:tcBorders>
            <w:vAlign w:val="center"/>
          </w:tcPr>
          <w:p w14:paraId="5ECD46CE">
            <w:pPr>
              <w:pStyle w:val="194"/>
              <w:keepNext w:val="0"/>
              <w:keepLines w:val="0"/>
              <w:pageBreakBefore w:val="0"/>
              <w:widowControl w:val="0"/>
              <w:kinsoku/>
              <w:wordWrap w:val="0"/>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Ⅱ</w:t>
            </w:r>
          </w:p>
        </w:tc>
        <w:tc>
          <w:tcPr>
            <w:tcW w:w="1867" w:type="dxa"/>
            <w:tcBorders>
              <w:tl2br w:val="nil"/>
              <w:tr2bl w:val="nil"/>
            </w:tcBorders>
            <w:vAlign w:val="center"/>
          </w:tcPr>
          <w:p w14:paraId="74A83956">
            <w:pPr>
              <w:pStyle w:val="194"/>
              <w:keepNext w:val="0"/>
              <w:keepLines w:val="0"/>
              <w:pageBreakBefore w:val="0"/>
              <w:widowControl w:val="0"/>
              <w:kinsoku/>
              <w:wordWrap w:val="0"/>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Ⅰ</w:t>
            </w:r>
          </w:p>
        </w:tc>
      </w:tr>
      <w:tr w14:paraId="0E9B18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079" w:type="dxa"/>
            <w:tcBorders>
              <w:tl2br w:val="nil"/>
              <w:tr2bl w:val="nil"/>
            </w:tcBorders>
            <w:vAlign w:val="center"/>
          </w:tcPr>
          <w:p w14:paraId="461D5AAB">
            <w:pPr>
              <w:pStyle w:val="194"/>
              <w:keepNext w:val="0"/>
              <w:keepLines w:val="0"/>
              <w:pageBreakBefore w:val="0"/>
              <w:widowControl w:val="0"/>
              <w:kinsoku/>
              <w:wordWrap w:val="0"/>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评价工作等级</w:t>
            </w:r>
          </w:p>
        </w:tc>
        <w:tc>
          <w:tcPr>
            <w:tcW w:w="1626" w:type="dxa"/>
            <w:tcBorders>
              <w:tl2br w:val="nil"/>
              <w:tr2bl w:val="nil"/>
            </w:tcBorders>
            <w:vAlign w:val="center"/>
          </w:tcPr>
          <w:p w14:paraId="45343A94">
            <w:pPr>
              <w:pStyle w:val="194"/>
              <w:keepNext w:val="0"/>
              <w:keepLines w:val="0"/>
              <w:pageBreakBefore w:val="0"/>
              <w:widowControl w:val="0"/>
              <w:kinsoku/>
              <w:wordWrap w:val="0"/>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一</w:t>
            </w:r>
          </w:p>
        </w:tc>
        <w:tc>
          <w:tcPr>
            <w:tcW w:w="1854" w:type="dxa"/>
            <w:tcBorders>
              <w:tl2br w:val="nil"/>
              <w:tr2bl w:val="nil"/>
            </w:tcBorders>
            <w:vAlign w:val="center"/>
          </w:tcPr>
          <w:p w14:paraId="7B8E1646">
            <w:pPr>
              <w:pStyle w:val="194"/>
              <w:keepNext w:val="0"/>
              <w:keepLines w:val="0"/>
              <w:pageBreakBefore w:val="0"/>
              <w:widowControl w:val="0"/>
              <w:kinsoku/>
              <w:wordWrap w:val="0"/>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二</w:t>
            </w:r>
          </w:p>
        </w:tc>
        <w:tc>
          <w:tcPr>
            <w:tcW w:w="1854" w:type="dxa"/>
            <w:tcBorders>
              <w:tl2br w:val="nil"/>
              <w:tr2bl w:val="nil"/>
            </w:tcBorders>
            <w:vAlign w:val="center"/>
          </w:tcPr>
          <w:p w14:paraId="12E08B96">
            <w:pPr>
              <w:pStyle w:val="194"/>
              <w:keepNext w:val="0"/>
              <w:keepLines w:val="0"/>
              <w:pageBreakBefore w:val="0"/>
              <w:widowControl w:val="0"/>
              <w:kinsoku/>
              <w:wordWrap w:val="0"/>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三</w:t>
            </w:r>
          </w:p>
        </w:tc>
        <w:tc>
          <w:tcPr>
            <w:tcW w:w="1867" w:type="dxa"/>
            <w:tcBorders>
              <w:tl2br w:val="nil"/>
              <w:tr2bl w:val="nil"/>
            </w:tcBorders>
            <w:vAlign w:val="center"/>
          </w:tcPr>
          <w:p w14:paraId="53611101">
            <w:pPr>
              <w:pStyle w:val="194"/>
              <w:keepNext w:val="0"/>
              <w:keepLines w:val="0"/>
              <w:pageBreakBefore w:val="0"/>
              <w:widowControl w:val="0"/>
              <w:kinsoku/>
              <w:wordWrap w:val="0"/>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简单分析a</w:t>
            </w:r>
          </w:p>
        </w:tc>
      </w:tr>
      <w:tr w14:paraId="61D32B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9280" w:type="dxa"/>
            <w:gridSpan w:val="5"/>
            <w:tcBorders>
              <w:tl2br w:val="nil"/>
              <w:tr2bl w:val="nil"/>
            </w:tcBorders>
            <w:vAlign w:val="center"/>
          </w:tcPr>
          <w:p w14:paraId="301E939F">
            <w:pPr>
              <w:pStyle w:val="194"/>
              <w:keepNext w:val="0"/>
              <w:keepLines w:val="0"/>
              <w:pageBreakBefore w:val="0"/>
              <w:widowControl w:val="0"/>
              <w:kinsoku/>
              <w:wordWrap w:val="0"/>
              <w:overflowPunct/>
              <w:topLinePunct w:val="0"/>
              <w:autoSpaceDE/>
              <w:autoSpaceDN/>
              <w:bidi w:val="0"/>
              <w:adjustRightInd/>
              <w:snapToGrid/>
              <w:spacing w:before="0" w:beforeLines="0" w:after="0" w:afterLines="0" w:line="240" w:lineRule="auto"/>
              <w:ind w:left="0" w:leftChars="0" w:right="0" w:rightChars="0" w:firstLine="0" w:firstLineChars="0"/>
              <w:jc w:val="left"/>
              <w:textAlignment w:val="auto"/>
              <w:outlineLvl w:val="9"/>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a是相对于详细评价工作内容而言，在描述危险物质、环境影响途径、环境危害后果、风险防范措施等方面给出定性的说明，见附录A。</w:t>
            </w:r>
          </w:p>
        </w:tc>
      </w:tr>
    </w:tbl>
    <w:p w14:paraId="217F00DD">
      <w:pPr>
        <w:pStyle w:val="92"/>
        <w:keepNext w:val="0"/>
        <w:keepLines w:val="0"/>
        <w:pageBreakBefore w:val="0"/>
        <w:widowControl w:val="0"/>
        <w:kinsoku/>
        <w:wordWrap/>
        <w:overflowPunct/>
        <w:topLinePunct w:val="0"/>
        <w:bidi w:val="0"/>
        <w:adjustRightInd/>
        <w:snapToGrid/>
        <w:spacing w:line="360" w:lineRule="auto"/>
        <w:ind w:left="0" w:leftChars="0" w:firstLine="0" w:firstLineChars="0"/>
        <w:jc w:val="both"/>
        <w:textAlignment w:val="auto"/>
        <w:rPr>
          <w:rFonts w:hint="default" w:ascii="Times New Roman" w:hAnsi="Times New Roman" w:cs="Times New Roman" w:eastAsiaTheme="minorEastAsia"/>
          <w:color w:val="FF0000"/>
          <w:highlight w:val="none"/>
        </w:rPr>
      </w:pPr>
    </w:p>
    <w:p w14:paraId="7761913B">
      <w:pPr>
        <w:pStyle w:val="11"/>
        <w:bidi w:val="0"/>
        <w:ind w:left="0"/>
        <w:outlineLvl w:val="2"/>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bookmarkStart w:id="192" w:name="_Toc23730"/>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2.5.2 评价范围</w:t>
      </w:r>
      <w:bookmarkEnd w:id="192"/>
    </w:p>
    <w:p w14:paraId="16382451">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根据评价工作等级及当地气象条件、自然环境状况确定各环境要素评价范围如下：</w:t>
      </w:r>
    </w:p>
    <w:p w14:paraId="1ED857FD">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(1)环境空气</w:t>
      </w:r>
    </w:p>
    <w:p w14:paraId="2435A63C">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本项目大气环境影响评价等级为三级，根据《环境影响评价技术导则 大气环境》(HJ2.2-2018)规定，本项目不需设置大气环境影响评价范围。</w:t>
      </w:r>
    </w:p>
    <w:p w14:paraId="0EE390A2">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(2)地表水环境影响评价范围</w:t>
      </w:r>
    </w:p>
    <w:p w14:paraId="243240E4">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本项目地表水环境影响评价等级为三级B，根据《环境影响评价技术导则 地表水环境》(HJ2.3-2018)规定，评价范围应符合以下要求：</w:t>
      </w:r>
    </w:p>
    <w:p w14:paraId="0143505C">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a)应满足其依托污水处理设施环境可行性分析的要求；</w:t>
      </w:r>
    </w:p>
    <w:p w14:paraId="3D42EBC0">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b)涉及地表水环境风险的，应覆盖环境风险影响范围所及的水环境保护目标水域。</w:t>
      </w:r>
    </w:p>
    <w:p w14:paraId="7BB4608E">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本项目风电厂区运营期无污废水排放。因此，本项目不设置地表水环境影响评价范围。</w:t>
      </w:r>
    </w:p>
    <w:p w14:paraId="6B61BDE5">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(3)地下水环境影响评价范围</w:t>
      </w:r>
    </w:p>
    <w:p w14:paraId="4C8EA7B9">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FF0000"/>
          <w:sz w:val="24"/>
          <w:highlight w:val="none"/>
          <w:lang w:val="en-US" w:eastAsia="zh-CN"/>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根据《环境影响评价技术导则 地下水环境》(HJ610-2016)，Ⅳ类建设项目不开展地下水环境影响评价，不设置环境影响评价范围。由于本项目占用</w:t>
      </w:r>
      <w:r>
        <w:rPr>
          <w:rFonts w:hint="eastAsia" w:ascii="宋体" w:hAnsi="宋体" w:eastAsia="宋体" w:cs="宋体"/>
          <w:color w:val="000000" w:themeColor="text1"/>
          <w:sz w:val="24"/>
          <w:lang w:val="en-US" w:eastAsia="zh-CN"/>
          <w14:textFill>
            <w14:solidFill>
              <w14:schemeClr w14:val="tx1"/>
            </w14:solidFill>
          </w14:textFill>
        </w:rPr>
        <w:t>西山地下饮用水源地二级保护区、</w:t>
      </w:r>
      <w:r>
        <w:rPr>
          <w:rFonts w:hint="eastAsia" w:ascii="宋体" w:hAnsi="宋体" w:eastAsia="宋体"/>
          <w:color w:val="000000" w:themeColor="text1"/>
          <w:sz w:val="24"/>
          <w14:textFill>
            <w14:solidFill>
              <w14:schemeClr w14:val="tx1"/>
            </w14:solidFill>
          </w14:textFill>
        </w:rPr>
        <w:t>甘河子（含铁路专供）</w:t>
      </w:r>
      <w:r>
        <w:rPr>
          <w:rFonts w:hint="eastAsia" w:ascii="宋体" w:hAnsi="宋体" w:eastAsia="宋体"/>
          <w:color w:val="000000" w:themeColor="text1"/>
          <w:sz w:val="24"/>
          <w:lang w:val="en-US" w:eastAsia="zh-CN"/>
          <w14:textFill>
            <w14:solidFill>
              <w14:schemeClr w14:val="tx1"/>
            </w14:solidFill>
          </w14:textFill>
        </w:rPr>
        <w:t>地下饮用</w:t>
      </w:r>
      <w:r>
        <w:rPr>
          <w:rFonts w:hint="eastAsia" w:ascii="宋体" w:hAnsi="宋体" w:eastAsia="宋体"/>
          <w:color w:val="000000" w:themeColor="text1"/>
          <w:sz w:val="24"/>
          <w14:textFill>
            <w14:solidFill>
              <w14:schemeClr w14:val="tx1"/>
            </w14:solidFill>
          </w14:textFill>
        </w:rPr>
        <w:t>水源地</w:t>
      </w:r>
      <w:r>
        <w:rPr>
          <w:rFonts w:hint="eastAsia" w:ascii="宋体" w:hAnsi="宋体" w:eastAsia="宋体"/>
          <w:color w:val="000000" w:themeColor="text1"/>
          <w:sz w:val="24"/>
          <w:lang w:val="en-US" w:eastAsia="zh-CN"/>
          <w14:textFill>
            <w14:solidFill>
              <w14:schemeClr w14:val="tx1"/>
            </w14:solidFill>
          </w14:textFill>
        </w:rPr>
        <w:t>二级保护区、</w:t>
      </w:r>
      <w:r>
        <w:rPr>
          <w:rFonts w:hint="eastAsia" w:cs="Times New Roman" w:eastAsiaTheme="minorEastAsia"/>
          <w:color w:val="000000" w:themeColor="text1"/>
          <w:sz w:val="24"/>
          <w:highlight w:val="none"/>
          <w:lang w:val="en-US" w:eastAsia="zh-CN"/>
          <w14:textFill>
            <w14:solidFill>
              <w14:schemeClr w14:val="tx1"/>
            </w14:solidFill>
          </w14:textFill>
        </w:rPr>
        <w:t>乌拉泊、柴西、柴北、西山、甘河子（含铁路专供）准保护区</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本次评价对</w:t>
      </w:r>
      <w:r>
        <w:rPr>
          <w:rFonts w:hint="eastAsia" w:cs="Times New Roman" w:eastAsiaTheme="minorEastAsia"/>
          <w:snapToGrid w:val="0"/>
          <w:color w:val="000000" w:themeColor="text1"/>
          <w:sz w:val="24"/>
          <w:highlight w:val="none"/>
          <w:lang w:val="en-US" w:eastAsia="zh-CN"/>
          <w14:textFill>
            <w14:solidFill>
              <w14:schemeClr w14:val="tx1"/>
            </w14:solidFill>
          </w14:textFill>
        </w:rPr>
        <w:t>占用的水源地二级保护区、准保护区</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进行环境影响分析。</w:t>
      </w:r>
    </w:p>
    <w:p w14:paraId="6BA63975">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(4)声环境影响评价范围</w:t>
      </w:r>
    </w:p>
    <w:p w14:paraId="5F8064BE">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本项目声环境评价工作等级为二级评价，根据《环境影响评价技术导则 声环境》(HJ2.4-2021)规定，</w:t>
      </w:r>
      <w:r>
        <w:rPr>
          <w:rFonts w:hint="eastAsia" w:cs="Times New Roman" w:eastAsiaTheme="minorEastAsia"/>
          <w:snapToGrid w:val="0"/>
          <w:color w:val="000000" w:themeColor="text1"/>
          <w:sz w:val="24"/>
          <w:highlight w:val="none"/>
          <w:lang w:val="en-US" w:eastAsia="zh-CN"/>
          <w14:textFill>
            <w14:solidFill>
              <w14:schemeClr w14:val="tx1"/>
            </w14:solidFill>
          </w14:textFill>
        </w:rPr>
        <w:t>由于本项目风机较为分散，因此</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确定本项目声环境影响评价范围为</w:t>
      </w:r>
      <w:r>
        <w:rPr>
          <w:rFonts w:hint="eastAsia" w:cs="Times New Roman" w:eastAsiaTheme="minorEastAsia"/>
          <w:snapToGrid w:val="0"/>
          <w:color w:val="000000" w:themeColor="text1"/>
          <w:sz w:val="24"/>
          <w:highlight w:val="none"/>
          <w:lang w:val="en-US" w:eastAsia="zh-CN"/>
          <w14:textFill>
            <w14:solidFill>
              <w14:schemeClr w14:val="tx1"/>
            </w14:solidFill>
          </w14:textFill>
        </w:rPr>
        <w:t>单台风机</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周边200m范围。</w:t>
      </w:r>
    </w:p>
    <w:p w14:paraId="2CD29168">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(5)土壤环境评价范围</w:t>
      </w:r>
    </w:p>
    <w:p w14:paraId="4F53163C">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本项目不开展土壤环境影响评价，故不设置土壤环境影响评价范围。</w:t>
      </w:r>
    </w:p>
    <w:p w14:paraId="0C433229">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(6)生态环境影响评价范围</w:t>
      </w:r>
    </w:p>
    <w:p w14:paraId="416B7CA6">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生态环境评价范围为</w:t>
      </w:r>
      <w:r>
        <w:rPr>
          <w:rFonts w:hint="eastAsia" w:cs="Times New Roman" w:eastAsiaTheme="minorEastAsia"/>
          <w:snapToGrid w:val="0"/>
          <w:color w:val="000000" w:themeColor="text1"/>
          <w:sz w:val="24"/>
          <w:highlight w:val="none"/>
          <w:lang w:val="en-US" w:eastAsia="zh-CN"/>
          <w14:textFill>
            <w14:solidFill>
              <w14:schemeClr w14:val="tx1"/>
            </w14:solidFill>
          </w14:textFill>
        </w:rPr>
        <w:t>单台风机占地范围外</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500m范围</w:t>
      </w:r>
      <w:r>
        <w:rPr>
          <w:rFonts w:hint="eastAsia" w:cs="Times New Roman" w:eastAsiaTheme="minorEastAsia"/>
          <w:snapToGrid w:val="0"/>
          <w:color w:val="000000" w:themeColor="text1"/>
          <w:sz w:val="24"/>
          <w:highlight w:val="none"/>
          <w:lang w:val="en-US" w:eastAsia="zh-CN"/>
          <w14:textFill>
            <w14:solidFill>
              <w14:schemeClr w14:val="tx1"/>
            </w14:solidFill>
          </w14:textFill>
        </w:rPr>
        <w:t>内</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w:t>
      </w:r>
      <w:r>
        <w:rPr>
          <w:rFonts w:hint="eastAsia" w:cs="Times New Roman" w:eastAsiaTheme="minorEastAsia"/>
          <w:snapToGrid w:val="0"/>
          <w:color w:val="000000" w:themeColor="text1"/>
          <w:sz w:val="24"/>
          <w:highlight w:val="none"/>
          <w:lang w:val="en-US" w:eastAsia="zh-CN"/>
          <w14:textFill>
            <w14:solidFill>
              <w14:schemeClr w14:val="tx1"/>
            </w14:solidFill>
          </w14:textFill>
        </w:rPr>
        <w:t>重叠区域以最大范围为评价范围</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w:t>
      </w:r>
    </w:p>
    <w:p w14:paraId="220A3C63">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(7)环境风险评价范围</w:t>
      </w:r>
    </w:p>
    <w:p w14:paraId="6CA4BFBE">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本项目环境风险简单分析，不设置大气和地表水环境风险评价范围，地下水环境风险评价范围为</w:t>
      </w:r>
      <w:r>
        <w:rPr>
          <w:rFonts w:hint="eastAsia" w:ascii="宋体" w:hAnsi="宋体" w:eastAsia="宋体" w:cs="宋体"/>
          <w:color w:val="000000" w:themeColor="text1"/>
          <w:sz w:val="24"/>
          <w:lang w:val="en-US" w:eastAsia="zh-CN"/>
          <w14:textFill>
            <w14:solidFill>
              <w14:schemeClr w14:val="tx1"/>
            </w14:solidFill>
          </w14:textFill>
        </w:rPr>
        <w:t>西山地下饮用水源地二级保护区、</w:t>
      </w:r>
      <w:r>
        <w:rPr>
          <w:rFonts w:hint="eastAsia" w:ascii="宋体" w:hAnsi="宋体" w:eastAsia="宋体"/>
          <w:color w:val="000000" w:themeColor="text1"/>
          <w:sz w:val="24"/>
          <w14:textFill>
            <w14:solidFill>
              <w14:schemeClr w14:val="tx1"/>
            </w14:solidFill>
          </w14:textFill>
        </w:rPr>
        <w:t>甘河子（含铁路专供）</w:t>
      </w:r>
      <w:r>
        <w:rPr>
          <w:rFonts w:hint="eastAsia" w:ascii="宋体" w:hAnsi="宋体" w:eastAsia="宋体"/>
          <w:color w:val="000000" w:themeColor="text1"/>
          <w:sz w:val="24"/>
          <w:lang w:val="en-US" w:eastAsia="zh-CN"/>
          <w14:textFill>
            <w14:solidFill>
              <w14:schemeClr w14:val="tx1"/>
            </w14:solidFill>
          </w14:textFill>
        </w:rPr>
        <w:t>地下饮用</w:t>
      </w:r>
      <w:r>
        <w:rPr>
          <w:rFonts w:hint="eastAsia" w:ascii="宋体" w:hAnsi="宋体" w:eastAsia="宋体"/>
          <w:color w:val="000000" w:themeColor="text1"/>
          <w:sz w:val="24"/>
          <w14:textFill>
            <w14:solidFill>
              <w14:schemeClr w14:val="tx1"/>
            </w14:solidFill>
          </w14:textFill>
        </w:rPr>
        <w:t>水源地</w:t>
      </w:r>
      <w:r>
        <w:rPr>
          <w:rFonts w:hint="eastAsia" w:ascii="宋体" w:hAnsi="宋体" w:eastAsia="宋体"/>
          <w:color w:val="000000" w:themeColor="text1"/>
          <w:sz w:val="24"/>
          <w:lang w:val="en-US" w:eastAsia="zh-CN"/>
          <w14:textFill>
            <w14:solidFill>
              <w14:schemeClr w14:val="tx1"/>
            </w14:solidFill>
          </w14:textFill>
        </w:rPr>
        <w:t>二级保护区、</w:t>
      </w:r>
      <w:r>
        <w:rPr>
          <w:rFonts w:hint="eastAsia" w:cs="Times New Roman" w:eastAsiaTheme="minorEastAsia"/>
          <w:color w:val="000000" w:themeColor="text1"/>
          <w:sz w:val="24"/>
          <w:highlight w:val="none"/>
          <w:lang w:val="en-US" w:eastAsia="zh-CN"/>
          <w14:textFill>
            <w14:solidFill>
              <w14:schemeClr w14:val="tx1"/>
            </w14:solidFill>
          </w14:textFill>
        </w:rPr>
        <w:t>乌拉泊、柴西、柴北、西山、甘河子（含铁路专供）准保护区</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w:t>
      </w:r>
    </w:p>
    <w:p w14:paraId="1B0517B2">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本项目评价范围见表2.5-</w:t>
      </w:r>
      <w:r>
        <w:rPr>
          <w:rFonts w:hint="eastAsia" w:cs="Times New Roman" w:eastAsiaTheme="minorEastAsia"/>
          <w:snapToGrid w:val="0"/>
          <w:color w:val="000000" w:themeColor="text1"/>
          <w:sz w:val="24"/>
          <w:highlight w:val="none"/>
          <w:lang w:val="en-US" w:eastAsia="zh-CN"/>
          <w14:textFill>
            <w14:solidFill>
              <w14:schemeClr w14:val="tx1"/>
            </w14:solidFill>
          </w14:textFill>
        </w:rPr>
        <w:t>2</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w:t>
      </w:r>
    </w:p>
    <w:p w14:paraId="77C5C83C">
      <w:pPr>
        <w:bidi w:val="0"/>
        <w:spacing w:line="240" w:lineRule="auto"/>
        <w:ind w:left="0" w:leftChars="0" w:firstLine="0" w:firstLineChars="0"/>
        <w:jc w:val="center"/>
        <w:rPr>
          <w:rFonts w:hint="default" w:ascii="Times New Roman" w:hAnsi="Times New Roman" w:cs="Times New Roman" w:eastAsiaTheme="minorEastAsia"/>
          <w:b/>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highlight w:val="none"/>
          <w:lang w:val="en-US" w:eastAsia="zh-CN"/>
          <w14:textFill>
            <w14:solidFill>
              <w14:schemeClr w14:val="tx1"/>
            </w14:solidFill>
          </w14:textFill>
        </w:rPr>
        <w:t>表2.5-</w:t>
      </w:r>
      <w:r>
        <w:rPr>
          <w:rFonts w:hint="eastAsia" w:cs="Times New Roman" w:eastAsiaTheme="minorEastAsia"/>
          <w:b/>
          <w:bCs/>
          <w:color w:val="000000" w:themeColor="text1"/>
          <w:sz w:val="24"/>
          <w:szCs w:val="24"/>
          <w:highlight w:val="none"/>
          <w:lang w:val="en-US" w:eastAsia="zh-CN"/>
          <w14:textFill>
            <w14:solidFill>
              <w14:schemeClr w14:val="tx1"/>
            </w14:solidFill>
          </w14:textFill>
        </w:rPr>
        <w:t>2</w:t>
      </w:r>
      <w:r>
        <w:rPr>
          <w:rFonts w:hint="default" w:ascii="Times New Roman" w:hAnsi="Times New Roman" w:cs="Times New Roman" w:eastAsiaTheme="minorEastAsia"/>
          <w:b/>
          <w:bCs/>
          <w:color w:val="000000" w:themeColor="text1"/>
          <w:sz w:val="24"/>
          <w:szCs w:val="24"/>
          <w:highlight w:val="none"/>
          <w:lang w:val="en-US" w:eastAsia="zh-CN"/>
          <w14:textFill>
            <w14:solidFill>
              <w14:schemeClr w14:val="tx1"/>
            </w14:solidFill>
          </w14:textFill>
        </w:rPr>
        <w:t xml:space="preserve">    本项目环境影响评价等级、评价范围一览表</w:t>
      </w:r>
    </w:p>
    <w:tbl>
      <w:tblPr>
        <w:tblStyle w:val="76"/>
        <w:tblW w:w="9174"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01"/>
        <w:gridCol w:w="1514"/>
        <w:gridCol w:w="1116"/>
        <w:gridCol w:w="5843"/>
      </w:tblGrid>
      <w:tr w14:paraId="493B08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trPr>
        <w:tc>
          <w:tcPr>
            <w:tcW w:w="2215" w:type="dxa"/>
            <w:gridSpan w:val="2"/>
            <w:tcBorders>
              <w:tl2br w:val="nil"/>
              <w:tr2bl w:val="nil"/>
            </w:tcBorders>
            <w:vAlign w:val="center"/>
          </w:tcPr>
          <w:p w14:paraId="5F92E33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spacing w:val="5"/>
                <w:position w:val="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pacing w:val="5"/>
                <w:position w:val="1"/>
                <w:sz w:val="21"/>
                <w:szCs w:val="21"/>
                <w:highlight w:val="none"/>
                <w:lang w:val="en-US" w:eastAsia="zh-CN"/>
                <w14:textFill>
                  <w14:solidFill>
                    <w14:schemeClr w14:val="tx1"/>
                  </w14:solidFill>
                </w14:textFill>
              </w:rPr>
              <w:t>环境要素</w:t>
            </w:r>
          </w:p>
        </w:tc>
        <w:tc>
          <w:tcPr>
            <w:tcW w:w="1116" w:type="dxa"/>
            <w:tcBorders>
              <w:tl2br w:val="nil"/>
              <w:tr2bl w:val="nil"/>
            </w:tcBorders>
            <w:vAlign w:val="center"/>
          </w:tcPr>
          <w:p w14:paraId="44F25FF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spacing w:val="5"/>
                <w:position w:val="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pacing w:val="5"/>
                <w:position w:val="1"/>
                <w:sz w:val="21"/>
                <w:szCs w:val="21"/>
                <w:highlight w:val="none"/>
                <w:lang w:val="en-US" w:eastAsia="zh-CN"/>
                <w14:textFill>
                  <w14:solidFill>
                    <w14:schemeClr w14:val="tx1"/>
                  </w14:solidFill>
                </w14:textFill>
              </w:rPr>
              <w:t>评价等级</w:t>
            </w:r>
          </w:p>
        </w:tc>
        <w:tc>
          <w:tcPr>
            <w:tcW w:w="5843" w:type="dxa"/>
            <w:tcBorders>
              <w:tl2br w:val="nil"/>
              <w:tr2bl w:val="nil"/>
            </w:tcBorders>
            <w:vAlign w:val="center"/>
          </w:tcPr>
          <w:p w14:paraId="3DF2329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spacing w:val="5"/>
                <w:position w:val="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pacing w:val="5"/>
                <w:position w:val="1"/>
                <w:sz w:val="21"/>
                <w:szCs w:val="21"/>
                <w:highlight w:val="none"/>
                <w:lang w:val="en-US" w:eastAsia="zh-CN"/>
                <w14:textFill>
                  <w14:solidFill>
                    <w14:schemeClr w14:val="tx1"/>
                  </w14:solidFill>
                </w14:textFill>
              </w:rPr>
              <w:t>评价范围</w:t>
            </w:r>
          </w:p>
        </w:tc>
      </w:tr>
      <w:tr w14:paraId="784336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215" w:type="dxa"/>
            <w:gridSpan w:val="2"/>
            <w:tcBorders>
              <w:tl2br w:val="nil"/>
              <w:tr2bl w:val="nil"/>
            </w:tcBorders>
            <w:vAlign w:val="center"/>
          </w:tcPr>
          <w:p w14:paraId="70F0B3B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pacing w:val="5"/>
                <w:position w:val="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pacing w:val="5"/>
                <w:position w:val="1"/>
                <w:sz w:val="21"/>
                <w:szCs w:val="21"/>
                <w:highlight w:val="none"/>
                <w:lang w:val="en-US" w:eastAsia="zh-CN"/>
                <w14:textFill>
                  <w14:solidFill>
                    <w14:schemeClr w14:val="tx1"/>
                  </w14:solidFill>
                </w14:textFill>
              </w:rPr>
              <w:t>环境空气</w:t>
            </w:r>
          </w:p>
        </w:tc>
        <w:tc>
          <w:tcPr>
            <w:tcW w:w="1116" w:type="dxa"/>
            <w:tcBorders>
              <w:tl2br w:val="nil"/>
              <w:tr2bl w:val="nil"/>
            </w:tcBorders>
            <w:vAlign w:val="center"/>
          </w:tcPr>
          <w:p w14:paraId="2AD5DFC4">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pacing w:val="5"/>
                <w:position w:val="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pacing w:val="5"/>
                <w:position w:val="1"/>
                <w:sz w:val="21"/>
                <w:szCs w:val="21"/>
                <w:highlight w:val="none"/>
                <w:lang w:val="en-US" w:eastAsia="zh-CN"/>
                <w14:textFill>
                  <w14:solidFill>
                    <w14:schemeClr w14:val="tx1"/>
                  </w14:solidFill>
                </w14:textFill>
              </w:rPr>
              <w:t>三级</w:t>
            </w:r>
          </w:p>
        </w:tc>
        <w:tc>
          <w:tcPr>
            <w:tcW w:w="5843" w:type="dxa"/>
            <w:tcBorders>
              <w:tl2br w:val="nil"/>
              <w:tr2bl w:val="nil"/>
            </w:tcBorders>
            <w:vAlign w:val="center"/>
          </w:tcPr>
          <w:p w14:paraId="4802098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pacing w:val="5"/>
                <w:position w:val="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pacing w:val="5"/>
                <w:position w:val="1"/>
                <w:sz w:val="21"/>
                <w:szCs w:val="21"/>
                <w:highlight w:val="none"/>
                <w:lang w:val="en-US" w:eastAsia="zh-CN"/>
                <w14:textFill>
                  <w14:solidFill>
                    <w14:schemeClr w14:val="tx1"/>
                  </w14:solidFill>
                </w14:textFill>
              </w:rPr>
              <w:t>不设置</w:t>
            </w:r>
          </w:p>
        </w:tc>
      </w:tr>
      <w:tr w14:paraId="525174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215" w:type="dxa"/>
            <w:gridSpan w:val="2"/>
            <w:tcBorders>
              <w:tl2br w:val="nil"/>
              <w:tr2bl w:val="nil"/>
            </w:tcBorders>
            <w:vAlign w:val="center"/>
          </w:tcPr>
          <w:p w14:paraId="6C30CCD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pacing w:val="5"/>
                <w:position w:val="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5"/>
                <w:position w:val="1"/>
                <w:sz w:val="21"/>
                <w:szCs w:val="21"/>
                <w:highlight w:val="none"/>
                <w:lang w:val="en-US" w:eastAsia="zh-CN"/>
                <w14:textFill>
                  <w14:solidFill>
                    <w14:schemeClr w14:val="tx1"/>
                  </w14:solidFill>
                </w14:textFill>
              </w:rPr>
              <w:t>地表水环境</w:t>
            </w:r>
          </w:p>
        </w:tc>
        <w:tc>
          <w:tcPr>
            <w:tcW w:w="1116" w:type="dxa"/>
            <w:tcBorders>
              <w:tl2br w:val="nil"/>
              <w:tr2bl w:val="nil"/>
            </w:tcBorders>
            <w:vAlign w:val="center"/>
          </w:tcPr>
          <w:p w14:paraId="52DEFB73">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pacing w:val="5"/>
                <w:position w:val="1"/>
                <w:sz w:val="21"/>
                <w:szCs w:val="21"/>
                <w:highlight w:val="none"/>
                <w:lang w:val="en-US"/>
                <w14:textFill>
                  <w14:solidFill>
                    <w14:schemeClr w14:val="tx1"/>
                  </w14:solidFill>
                </w14:textFill>
              </w:rPr>
            </w:pPr>
            <w:r>
              <w:rPr>
                <w:rFonts w:hint="default" w:ascii="Times New Roman" w:hAnsi="Times New Roman" w:cs="Times New Roman" w:eastAsiaTheme="minorEastAsia"/>
                <w:color w:val="000000" w:themeColor="text1"/>
                <w:spacing w:val="5"/>
                <w:position w:val="1"/>
                <w:sz w:val="21"/>
                <w:szCs w:val="21"/>
                <w:highlight w:val="none"/>
                <w:lang w:val="en-US" w:eastAsia="zh-CN"/>
                <w14:textFill>
                  <w14:solidFill>
                    <w14:schemeClr w14:val="tx1"/>
                  </w14:solidFill>
                </w14:textFill>
              </w:rPr>
              <w:t>三级B</w:t>
            </w:r>
          </w:p>
        </w:tc>
        <w:tc>
          <w:tcPr>
            <w:tcW w:w="5843" w:type="dxa"/>
            <w:tcBorders>
              <w:tl2br w:val="nil"/>
              <w:tr2bl w:val="nil"/>
            </w:tcBorders>
            <w:vAlign w:val="center"/>
          </w:tcPr>
          <w:p w14:paraId="2815414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pacing w:val="5"/>
                <w:position w:val="1"/>
                <w:sz w:val="21"/>
                <w:szCs w:val="21"/>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spacing w:val="5"/>
                <w:position w:val="1"/>
                <w:sz w:val="21"/>
                <w:szCs w:val="21"/>
                <w:highlight w:val="none"/>
                <w:lang w:val="en-US" w:eastAsia="zh-CN"/>
                <w14:textFill>
                  <w14:solidFill>
                    <w14:schemeClr w14:val="tx1"/>
                  </w14:solidFill>
                </w14:textFill>
              </w:rPr>
              <w:t>不设置</w:t>
            </w:r>
          </w:p>
        </w:tc>
      </w:tr>
      <w:tr w14:paraId="470AE8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215" w:type="dxa"/>
            <w:gridSpan w:val="2"/>
            <w:tcBorders>
              <w:tl2br w:val="nil"/>
              <w:tr2bl w:val="nil"/>
            </w:tcBorders>
            <w:vAlign w:val="center"/>
          </w:tcPr>
          <w:p w14:paraId="6EE0D8A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pacing w:val="5"/>
                <w:position w:val="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5"/>
                <w:position w:val="1"/>
                <w:sz w:val="21"/>
                <w:szCs w:val="21"/>
                <w:highlight w:val="none"/>
                <w14:textFill>
                  <w14:solidFill>
                    <w14:schemeClr w14:val="tx1"/>
                  </w14:solidFill>
                </w14:textFill>
              </w:rPr>
              <w:t>地下水环境</w:t>
            </w:r>
          </w:p>
        </w:tc>
        <w:tc>
          <w:tcPr>
            <w:tcW w:w="1116" w:type="dxa"/>
            <w:tcBorders>
              <w:tl2br w:val="nil"/>
              <w:tr2bl w:val="nil"/>
            </w:tcBorders>
            <w:vAlign w:val="center"/>
          </w:tcPr>
          <w:p w14:paraId="76829381">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pacing w:val="5"/>
                <w:position w:val="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pacing w:val="5"/>
                <w:position w:val="1"/>
                <w:sz w:val="21"/>
                <w:szCs w:val="21"/>
                <w:highlight w:val="none"/>
                <w:lang w:val="en-US" w:eastAsia="zh-CN"/>
                <w14:textFill>
                  <w14:solidFill>
                    <w14:schemeClr w14:val="tx1"/>
                  </w14:solidFill>
                </w14:textFill>
              </w:rPr>
              <w:t>不开展</w:t>
            </w:r>
          </w:p>
        </w:tc>
        <w:tc>
          <w:tcPr>
            <w:tcW w:w="5843" w:type="dxa"/>
            <w:tcBorders>
              <w:tl2br w:val="nil"/>
              <w:tr2bl w:val="nil"/>
            </w:tcBorders>
            <w:vAlign w:val="center"/>
          </w:tcPr>
          <w:p w14:paraId="701E01C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default" w:ascii="Times New Roman" w:hAnsi="Times New Roman" w:cs="Times New Roman" w:eastAsiaTheme="minorEastAsia"/>
                <w:color w:val="000000" w:themeColor="text1"/>
                <w:spacing w:val="5"/>
                <w:position w:val="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pacing w:val="5"/>
                <w:position w:val="1"/>
                <w:sz w:val="21"/>
                <w:szCs w:val="21"/>
                <w:highlight w:val="none"/>
                <w:lang w:val="en-US" w:eastAsia="zh-CN"/>
                <w14:textFill>
                  <w14:solidFill>
                    <w14:schemeClr w14:val="tx1"/>
                  </w14:solidFill>
                </w14:textFill>
              </w:rPr>
              <w:t>西山地下饮用水源地二级保护区、甘河子（含铁路专供）地下饮用水源地二级保护区、乌拉泊、柴西、柴北、西山、甘河子（含铁路专供）准保护区</w:t>
            </w:r>
          </w:p>
        </w:tc>
      </w:tr>
      <w:tr w14:paraId="3B2F94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215" w:type="dxa"/>
            <w:gridSpan w:val="2"/>
            <w:tcBorders>
              <w:tl2br w:val="nil"/>
              <w:tr2bl w:val="nil"/>
            </w:tcBorders>
            <w:vAlign w:val="center"/>
          </w:tcPr>
          <w:p w14:paraId="4409987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pacing w:val="5"/>
                <w:position w:val="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5"/>
                <w:position w:val="1"/>
                <w:sz w:val="21"/>
                <w:szCs w:val="21"/>
                <w:highlight w:val="none"/>
                <w14:textFill>
                  <w14:solidFill>
                    <w14:schemeClr w14:val="tx1"/>
                  </w14:solidFill>
                </w14:textFill>
              </w:rPr>
              <w:t>声环境</w:t>
            </w:r>
          </w:p>
        </w:tc>
        <w:tc>
          <w:tcPr>
            <w:tcW w:w="1116" w:type="dxa"/>
            <w:tcBorders>
              <w:tl2br w:val="nil"/>
              <w:tr2bl w:val="nil"/>
            </w:tcBorders>
            <w:vAlign w:val="center"/>
          </w:tcPr>
          <w:p w14:paraId="6CA1A452">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pacing w:val="5"/>
                <w:position w:val="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pacing w:val="5"/>
                <w:position w:val="1"/>
                <w:sz w:val="21"/>
                <w:szCs w:val="21"/>
                <w:highlight w:val="none"/>
                <w:lang w:val="en-US" w:eastAsia="zh-CN"/>
                <w14:textFill>
                  <w14:solidFill>
                    <w14:schemeClr w14:val="tx1"/>
                  </w14:solidFill>
                </w14:textFill>
              </w:rPr>
              <w:t>二级</w:t>
            </w:r>
          </w:p>
        </w:tc>
        <w:tc>
          <w:tcPr>
            <w:tcW w:w="5843" w:type="dxa"/>
            <w:tcBorders>
              <w:tl2br w:val="nil"/>
              <w:tr2bl w:val="nil"/>
            </w:tcBorders>
            <w:vAlign w:val="center"/>
          </w:tcPr>
          <w:p w14:paraId="65F6693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pacing w:val="5"/>
                <w:position w:val="1"/>
                <w:sz w:val="21"/>
                <w:szCs w:val="21"/>
                <w:highlight w:val="none"/>
                <w:lang w:eastAsia="zh-CN"/>
                <w14:textFill>
                  <w14:solidFill>
                    <w14:schemeClr w14:val="tx1"/>
                  </w14:solidFill>
                </w14:textFill>
              </w:rPr>
            </w:pPr>
            <w:r>
              <w:rPr>
                <w:rFonts w:hint="eastAsia" w:cs="Times New Roman" w:eastAsiaTheme="minorEastAsia"/>
                <w:color w:val="000000" w:themeColor="text1"/>
                <w:spacing w:val="5"/>
                <w:position w:val="1"/>
                <w:sz w:val="21"/>
                <w:szCs w:val="21"/>
                <w:highlight w:val="none"/>
                <w:lang w:val="en-US" w:eastAsia="zh-CN"/>
                <w14:textFill>
                  <w14:solidFill>
                    <w14:schemeClr w14:val="tx1"/>
                  </w14:solidFill>
                </w14:textFill>
              </w:rPr>
              <w:t>单台风机占地范围外</w:t>
            </w:r>
            <w:r>
              <w:rPr>
                <w:rFonts w:hint="default" w:ascii="Times New Roman" w:hAnsi="Times New Roman" w:cs="Times New Roman" w:eastAsiaTheme="minorEastAsia"/>
                <w:color w:val="000000" w:themeColor="text1"/>
                <w:spacing w:val="5"/>
                <w:position w:val="1"/>
                <w:sz w:val="21"/>
                <w:szCs w:val="21"/>
                <w:highlight w:val="none"/>
                <w:lang w:val="en-US" w:eastAsia="zh-CN"/>
                <w14:textFill>
                  <w14:solidFill>
                    <w14:schemeClr w14:val="tx1"/>
                  </w14:solidFill>
                </w14:textFill>
              </w:rPr>
              <w:t>20</w:t>
            </w:r>
            <w:r>
              <w:rPr>
                <w:rFonts w:hint="default" w:ascii="Times New Roman" w:hAnsi="Times New Roman" w:cs="Times New Roman" w:eastAsiaTheme="minorEastAsia"/>
                <w:color w:val="000000" w:themeColor="text1"/>
                <w:spacing w:val="5"/>
                <w:position w:val="1"/>
                <w:sz w:val="21"/>
                <w:szCs w:val="21"/>
                <w:highlight w:val="none"/>
                <w14:textFill>
                  <w14:solidFill>
                    <w14:schemeClr w14:val="tx1"/>
                  </w14:solidFill>
                </w14:textFill>
              </w:rPr>
              <w:t>0m范围</w:t>
            </w:r>
          </w:p>
        </w:tc>
      </w:tr>
      <w:tr w14:paraId="2BB067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215" w:type="dxa"/>
            <w:gridSpan w:val="2"/>
            <w:tcBorders>
              <w:tl2br w:val="nil"/>
              <w:tr2bl w:val="nil"/>
            </w:tcBorders>
            <w:vAlign w:val="center"/>
          </w:tcPr>
          <w:p w14:paraId="6EDBCED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pacing w:val="5"/>
                <w:position w:val="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5"/>
                <w:position w:val="1"/>
                <w:sz w:val="21"/>
                <w:szCs w:val="21"/>
                <w:highlight w:val="none"/>
                <w14:textFill>
                  <w14:solidFill>
                    <w14:schemeClr w14:val="tx1"/>
                  </w14:solidFill>
                </w14:textFill>
              </w:rPr>
              <w:t>土壤环境</w:t>
            </w:r>
          </w:p>
        </w:tc>
        <w:tc>
          <w:tcPr>
            <w:tcW w:w="1116" w:type="dxa"/>
            <w:tcBorders>
              <w:tl2br w:val="nil"/>
              <w:tr2bl w:val="nil"/>
            </w:tcBorders>
            <w:vAlign w:val="center"/>
          </w:tcPr>
          <w:p w14:paraId="438B91D8">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pacing w:val="5"/>
                <w:position w:val="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pacing w:val="5"/>
                <w:position w:val="1"/>
                <w:sz w:val="21"/>
                <w:szCs w:val="21"/>
                <w:highlight w:val="none"/>
                <w14:textFill>
                  <w14:solidFill>
                    <w14:schemeClr w14:val="tx1"/>
                  </w14:solidFill>
                </w14:textFill>
              </w:rPr>
              <w:t>不开展</w:t>
            </w:r>
          </w:p>
        </w:tc>
        <w:tc>
          <w:tcPr>
            <w:tcW w:w="5843" w:type="dxa"/>
            <w:tcBorders>
              <w:tl2br w:val="nil"/>
              <w:tr2bl w:val="nil"/>
            </w:tcBorders>
            <w:vAlign w:val="center"/>
          </w:tcPr>
          <w:p w14:paraId="368B943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pacing w:val="5"/>
                <w:position w:val="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5"/>
                <w:position w:val="1"/>
                <w:sz w:val="21"/>
                <w:szCs w:val="21"/>
                <w:highlight w:val="none"/>
                <w14:textFill>
                  <w14:solidFill>
                    <w14:schemeClr w14:val="tx1"/>
                  </w14:solidFill>
                </w14:textFill>
              </w:rPr>
              <w:t>不设置</w:t>
            </w:r>
          </w:p>
        </w:tc>
      </w:tr>
      <w:tr w14:paraId="349857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215" w:type="dxa"/>
            <w:gridSpan w:val="2"/>
            <w:tcBorders>
              <w:tl2br w:val="nil"/>
              <w:tr2bl w:val="nil"/>
            </w:tcBorders>
            <w:vAlign w:val="center"/>
          </w:tcPr>
          <w:p w14:paraId="7F6FE36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pacing w:val="5"/>
                <w:position w:val="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5"/>
                <w:position w:val="1"/>
                <w:sz w:val="21"/>
                <w:szCs w:val="21"/>
                <w:highlight w:val="none"/>
                <w14:textFill>
                  <w14:solidFill>
                    <w14:schemeClr w14:val="tx1"/>
                  </w14:solidFill>
                </w14:textFill>
              </w:rPr>
              <w:t>生态环境</w:t>
            </w:r>
          </w:p>
        </w:tc>
        <w:tc>
          <w:tcPr>
            <w:tcW w:w="1116" w:type="dxa"/>
            <w:tcBorders>
              <w:tl2br w:val="nil"/>
              <w:tr2bl w:val="nil"/>
            </w:tcBorders>
            <w:vAlign w:val="center"/>
          </w:tcPr>
          <w:p w14:paraId="04C7208D">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pacing w:val="5"/>
                <w:position w:val="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pacing w:val="5"/>
                <w:position w:val="1"/>
                <w:sz w:val="21"/>
                <w:szCs w:val="21"/>
                <w:highlight w:val="none"/>
                <w:lang w:val="en-US" w:eastAsia="zh-CN"/>
                <w14:textFill>
                  <w14:solidFill>
                    <w14:schemeClr w14:val="tx1"/>
                  </w14:solidFill>
                </w14:textFill>
              </w:rPr>
              <w:t>三级</w:t>
            </w:r>
          </w:p>
        </w:tc>
        <w:tc>
          <w:tcPr>
            <w:tcW w:w="5843" w:type="dxa"/>
            <w:tcBorders>
              <w:tl2br w:val="nil"/>
              <w:tr2bl w:val="nil"/>
            </w:tcBorders>
            <w:vAlign w:val="center"/>
          </w:tcPr>
          <w:p w14:paraId="02520A1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pacing w:val="5"/>
                <w:position w:val="1"/>
                <w:sz w:val="21"/>
                <w:szCs w:val="21"/>
                <w:highlight w:val="none"/>
                <w:lang w:val="en-US" w:eastAsia="zh-CN"/>
                <w14:textFill>
                  <w14:solidFill>
                    <w14:schemeClr w14:val="tx1"/>
                  </w14:solidFill>
                </w14:textFill>
              </w:rPr>
            </w:pPr>
            <w:r>
              <w:rPr>
                <w:rFonts w:hint="eastAsia" w:cs="Times New Roman" w:eastAsiaTheme="minorEastAsia"/>
                <w:color w:val="000000" w:themeColor="text1"/>
                <w:spacing w:val="5"/>
                <w:position w:val="1"/>
                <w:sz w:val="21"/>
                <w:szCs w:val="21"/>
                <w:highlight w:val="none"/>
                <w:lang w:val="en-US" w:eastAsia="zh-CN"/>
                <w14:textFill>
                  <w14:solidFill>
                    <w14:schemeClr w14:val="tx1"/>
                  </w14:solidFill>
                </w14:textFill>
              </w:rPr>
              <w:t>单台风机占地范围</w:t>
            </w:r>
            <w:r>
              <w:rPr>
                <w:rFonts w:hint="default" w:ascii="Times New Roman" w:hAnsi="Times New Roman" w:cs="Times New Roman" w:eastAsiaTheme="minorEastAsia"/>
                <w:color w:val="000000" w:themeColor="text1"/>
                <w:spacing w:val="5"/>
                <w:position w:val="1"/>
                <w:sz w:val="21"/>
                <w:szCs w:val="21"/>
                <w:highlight w:val="none"/>
                <w14:textFill>
                  <w14:solidFill>
                    <w14:schemeClr w14:val="tx1"/>
                  </w14:solidFill>
                </w14:textFill>
              </w:rPr>
              <w:t>外500m范围</w:t>
            </w:r>
            <w:r>
              <w:rPr>
                <w:rFonts w:hint="default" w:ascii="Times New Roman" w:hAnsi="Times New Roman" w:cs="Times New Roman" w:eastAsiaTheme="minorEastAsia"/>
                <w:color w:val="000000" w:themeColor="text1"/>
                <w:spacing w:val="5"/>
                <w:position w:val="1"/>
                <w:sz w:val="21"/>
                <w:szCs w:val="21"/>
                <w:highlight w:val="none"/>
                <w:lang w:eastAsia="zh-CN"/>
                <w14:textFill>
                  <w14:solidFill>
                    <w14:schemeClr w14:val="tx1"/>
                  </w14:solidFill>
                </w14:textFill>
              </w:rPr>
              <w:t>，</w:t>
            </w:r>
            <w:r>
              <w:rPr>
                <w:rFonts w:hint="eastAsia" w:cs="Times New Roman" w:eastAsiaTheme="minorEastAsia"/>
                <w:color w:val="000000" w:themeColor="text1"/>
                <w:spacing w:val="5"/>
                <w:position w:val="1"/>
                <w:sz w:val="21"/>
                <w:szCs w:val="21"/>
                <w:highlight w:val="none"/>
                <w:lang w:val="en-US" w:eastAsia="zh-CN"/>
                <w14:textFill>
                  <w14:solidFill>
                    <w14:schemeClr w14:val="tx1"/>
                  </w14:solidFill>
                </w14:textFill>
              </w:rPr>
              <w:t>重叠区域以最大范围为界</w:t>
            </w:r>
          </w:p>
        </w:tc>
      </w:tr>
      <w:tr w14:paraId="7E4CC0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01" w:type="dxa"/>
            <w:vMerge w:val="restart"/>
            <w:tcBorders>
              <w:tl2br w:val="nil"/>
              <w:tr2bl w:val="nil"/>
            </w:tcBorders>
            <w:vAlign w:val="center"/>
          </w:tcPr>
          <w:p w14:paraId="1E72618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pacing w:val="5"/>
                <w:position w:val="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5"/>
                <w:position w:val="1"/>
                <w:sz w:val="21"/>
                <w:szCs w:val="21"/>
                <w:highlight w:val="none"/>
                <w14:textFill>
                  <w14:solidFill>
                    <w14:schemeClr w14:val="tx1"/>
                  </w14:solidFill>
                </w14:textFill>
              </w:rPr>
              <w:t>环境</w:t>
            </w:r>
          </w:p>
          <w:p w14:paraId="4CA975B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pacing w:val="5"/>
                <w:position w:val="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5"/>
                <w:position w:val="1"/>
                <w:sz w:val="21"/>
                <w:szCs w:val="21"/>
                <w:highlight w:val="none"/>
                <w14:textFill>
                  <w14:solidFill>
                    <w14:schemeClr w14:val="tx1"/>
                  </w14:solidFill>
                </w14:textFill>
              </w:rPr>
              <w:t>风险</w:t>
            </w:r>
          </w:p>
        </w:tc>
        <w:tc>
          <w:tcPr>
            <w:tcW w:w="1514" w:type="dxa"/>
            <w:tcBorders>
              <w:tl2br w:val="nil"/>
              <w:tr2bl w:val="nil"/>
            </w:tcBorders>
            <w:vAlign w:val="center"/>
          </w:tcPr>
          <w:p w14:paraId="6E30F2B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pacing w:val="5"/>
                <w:position w:val="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5"/>
                <w:position w:val="1"/>
                <w:sz w:val="21"/>
                <w:szCs w:val="21"/>
                <w:highlight w:val="none"/>
                <w14:textFill>
                  <w14:solidFill>
                    <w14:schemeClr w14:val="tx1"/>
                  </w14:solidFill>
                </w14:textFill>
              </w:rPr>
              <w:t>大气环境</w:t>
            </w:r>
          </w:p>
        </w:tc>
        <w:tc>
          <w:tcPr>
            <w:tcW w:w="1116" w:type="dxa"/>
            <w:tcBorders>
              <w:tl2br w:val="nil"/>
              <w:tr2bl w:val="nil"/>
            </w:tcBorders>
            <w:vAlign w:val="center"/>
          </w:tcPr>
          <w:p w14:paraId="67A3E69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pacing w:val="5"/>
                <w:position w:val="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简单分析</w:t>
            </w:r>
          </w:p>
        </w:tc>
        <w:tc>
          <w:tcPr>
            <w:tcW w:w="5843" w:type="dxa"/>
            <w:tcBorders>
              <w:tl2br w:val="nil"/>
              <w:tr2bl w:val="nil"/>
            </w:tcBorders>
            <w:vAlign w:val="center"/>
          </w:tcPr>
          <w:p w14:paraId="1B6B3BC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pacing w:val="5"/>
                <w:position w:val="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5"/>
                <w:position w:val="1"/>
                <w:sz w:val="21"/>
                <w:szCs w:val="21"/>
                <w:highlight w:val="none"/>
                <w14:textFill>
                  <w14:solidFill>
                    <w14:schemeClr w14:val="tx1"/>
                  </w14:solidFill>
                </w14:textFill>
              </w:rPr>
              <w:t>不设置</w:t>
            </w:r>
          </w:p>
        </w:tc>
      </w:tr>
      <w:tr w14:paraId="3EE32C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01" w:type="dxa"/>
            <w:vMerge w:val="continue"/>
            <w:tcBorders>
              <w:tl2br w:val="nil"/>
              <w:tr2bl w:val="nil"/>
            </w:tcBorders>
            <w:vAlign w:val="center"/>
          </w:tcPr>
          <w:p w14:paraId="1EDB87EA">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pacing w:val="5"/>
                <w:position w:val="1"/>
                <w:sz w:val="21"/>
                <w:szCs w:val="21"/>
                <w:highlight w:val="none"/>
                <w14:textFill>
                  <w14:solidFill>
                    <w14:schemeClr w14:val="tx1"/>
                  </w14:solidFill>
                </w14:textFill>
              </w:rPr>
            </w:pPr>
          </w:p>
        </w:tc>
        <w:tc>
          <w:tcPr>
            <w:tcW w:w="1514" w:type="dxa"/>
            <w:tcBorders>
              <w:tl2br w:val="nil"/>
              <w:tr2bl w:val="nil"/>
            </w:tcBorders>
            <w:vAlign w:val="center"/>
          </w:tcPr>
          <w:p w14:paraId="7BDCCB3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pacing w:val="5"/>
                <w:position w:val="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5"/>
                <w:position w:val="1"/>
                <w:sz w:val="21"/>
                <w:szCs w:val="21"/>
                <w:highlight w:val="none"/>
                <w14:textFill>
                  <w14:solidFill>
                    <w14:schemeClr w14:val="tx1"/>
                  </w14:solidFill>
                </w14:textFill>
              </w:rPr>
              <w:t>地下水环境</w:t>
            </w:r>
          </w:p>
        </w:tc>
        <w:tc>
          <w:tcPr>
            <w:tcW w:w="1116" w:type="dxa"/>
            <w:tcBorders>
              <w:tl2br w:val="nil"/>
              <w:tr2bl w:val="nil"/>
            </w:tcBorders>
            <w:vAlign w:val="center"/>
          </w:tcPr>
          <w:p w14:paraId="3A996EB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pacing w:val="5"/>
                <w:position w:val="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简单分析</w:t>
            </w:r>
          </w:p>
        </w:tc>
        <w:tc>
          <w:tcPr>
            <w:tcW w:w="5843" w:type="dxa"/>
            <w:tcBorders>
              <w:tl2br w:val="nil"/>
              <w:tr2bl w:val="nil"/>
            </w:tcBorders>
            <w:vAlign w:val="center"/>
          </w:tcPr>
          <w:p w14:paraId="01DABE7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left"/>
              <w:textAlignment w:val="auto"/>
              <w:rPr>
                <w:rFonts w:hint="default" w:ascii="Times New Roman" w:hAnsi="Times New Roman" w:cs="Times New Roman" w:eastAsiaTheme="minorEastAsia"/>
                <w:color w:val="000000" w:themeColor="text1"/>
                <w:spacing w:val="5"/>
                <w:position w:val="1"/>
                <w:sz w:val="21"/>
                <w:szCs w:val="21"/>
                <w:highlight w:val="none"/>
                <w:lang w:val="en-US"/>
                <w14:textFill>
                  <w14:solidFill>
                    <w14:schemeClr w14:val="tx1"/>
                  </w14:solidFill>
                </w14:textFill>
              </w:rPr>
            </w:pPr>
            <w:r>
              <w:rPr>
                <w:rFonts w:hint="eastAsia"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西山地下饮用水源地二级保护区、甘河子（含铁路专供）地下饮用水源地二级保护区、乌拉泊、柴西、柴北、西山、甘河子（含铁路专供）准保护区</w:t>
            </w: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w:t>
            </w:r>
          </w:p>
        </w:tc>
      </w:tr>
      <w:tr w14:paraId="30978B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01" w:type="dxa"/>
            <w:vMerge w:val="continue"/>
            <w:tcBorders>
              <w:tl2br w:val="nil"/>
              <w:tr2bl w:val="nil"/>
            </w:tcBorders>
            <w:vAlign w:val="center"/>
          </w:tcPr>
          <w:p w14:paraId="1D97D3C5">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pacing w:val="5"/>
                <w:position w:val="1"/>
                <w:sz w:val="21"/>
                <w:szCs w:val="21"/>
                <w:highlight w:val="none"/>
                <w14:textFill>
                  <w14:solidFill>
                    <w14:schemeClr w14:val="tx1"/>
                  </w14:solidFill>
                </w14:textFill>
              </w:rPr>
            </w:pPr>
          </w:p>
        </w:tc>
        <w:tc>
          <w:tcPr>
            <w:tcW w:w="1514" w:type="dxa"/>
            <w:tcBorders>
              <w:tl2br w:val="nil"/>
              <w:tr2bl w:val="nil"/>
            </w:tcBorders>
            <w:vAlign w:val="center"/>
          </w:tcPr>
          <w:p w14:paraId="2361C65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pacing w:val="5"/>
                <w:position w:val="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5"/>
                <w:position w:val="1"/>
                <w:sz w:val="21"/>
                <w:szCs w:val="21"/>
                <w:highlight w:val="none"/>
                <w14:textFill>
                  <w14:solidFill>
                    <w14:schemeClr w14:val="tx1"/>
                  </w14:solidFill>
                </w14:textFill>
              </w:rPr>
              <w:t>地表水环境</w:t>
            </w:r>
          </w:p>
        </w:tc>
        <w:tc>
          <w:tcPr>
            <w:tcW w:w="1116" w:type="dxa"/>
            <w:tcBorders>
              <w:tl2br w:val="nil"/>
              <w:tr2bl w:val="nil"/>
            </w:tcBorders>
            <w:shd w:val="clear" w:color="auto" w:fill="auto"/>
            <w:vAlign w:val="center"/>
          </w:tcPr>
          <w:p w14:paraId="49F22AF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pacing w:val="5"/>
                <w:position w:val="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简单分析</w:t>
            </w:r>
          </w:p>
        </w:tc>
        <w:tc>
          <w:tcPr>
            <w:tcW w:w="5843" w:type="dxa"/>
            <w:tcBorders>
              <w:tl2br w:val="nil"/>
              <w:tr2bl w:val="nil"/>
            </w:tcBorders>
            <w:vAlign w:val="center"/>
          </w:tcPr>
          <w:p w14:paraId="3DA4478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pacing w:val="5"/>
                <w:position w:val="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pacing w:val="5"/>
                <w:position w:val="1"/>
                <w:sz w:val="21"/>
                <w:szCs w:val="21"/>
                <w:highlight w:val="none"/>
                <w:lang w:val="en-US" w:eastAsia="zh-CN"/>
                <w14:textFill>
                  <w14:solidFill>
                    <w14:schemeClr w14:val="tx1"/>
                  </w14:solidFill>
                </w14:textFill>
              </w:rPr>
              <w:t>不设置</w:t>
            </w:r>
          </w:p>
        </w:tc>
      </w:tr>
    </w:tbl>
    <w:p w14:paraId="4D6F2A3B">
      <w:pPr>
        <w:bidi w:val="0"/>
        <w:rPr>
          <w:rFonts w:hint="default" w:ascii="Times New Roman" w:hAnsi="Times New Roman" w:cs="Times New Roman" w:eastAsiaTheme="minorEastAsia"/>
          <w:color w:val="FF0000"/>
          <w:highlight w:val="none"/>
          <w:lang w:val="en-US" w:eastAsia="zh-CN"/>
        </w:rPr>
      </w:pPr>
      <w:bookmarkStart w:id="193" w:name="_Toc13728"/>
      <w:bookmarkStart w:id="194" w:name="_Toc10728"/>
    </w:p>
    <w:p w14:paraId="60B450E4">
      <w:pPr>
        <w:pStyle w:val="4"/>
        <w:pageBreakBefore w:val="0"/>
        <w:widowControl w:val="0"/>
        <w:numPr>
          <w:ilvl w:val="0"/>
          <w:numId w:val="0"/>
        </w:numPr>
        <w:tabs>
          <w:tab w:val="left" w:pos="630"/>
          <w:tab w:val="left" w:pos="3403"/>
        </w:tabs>
        <w:kinsoku/>
        <w:wordWrap w:val="0"/>
        <w:overflowPunct/>
        <w:topLinePunct w:val="0"/>
        <w:autoSpaceDE/>
        <w:autoSpaceDN/>
        <w:bidi w:val="0"/>
        <w:adjustRightInd/>
        <w:snapToGrid/>
        <w:spacing w:before="0" w:beforeLines="0" w:after="0" w:afterLines="0" w:line="360" w:lineRule="auto"/>
        <w:ind w:left="0"/>
        <w:outlineLvl w:val="1"/>
        <w:rPr>
          <w:rFonts w:hint="default" w:ascii="Times New Roman" w:hAnsi="Times New Roman" w:cs="Times New Roman" w:eastAsiaTheme="minorEastAsia"/>
          <w:color w:val="000000" w:themeColor="text1"/>
          <w:sz w:val="30"/>
          <w:highlight w:val="none"/>
          <w:lang w:val="en-US" w:eastAsia="zh-CN"/>
          <w14:textFill>
            <w14:solidFill>
              <w14:schemeClr w14:val="tx1"/>
            </w14:solidFill>
          </w14:textFill>
        </w:rPr>
      </w:pPr>
      <w:bookmarkStart w:id="195" w:name="_Toc15915"/>
      <w:r>
        <w:rPr>
          <w:rFonts w:hint="default" w:ascii="Times New Roman" w:hAnsi="Times New Roman" w:cs="Times New Roman" w:eastAsiaTheme="minorEastAsia"/>
          <w:color w:val="000000" w:themeColor="text1"/>
          <w:sz w:val="30"/>
          <w:highlight w:val="none"/>
          <w:lang w:val="en-US" w:eastAsia="zh-CN"/>
          <w14:textFill>
            <w14:solidFill>
              <w14:schemeClr w14:val="tx1"/>
            </w14:solidFill>
          </w14:textFill>
        </w:rPr>
        <w:t>2.6 评价工作重点</w:t>
      </w:r>
      <w:bookmarkEnd w:id="193"/>
      <w:bookmarkEnd w:id="194"/>
      <w:bookmarkEnd w:id="195"/>
    </w:p>
    <w:p w14:paraId="662E1FC7">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本项目属生态影响为主的建设项目，根据项目特征与工程所在地的环境特征，以及项目环境影响因子识别等综合分析，确定评价重点为：</w:t>
      </w:r>
    </w:p>
    <w:p w14:paraId="286ADAC8">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(1)重点分析项目主体设施及临时设施选址的合理性；</w:t>
      </w:r>
    </w:p>
    <w:p w14:paraId="0AAF62A0">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(2)在深入分析项目选址施工组织等基础上，重点分析项目施工期施工活动对所在区域植被生物量、物种多样性、生态系统完整性影响；</w:t>
      </w:r>
    </w:p>
    <w:p w14:paraId="457E8DE3">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(3)重点分析项目建设和运行对水源地的环境影响、环境风险，并提出相应的水环境保护和风险防范措施；</w:t>
      </w:r>
    </w:p>
    <w:p w14:paraId="03F8ADD8">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(4)重点分析运营期风机运行对区域鸟类迁徙的影响，并提出相应的保护措施；</w:t>
      </w:r>
    </w:p>
    <w:p w14:paraId="26F633C1">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w:t>
      </w:r>
      <w:r>
        <w:rPr>
          <w:rFonts w:hint="eastAsia" w:cs="Times New Roman" w:eastAsiaTheme="minorEastAsia"/>
          <w:snapToGrid w:val="0"/>
          <w:color w:val="000000" w:themeColor="text1"/>
          <w:sz w:val="24"/>
          <w:highlight w:val="none"/>
          <w:lang w:val="en-US" w:eastAsia="zh-CN"/>
          <w14:textFill>
            <w14:solidFill>
              <w14:schemeClr w14:val="tx1"/>
            </w14:solidFill>
          </w14:textFill>
        </w:rPr>
        <w:t>5</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在深入进行工程分析及污染防治对策分析基础上，重点分析“三废”污染防治措施的可行性，特别是废水污染防治措施的可行性，同时注重对产生扬尘、噪声等的分析预测。重视项目环境风险事故分析，并提出相应的风险防范措施。</w:t>
      </w:r>
    </w:p>
    <w:p w14:paraId="72F48848">
      <w:pPr>
        <w:pStyle w:val="4"/>
        <w:pageBreakBefore w:val="0"/>
        <w:widowControl w:val="0"/>
        <w:numPr>
          <w:ilvl w:val="0"/>
          <w:numId w:val="0"/>
        </w:numPr>
        <w:tabs>
          <w:tab w:val="left" w:pos="630"/>
          <w:tab w:val="left" w:pos="3403"/>
        </w:tabs>
        <w:kinsoku/>
        <w:wordWrap w:val="0"/>
        <w:overflowPunct/>
        <w:topLinePunct w:val="0"/>
        <w:autoSpaceDE/>
        <w:autoSpaceDN/>
        <w:bidi w:val="0"/>
        <w:adjustRightInd/>
        <w:snapToGrid/>
        <w:spacing w:before="0" w:beforeLines="0" w:after="0" w:afterLines="0" w:line="360" w:lineRule="auto"/>
        <w:outlineLvl w:val="1"/>
        <w:rPr>
          <w:rFonts w:hint="default" w:ascii="Times New Roman" w:hAnsi="Times New Roman" w:cs="Times New Roman" w:eastAsiaTheme="minorEastAsia"/>
          <w:color w:val="000000" w:themeColor="text1"/>
          <w:sz w:val="30"/>
          <w:highlight w:val="none"/>
          <w:lang w:val="en-US" w:eastAsia="zh-CN"/>
          <w14:textFill>
            <w14:solidFill>
              <w14:schemeClr w14:val="tx1"/>
            </w14:solidFill>
          </w14:textFill>
        </w:rPr>
      </w:pPr>
      <w:bookmarkStart w:id="196" w:name="_Toc19588"/>
      <w:bookmarkStart w:id="197" w:name="_Toc5438"/>
      <w:bookmarkStart w:id="198" w:name="_Toc15615"/>
      <w:bookmarkStart w:id="199" w:name="_Toc30736"/>
      <w:bookmarkStart w:id="200" w:name="_Toc22064"/>
      <w:bookmarkStart w:id="201" w:name="_Toc16199"/>
      <w:bookmarkStart w:id="202" w:name="_Toc29323"/>
      <w:bookmarkStart w:id="203" w:name="_Toc10741"/>
      <w:r>
        <w:rPr>
          <w:rFonts w:hint="default" w:ascii="Times New Roman" w:hAnsi="Times New Roman" w:cs="Times New Roman" w:eastAsiaTheme="minorEastAsia"/>
          <w:color w:val="000000" w:themeColor="text1"/>
          <w:sz w:val="30"/>
          <w:highlight w:val="none"/>
          <w:lang w:val="en-US" w:eastAsia="zh-CN"/>
          <w14:textFill>
            <w14:solidFill>
              <w14:schemeClr w14:val="tx1"/>
            </w14:solidFill>
          </w14:textFill>
        </w:rPr>
        <w:t>2.7 环境保护目标</w:t>
      </w:r>
      <w:bookmarkEnd w:id="186"/>
      <w:bookmarkEnd w:id="187"/>
      <w:bookmarkEnd w:id="188"/>
      <w:bookmarkEnd w:id="189"/>
      <w:bookmarkEnd w:id="190"/>
      <w:bookmarkEnd w:id="191"/>
      <w:bookmarkEnd w:id="196"/>
      <w:bookmarkEnd w:id="197"/>
      <w:bookmarkEnd w:id="198"/>
      <w:bookmarkEnd w:id="199"/>
      <w:bookmarkEnd w:id="200"/>
      <w:bookmarkEnd w:id="201"/>
      <w:bookmarkEnd w:id="202"/>
      <w:bookmarkEnd w:id="203"/>
    </w:p>
    <w:p w14:paraId="06F3FA1C">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FF0000"/>
          <w:sz w:val="24"/>
          <w:highlight w:val="none"/>
          <w:lang w:val="en-US" w:eastAsia="zh-CN"/>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本项目环境保护目标为</w:t>
      </w:r>
      <w:r>
        <w:rPr>
          <w:rFonts w:hint="eastAsia" w:ascii="宋体" w:hAnsi="宋体" w:eastAsia="宋体" w:cs="宋体"/>
          <w:color w:val="000000" w:themeColor="text1"/>
          <w:sz w:val="24"/>
          <w:lang w:val="en-US" w:eastAsia="zh-CN"/>
          <w14:textFill>
            <w14:solidFill>
              <w14:schemeClr w14:val="tx1"/>
            </w14:solidFill>
          </w14:textFill>
        </w:rPr>
        <w:t>西山地下饮用水源地二级保护区、</w:t>
      </w:r>
      <w:r>
        <w:rPr>
          <w:rFonts w:hint="eastAsia" w:ascii="宋体" w:hAnsi="宋体" w:eastAsia="宋体"/>
          <w:color w:val="000000" w:themeColor="text1"/>
          <w:sz w:val="24"/>
          <w14:textFill>
            <w14:solidFill>
              <w14:schemeClr w14:val="tx1"/>
            </w14:solidFill>
          </w14:textFill>
        </w:rPr>
        <w:t>甘河子（含铁路专供）</w:t>
      </w:r>
      <w:r>
        <w:rPr>
          <w:rFonts w:hint="eastAsia" w:ascii="宋体" w:hAnsi="宋体" w:eastAsia="宋体"/>
          <w:color w:val="000000" w:themeColor="text1"/>
          <w:sz w:val="24"/>
          <w:lang w:val="en-US" w:eastAsia="zh-CN"/>
          <w14:textFill>
            <w14:solidFill>
              <w14:schemeClr w14:val="tx1"/>
            </w14:solidFill>
          </w14:textFill>
        </w:rPr>
        <w:t>地下饮用</w:t>
      </w:r>
      <w:r>
        <w:rPr>
          <w:rFonts w:hint="eastAsia" w:ascii="宋体" w:hAnsi="宋体" w:eastAsia="宋体"/>
          <w:color w:val="000000" w:themeColor="text1"/>
          <w:sz w:val="24"/>
          <w14:textFill>
            <w14:solidFill>
              <w14:schemeClr w14:val="tx1"/>
            </w14:solidFill>
          </w14:textFill>
        </w:rPr>
        <w:t>水源地</w:t>
      </w:r>
      <w:r>
        <w:rPr>
          <w:rFonts w:hint="eastAsia" w:ascii="宋体" w:hAnsi="宋体" w:eastAsia="宋体"/>
          <w:color w:val="000000" w:themeColor="text1"/>
          <w:sz w:val="24"/>
          <w:lang w:val="en-US" w:eastAsia="zh-CN"/>
          <w14:textFill>
            <w14:solidFill>
              <w14:schemeClr w14:val="tx1"/>
            </w14:solidFill>
          </w14:textFill>
        </w:rPr>
        <w:t>二级保护区、</w:t>
      </w:r>
      <w:r>
        <w:rPr>
          <w:rFonts w:hint="eastAsia" w:cs="Times New Roman" w:eastAsiaTheme="minorEastAsia"/>
          <w:color w:val="000000" w:themeColor="text1"/>
          <w:sz w:val="24"/>
          <w:highlight w:val="none"/>
          <w:lang w:val="en-US" w:eastAsia="zh-CN"/>
          <w14:textFill>
            <w14:solidFill>
              <w14:schemeClr w14:val="tx1"/>
            </w14:solidFill>
          </w14:textFill>
        </w:rPr>
        <w:t>乌拉泊、柴西、柴北、西山、甘河子（含铁路专供）准保护区</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w:t>
      </w:r>
      <w:r>
        <w:rPr>
          <w:rFonts w:hint="eastAsia" w:cs="Times New Roman" w:eastAsiaTheme="minorEastAsia"/>
          <w:snapToGrid w:val="0"/>
          <w:color w:val="000000" w:themeColor="text1"/>
          <w:sz w:val="24"/>
          <w:highlight w:val="none"/>
          <w:lang w:val="en-US" w:eastAsia="zh-CN"/>
          <w14:textFill>
            <w14:solidFill>
              <w14:schemeClr w14:val="tx1"/>
            </w14:solidFill>
          </w14:textFill>
        </w:rPr>
        <w:t>乌鲁木齐河</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w:t>
      </w:r>
      <w:r>
        <w:rPr>
          <w:rFonts w:hint="eastAsia" w:cs="Times New Roman" w:eastAsiaTheme="minorEastAsia"/>
          <w:snapToGrid w:val="0"/>
          <w:color w:val="000000" w:themeColor="text1"/>
          <w:sz w:val="24"/>
          <w:highlight w:val="none"/>
          <w:lang w:val="en-US" w:eastAsia="zh-CN"/>
          <w14:textFill>
            <w14:solidFill>
              <w14:schemeClr w14:val="tx1"/>
            </w14:solidFill>
          </w14:textFill>
        </w:rPr>
        <w:t>乌拉泊水库、</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地表砾幕层、水土流失治理区及预防区、受保护动物、鸟类及天然牧草地。本项目与水源保护区位置关系详见图2.7-1。本项目</w:t>
      </w:r>
      <w:r>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不占用生态保护红线，</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与</w:t>
      </w:r>
      <w:r>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其</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位置关系详见图2.7-2。</w:t>
      </w:r>
    </w:p>
    <w:p w14:paraId="50D5F21A">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本项目环境保护目标见表2.7-1。</w:t>
      </w:r>
    </w:p>
    <w:p w14:paraId="3F94FFB2">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FF0000"/>
          <w:sz w:val="24"/>
          <w:highlight w:val="none"/>
          <w:lang w:val="en-US" w:eastAsia="zh-CN"/>
        </w:rPr>
        <w:sectPr>
          <w:pgSz w:w="11906" w:h="16838"/>
          <w:pgMar w:top="1418" w:right="1361" w:bottom="1418" w:left="1587" w:header="1134" w:footer="992" w:gutter="0"/>
          <w:pgBorders>
            <w:top w:val="none" w:sz="0" w:space="0"/>
            <w:left w:val="none" w:sz="0" w:space="0"/>
            <w:bottom w:val="none" w:sz="0" w:space="0"/>
            <w:right w:val="none" w:sz="0" w:space="0"/>
          </w:pgBorders>
          <w:pgNumType w:fmt="decimal"/>
          <w:cols w:space="720" w:num="1"/>
          <w:docGrid w:type="lines" w:linePitch="312" w:charSpace="0"/>
        </w:sectPr>
      </w:pPr>
    </w:p>
    <w:p w14:paraId="6973C3C9">
      <w:pPr>
        <w:bidi w:val="0"/>
        <w:spacing w:line="240" w:lineRule="auto"/>
        <w:jc w:val="center"/>
        <w:rPr>
          <w:rFonts w:hint="default" w:ascii="Times New Roman" w:hAnsi="Times New Roman" w:cs="Times New Roman" w:eastAsiaTheme="minorEastAsia"/>
          <w:b/>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highlight w:val="none"/>
          <w:lang w:val="en-US" w:eastAsia="zh-CN"/>
          <w14:textFill>
            <w14:solidFill>
              <w14:schemeClr w14:val="tx1"/>
            </w14:solidFill>
          </w14:textFill>
        </w:rPr>
        <w:t>表2.7-1    本项目环境保护目标</w:t>
      </w:r>
    </w:p>
    <w:p w14:paraId="0992C017">
      <w:pPr>
        <w:spacing w:line="17" w:lineRule="exact"/>
        <w:rPr>
          <w:rFonts w:hint="default" w:ascii="Times New Roman" w:hAnsi="Times New Roman" w:cs="Times New Roman" w:eastAsiaTheme="minorEastAsia"/>
          <w:color w:val="FF0000"/>
          <w:highlight w:val="none"/>
        </w:rPr>
      </w:pPr>
    </w:p>
    <w:tbl>
      <w:tblPr>
        <w:tblStyle w:val="612"/>
        <w:tblW w:w="13942"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514"/>
        <w:gridCol w:w="1159"/>
        <w:gridCol w:w="2500"/>
        <w:gridCol w:w="4179"/>
        <w:gridCol w:w="2750"/>
        <w:gridCol w:w="2840"/>
      </w:tblGrid>
      <w:tr w14:paraId="5278F93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1673" w:type="dxa"/>
            <w:gridSpan w:val="2"/>
            <w:tcBorders>
              <w:tl2br w:val="nil"/>
              <w:tr2bl w:val="nil"/>
            </w:tcBorders>
            <w:vAlign w:val="center"/>
          </w:tcPr>
          <w:p w14:paraId="17F3910A">
            <w:pPr>
              <w:keepNext w:val="0"/>
              <w:keepLines w:val="0"/>
              <w:pageBreakBefore w:val="0"/>
              <w:widowControl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b w:val="0"/>
                <w:bCs w:val="0"/>
                <w:color w:val="000000" w:themeColor="text1"/>
                <w:spacing w:val="5"/>
                <w:position w:val="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pacing w:val="5"/>
                <w:position w:val="1"/>
                <w:sz w:val="21"/>
                <w:szCs w:val="21"/>
                <w:highlight w:val="none"/>
                <w:lang w:val="en-US" w:eastAsia="zh-CN"/>
                <w14:textFill>
                  <w14:solidFill>
                    <w14:schemeClr w14:val="tx1"/>
                  </w14:solidFill>
                </w14:textFill>
              </w:rPr>
              <w:t>环境要素</w:t>
            </w:r>
          </w:p>
        </w:tc>
        <w:tc>
          <w:tcPr>
            <w:tcW w:w="2500" w:type="dxa"/>
            <w:tcBorders>
              <w:tl2br w:val="nil"/>
              <w:tr2bl w:val="nil"/>
            </w:tcBorders>
            <w:vAlign w:val="center"/>
          </w:tcPr>
          <w:p w14:paraId="3519A8AD">
            <w:pPr>
              <w:keepNext w:val="0"/>
              <w:keepLines w:val="0"/>
              <w:pageBreakBefore w:val="0"/>
              <w:widowControl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b w:val="0"/>
                <w:bCs w:val="0"/>
                <w:color w:val="000000" w:themeColor="text1"/>
                <w:spacing w:val="5"/>
                <w:position w:val="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pacing w:val="5"/>
                <w:position w:val="1"/>
                <w:sz w:val="21"/>
                <w:szCs w:val="21"/>
                <w:highlight w:val="none"/>
                <w:lang w:val="en-US" w:eastAsia="zh-CN"/>
                <w14:textFill>
                  <w14:solidFill>
                    <w14:schemeClr w14:val="tx1"/>
                  </w14:solidFill>
                </w14:textFill>
              </w:rPr>
              <w:t>保护对象</w:t>
            </w:r>
          </w:p>
        </w:tc>
        <w:tc>
          <w:tcPr>
            <w:tcW w:w="4179" w:type="dxa"/>
            <w:tcBorders>
              <w:tl2br w:val="nil"/>
              <w:tr2bl w:val="nil"/>
            </w:tcBorders>
            <w:vAlign w:val="center"/>
          </w:tcPr>
          <w:p w14:paraId="24BA10A2">
            <w:pPr>
              <w:keepNext w:val="0"/>
              <w:keepLines w:val="0"/>
              <w:pageBreakBefore w:val="0"/>
              <w:widowControl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b w:val="0"/>
                <w:bCs w:val="0"/>
                <w:color w:val="000000" w:themeColor="text1"/>
                <w:spacing w:val="5"/>
                <w:position w:val="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pacing w:val="5"/>
                <w:position w:val="1"/>
                <w:sz w:val="21"/>
                <w:szCs w:val="21"/>
                <w:highlight w:val="none"/>
                <w:lang w:val="en-US" w:eastAsia="zh-CN"/>
                <w14:textFill>
                  <w14:solidFill>
                    <w14:schemeClr w14:val="tx1"/>
                  </w14:solidFill>
                </w14:textFill>
              </w:rPr>
              <w:t>相对位置</w:t>
            </w:r>
          </w:p>
        </w:tc>
        <w:tc>
          <w:tcPr>
            <w:tcW w:w="2750" w:type="dxa"/>
            <w:tcBorders>
              <w:tl2br w:val="nil"/>
              <w:tr2bl w:val="nil"/>
            </w:tcBorders>
            <w:vAlign w:val="center"/>
          </w:tcPr>
          <w:p w14:paraId="6DBD60CE">
            <w:pPr>
              <w:keepNext w:val="0"/>
              <w:keepLines w:val="0"/>
              <w:pageBreakBefore w:val="0"/>
              <w:widowControl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b w:val="0"/>
                <w:bCs w:val="0"/>
                <w:color w:val="000000" w:themeColor="text1"/>
                <w:spacing w:val="5"/>
                <w:position w:val="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pacing w:val="5"/>
                <w:position w:val="1"/>
                <w:sz w:val="21"/>
                <w:szCs w:val="21"/>
                <w:highlight w:val="none"/>
                <w:lang w:val="en-US" w:eastAsia="zh-CN"/>
                <w14:textFill>
                  <w14:solidFill>
                    <w14:schemeClr w14:val="tx1"/>
                  </w14:solidFill>
                </w14:textFill>
              </w:rPr>
              <w:t>保护内容</w:t>
            </w:r>
          </w:p>
        </w:tc>
        <w:tc>
          <w:tcPr>
            <w:tcW w:w="2840" w:type="dxa"/>
            <w:tcBorders>
              <w:tl2br w:val="nil"/>
              <w:tr2bl w:val="nil"/>
            </w:tcBorders>
            <w:vAlign w:val="center"/>
          </w:tcPr>
          <w:p w14:paraId="2066EF3E">
            <w:pPr>
              <w:keepNext w:val="0"/>
              <w:keepLines w:val="0"/>
              <w:pageBreakBefore w:val="0"/>
              <w:widowControl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b w:val="0"/>
                <w:bCs w:val="0"/>
                <w:color w:val="000000" w:themeColor="text1"/>
                <w:spacing w:val="5"/>
                <w:position w:val="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pacing w:val="5"/>
                <w:position w:val="1"/>
                <w:sz w:val="21"/>
                <w:szCs w:val="21"/>
                <w:highlight w:val="none"/>
                <w:lang w:val="en-US" w:eastAsia="zh-CN"/>
                <w14:textFill>
                  <w14:solidFill>
                    <w14:schemeClr w14:val="tx1"/>
                  </w14:solidFill>
                </w14:textFill>
              </w:rPr>
              <w:t>保护目标</w:t>
            </w:r>
          </w:p>
        </w:tc>
      </w:tr>
      <w:tr w14:paraId="0F2EBBA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1673" w:type="dxa"/>
            <w:gridSpan w:val="2"/>
            <w:tcBorders>
              <w:tl2br w:val="nil"/>
              <w:tr2bl w:val="nil"/>
            </w:tcBorders>
            <w:vAlign w:val="center"/>
          </w:tcPr>
          <w:p w14:paraId="4B2BDC64">
            <w:pPr>
              <w:keepNext w:val="0"/>
              <w:keepLines w:val="0"/>
              <w:pageBreakBefore w:val="0"/>
              <w:widowControl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b w:val="0"/>
                <w:bCs w:val="0"/>
                <w:color w:val="000000" w:themeColor="text1"/>
                <w:spacing w:val="5"/>
                <w:position w:val="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pacing w:val="5"/>
                <w:position w:val="1"/>
                <w:sz w:val="21"/>
                <w:szCs w:val="21"/>
                <w:highlight w:val="none"/>
                <w:lang w:val="en-US" w:eastAsia="zh-CN"/>
                <w14:textFill>
                  <w14:solidFill>
                    <w14:schemeClr w14:val="tx1"/>
                  </w14:solidFill>
                </w14:textFill>
              </w:rPr>
              <w:t>环境空气</w:t>
            </w:r>
          </w:p>
        </w:tc>
        <w:tc>
          <w:tcPr>
            <w:tcW w:w="6679" w:type="dxa"/>
            <w:gridSpan w:val="2"/>
            <w:tcBorders>
              <w:tl2br w:val="nil"/>
              <w:tr2bl w:val="nil"/>
            </w:tcBorders>
            <w:vAlign w:val="center"/>
          </w:tcPr>
          <w:p w14:paraId="01B9410C">
            <w:pPr>
              <w:keepNext w:val="0"/>
              <w:keepLines w:val="0"/>
              <w:pageBreakBefore w:val="0"/>
              <w:widowControl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b w:val="0"/>
                <w:bCs w:val="0"/>
                <w:color w:val="000000" w:themeColor="text1"/>
                <w:spacing w:val="5"/>
                <w:position w:val="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pacing w:val="5"/>
                <w:position w:val="1"/>
                <w:sz w:val="21"/>
                <w:szCs w:val="21"/>
                <w:highlight w:val="none"/>
                <w:lang w:val="en-US" w:eastAsia="zh-CN"/>
                <w14:textFill>
                  <w14:solidFill>
                    <w14:schemeClr w14:val="tx1"/>
                  </w14:solidFill>
                </w14:textFill>
              </w:rPr>
              <w:t>区域环境空气质量</w:t>
            </w:r>
          </w:p>
        </w:tc>
        <w:tc>
          <w:tcPr>
            <w:tcW w:w="2750" w:type="dxa"/>
            <w:tcBorders>
              <w:tl2br w:val="nil"/>
              <w:tr2bl w:val="nil"/>
            </w:tcBorders>
            <w:vAlign w:val="center"/>
          </w:tcPr>
          <w:p w14:paraId="52F6E667">
            <w:pPr>
              <w:keepNext w:val="0"/>
              <w:keepLines w:val="0"/>
              <w:pageBreakBefore w:val="0"/>
              <w:widowControl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b w:val="0"/>
                <w:bCs w:val="0"/>
                <w:color w:val="000000" w:themeColor="text1"/>
                <w:spacing w:val="5"/>
                <w:position w:val="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pacing w:val="5"/>
                <w:position w:val="1"/>
                <w:sz w:val="21"/>
                <w:szCs w:val="21"/>
                <w:highlight w:val="none"/>
                <w:lang w:val="en-US" w:eastAsia="zh-CN"/>
                <w14:textFill>
                  <w14:solidFill>
                    <w14:schemeClr w14:val="tx1"/>
                  </w14:solidFill>
                </w14:textFill>
              </w:rPr>
              <w:t>环境空气质量</w:t>
            </w:r>
          </w:p>
        </w:tc>
        <w:tc>
          <w:tcPr>
            <w:tcW w:w="2840" w:type="dxa"/>
            <w:tcBorders>
              <w:tl2br w:val="nil"/>
              <w:tr2bl w:val="nil"/>
            </w:tcBorders>
            <w:vAlign w:val="center"/>
          </w:tcPr>
          <w:p w14:paraId="373B0A06">
            <w:pPr>
              <w:keepNext w:val="0"/>
              <w:keepLines w:val="0"/>
              <w:pageBreakBefore w:val="0"/>
              <w:widowControl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b w:val="0"/>
                <w:bCs w:val="0"/>
                <w:color w:val="000000" w:themeColor="text1"/>
                <w:spacing w:val="5"/>
                <w:position w:val="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pacing w:val="5"/>
                <w:position w:val="1"/>
                <w:sz w:val="21"/>
                <w:szCs w:val="21"/>
                <w:highlight w:val="none"/>
                <w:lang w:val="en-US" w:eastAsia="zh-CN"/>
                <w14:textFill>
                  <w14:solidFill>
                    <w14:schemeClr w14:val="tx1"/>
                  </w14:solidFill>
                </w14:textFill>
              </w:rPr>
              <w:t xml:space="preserve">《环境空气质量标准》 </w:t>
            </w:r>
          </w:p>
          <w:p w14:paraId="7E8D90DF">
            <w:pPr>
              <w:keepNext w:val="0"/>
              <w:keepLines w:val="0"/>
              <w:pageBreakBefore w:val="0"/>
              <w:widowControl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b w:val="0"/>
                <w:bCs w:val="0"/>
                <w:color w:val="000000" w:themeColor="text1"/>
                <w:spacing w:val="5"/>
                <w:position w:val="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pacing w:val="5"/>
                <w:position w:val="1"/>
                <w:sz w:val="21"/>
                <w:szCs w:val="21"/>
                <w:highlight w:val="none"/>
                <w:lang w:val="en-US" w:eastAsia="zh-CN"/>
                <w14:textFill>
                  <w14:solidFill>
                    <w14:schemeClr w14:val="tx1"/>
                  </w14:solidFill>
                </w14:textFill>
              </w:rPr>
              <w:t>（GB3095-2012）（含 2018 年修改单）表1中二级标准</w:t>
            </w:r>
          </w:p>
        </w:tc>
      </w:tr>
      <w:tr w14:paraId="704E8B7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1673" w:type="dxa"/>
            <w:gridSpan w:val="2"/>
            <w:vMerge w:val="restart"/>
            <w:tcBorders>
              <w:tl2br w:val="nil"/>
              <w:tr2bl w:val="nil"/>
            </w:tcBorders>
            <w:vAlign w:val="center"/>
          </w:tcPr>
          <w:p w14:paraId="759E5720">
            <w:pPr>
              <w:keepNext w:val="0"/>
              <w:keepLines w:val="0"/>
              <w:pageBreakBefore w:val="0"/>
              <w:widowControl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color w:val="000000" w:themeColor="text1"/>
                <w:spacing w:val="5"/>
                <w:position w:val="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pacing w:val="5"/>
                <w:position w:val="1"/>
                <w:sz w:val="21"/>
                <w:szCs w:val="21"/>
                <w:highlight w:val="none"/>
                <w:lang w:val="en-US" w:eastAsia="zh-CN"/>
                <w14:textFill>
                  <w14:solidFill>
                    <w14:schemeClr w14:val="tx1"/>
                  </w14:solidFill>
                </w14:textFill>
              </w:rPr>
              <w:t>地下水</w:t>
            </w:r>
          </w:p>
        </w:tc>
        <w:tc>
          <w:tcPr>
            <w:tcW w:w="2500" w:type="dxa"/>
            <w:tcBorders>
              <w:tl2br w:val="nil"/>
              <w:tr2bl w:val="nil"/>
            </w:tcBorders>
            <w:vAlign w:val="center"/>
          </w:tcPr>
          <w:p w14:paraId="7D3F8C9E">
            <w:pPr>
              <w:keepNext w:val="0"/>
              <w:keepLines w:val="0"/>
              <w:pageBreakBefore w:val="0"/>
              <w:widowControl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b w:val="0"/>
                <w:bCs w:val="0"/>
                <w:color w:val="000000" w:themeColor="text1"/>
                <w:spacing w:val="5"/>
                <w:position w:val="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pacing w:val="5"/>
                <w:position w:val="1"/>
                <w:sz w:val="21"/>
                <w:szCs w:val="21"/>
                <w:highlight w:val="none"/>
                <w:lang w:val="en-US" w:eastAsia="zh-CN"/>
                <w14:textFill>
                  <w14:solidFill>
                    <w14:schemeClr w14:val="tx1"/>
                  </w14:solidFill>
                </w14:textFill>
              </w:rPr>
              <w:t>西山地下饮用水源地二级保护区</w:t>
            </w:r>
          </w:p>
        </w:tc>
        <w:tc>
          <w:tcPr>
            <w:tcW w:w="4179" w:type="dxa"/>
            <w:tcBorders>
              <w:tl2br w:val="nil"/>
              <w:tr2bl w:val="nil"/>
            </w:tcBorders>
            <w:vAlign w:val="center"/>
          </w:tcPr>
          <w:p w14:paraId="1152266A">
            <w:pPr>
              <w:keepNext w:val="0"/>
              <w:keepLines w:val="0"/>
              <w:pageBreakBefore w:val="0"/>
              <w:widowControl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b w:val="0"/>
                <w:bCs w:val="0"/>
                <w:color w:val="000000" w:themeColor="text1"/>
                <w:spacing w:val="5"/>
                <w:position w:val="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pacing w:val="5"/>
                <w:position w:val="1"/>
                <w:sz w:val="21"/>
                <w:szCs w:val="21"/>
                <w:highlight w:val="none"/>
                <w:lang w:val="en-US" w:eastAsia="zh-CN"/>
                <w14:textFill>
                  <w14:solidFill>
                    <w14:schemeClr w14:val="tx1"/>
                  </w14:solidFill>
                </w14:textFill>
              </w:rPr>
              <w:t>3台风机（H5、H6、H9）占用</w:t>
            </w:r>
          </w:p>
        </w:tc>
        <w:tc>
          <w:tcPr>
            <w:tcW w:w="2750" w:type="dxa"/>
            <w:vMerge w:val="restart"/>
            <w:tcBorders>
              <w:tl2br w:val="nil"/>
              <w:tr2bl w:val="nil"/>
            </w:tcBorders>
            <w:vAlign w:val="center"/>
          </w:tcPr>
          <w:p w14:paraId="3B4F9EB5">
            <w:pPr>
              <w:keepNext w:val="0"/>
              <w:keepLines w:val="0"/>
              <w:pageBreakBefore w:val="0"/>
              <w:widowControl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color w:val="000000" w:themeColor="text1"/>
                <w:spacing w:val="5"/>
                <w:position w:val="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pacing w:val="5"/>
                <w:position w:val="1"/>
                <w:sz w:val="21"/>
                <w:szCs w:val="21"/>
                <w:highlight w:val="none"/>
                <w:lang w:val="en-US" w:eastAsia="zh-CN"/>
                <w14:textFill>
                  <w14:solidFill>
                    <w14:schemeClr w14:val="tx1"/>
                  </w14:solidFill>
                </w14:textFill>
              </w:rPr>
              <w:t>地下水潜水水质</w:t>
            </w:r>
          </w:p>
        </w:tc>
        <w:tc>
          <w:tcPr>
            <w:tcW w:w="2840" w:type="dxa"/>
            <w:vMerge w:val="restart"/>
            <w:tcBorders>
              <w:tl2br w:val="nil"/>
              <w:tr2bl w:val="nil"/>
            </w:tcBorders>
            <w:vAlign w:val="center"/>
          </w:tcPr>
          <w:p w14:paraId="11B49406">
            <w:pPr>
              <w:keepNext w:val="0"/>
              <w:keepLines w:val="0"/>
              <w:pageBreakBefore w:val="0"/>
              <w:widowControl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color w:val="000000" w:themeColor="text1"/>
                <w:spacing w:val="5"/>
                <w:position w:val="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pacing w:val="5"/>
                <w:position w:val="1"/>
                <w:sz w:val="21"/>
                <w:szCs w:val="21"/>
                <w:highlight w:val="none"/>
                <w:lang w:val="en-US" w:eastAsia="zh-CN"/>
                <w14:textFill>
                  <w14:solidFill>
                    <w14:schemeClr w14:val="tx1"/>
                  </w14:solidFill>
                </w14:textFill>
              </w:rPr>
              <w:t>《地下水质量标准》(GB/T14848-2017)Ⅲ类</w:t>
            </w:r>
          </w:p>
        </w:tc>
      </w:tr>
      <w:tr w14:paraId="05976E5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1673" w:type="dxa"/>
            <w:gridSpan w:val="2"/>
            <w:vMerge w:val="continue"/>
            <w:tcBorders>
              <w:tl2br w:val="nil"/>
              <w:tr2bl w:val="nil"/>
            </w:tcBorders>
            <w:vAlign w:val="center"/>
          </w:tcPr>
          <w:p w14:paraId="591BE4A0">
            <w:pPr>
              <w:keepNext w:val="0"/>
              <w:keepLines w:val="0"/>
              <w:pageBreakBefore w:val="0"/>
              <w:widowControl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color w:val="FF0000"/>
                <w:spacing w:val="5"/>
                <w:position w:val="1"/>
                <w:sz w:val="21"/>
                <w:szCs w:val="21"/>
                <w:highlight w:val="none"/>
                <w:lang w:val="en-US" w:eastAsia="zh-CN"/>
              </w:rPr>
            </w:pPr>
          </w:p>
        </w:tc>
        <w:tc>
          <w:tcPr>
            <w:tcW w:w="2500" w:type="dxa"/>
            <w:tcBorders>
              <w:tl2br w:val="nil"/>
              <w:tr2bl w:val="nil"/>
            </w:tcBorders>
            <w:vAlign w:val="center"/>
          </w:tcPr>
          <w:p w14:paraId="405870B5">
            <w:pPr>
              <w:keepNext w:val="0"/>
              <w:keepLines w:val="0"/>
              <w:pageBreakBefore w:val="0"/>
              <w:widowControl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b w:val="0"/>
                <w:bCs w:val="0"/>
                <w:color w:val="000000" w:themeColor="text1"/>
                <w:spacing w:val="5"/>
                <w:position w:val="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pacing w:val="5"/>
                <w:position w:val="1"/>
                <w:sz w:val="21"/>
                <w:szCs w:val="21"/>
                <w:highlight w:val="none"/>
                <w:lang w:val="en-US" w:eastAsia="zh-CN"/>
                <w14:textFill>
                  <w14:solidFill>
                    <w14:schemeClr w14:val="tx1"/>
                  </w14:solidFill>
                </w14:textFill>
              </w:rPr>
              <w:t>甘河子（含铁路专供）地下饮用水源地二级保护区</w:t>
            </w:r>
          </w:p>
        </w:tc>
        <w:tc>
          <w:tcPr>
            <w:tcW w:w="4179" w:type="dxa"/>
            <w:tcBorders>
              <w:tl2br w:val="nil"/>
              <w:tr2bl w:val="nil"/>
            </w:tcBorders>
            <w:vAlign w:val="center"/>
          </w:tcPr>
          <w:p w14:paraId="050832F1">
            <w:pPr>
              <w:keepNext w:val="0"/>
              <w:keepLines w:val="0"/>
              <w:pageBreakBefore w:val="0"/>
              <w:widowControl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b w:val="0"/>
                <w:bCs w:val="0"/>
                <w:color w:val="000000" w:themeColor="text1"/>
                <w:spacing w:val="5"/>
                <w:position w:val="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pacing w:val="5"/>
                <w:position w:val="1"/>
                <w:sz w:val="21"/>
                <w:szCs w:val="21"/>
                <w:highlight w:val="none"/>
                <w:lang w:val="en-US" w:eastAsia="zh-CN"/>
                <w14:textFill>
                  <w14:solidFill>
                    <w14:schemeClr w14:val="tx1"/>
                  </w14:solidFill>
                </w14:textFill>
              </w:rPr>
              <w:t>3台风机(H1、H2、H3)占用</w:t>
            </w:r>
          </w:p>
        </w:tc>
        <w:tc>
          <w:tcPr>
            <w:tcW w:w="2750" w:type="dxa"/>
            <w:vMerge w:val="continue"/>
            <w:tcBorders>
              <w:tl2br w:val="nil"/>
              <w:tr2bl w:val="nil"/>
            </w:tcBorders>
            <w:vAlign w:val="center"/>
          </w:tcPr>
          <w:p w14:paraId="4F0E264C">
            <w:pPr>
              <w:keepNext w:val="0"/>
              <w:keepLines w:val="0"/>
              <w:pageBreakBefore w:val="0"/>
              <w:widowControl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color w:val="FF0000"/>
                <w:spacing w:val="5"/>
                <w:position w:val="1"/>
                <w:sz w:val="21"/>
                <w:szCs w:val="21"/>
                <w:highlight w:val="yellow"/>
                <w:lang w:val="en-US" w:eastAsia="zh-CN"/>
              </w:rPr>
            </w:pPr>
          </w:p>
        </w:tc>
        <w:tc>
          <w:tcPr>
            <w:tcW w:w="2840" w:type="dxa"/>
            <w:vMerge w:val="continue"/>
            <w:tcBorders>
              <w:tl2br w:val="nil"/>
              <w:tr2bl w:val="nil"/>
            </w:tcBorders>
            <w:vAlign w:val="center"/>
          </w:tcPr>
          <w:p w14:paraId="386A9BF1">
            <w:pPr>
              <w:keepNext w:val="0"/>
              <w:keepLines w:val="0"/>
              <w:pageBreakBefore w:val="0"/>
              <w:widowControl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color w:val="FF0000"/>
                <w:spacing w:val="5"/>
                <w:position w:val="1"/>
                <w:sz w:val="21"/>
                <w:szCs w:val="21"/>
                <w:highlight w:val="yellow"/>
                <w:lang w:val="en-US" w:eastAsia="zh-CN"/>
              </w:rPr>
            </w:pPr>
          </w:p>
        </w:tc>
      </w:tr>
      <w:tr w14:paraId="0A1CE99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1673" w:type="dxa"/>
            <w:gridSpan w:val="2"/>
            <w:vMerge w:val="continue"/>
            <w:tcBorders>
              <w:tl2br w:val="nil"/>
              <w:tr2bl w:val="nil"/>
            </w:tcBorders>
            <w:vAlign w:val="center"/>
          </w:tcPr>
          <w:p w14:paraId="6B6E2113">
            <w:pPr>
              <w:keepNext w:val="0"/>
              <w:keepLines w:val="0"/>
              <w:pageBreakBefore w:val="0"/>
              <w:widowControl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color w:val="FF0000"/>
                <w:spacing w:val="5"/>
                <w:position w:val="1"/>
                <w:sz w:val="21"/>
                <w:szCs w:val="21"/>
                <w:highlight w:val="none"/>
                <w:lang w:val="en-US" w:eastAsia="zh-CN"/>
              </w:rPr>
            </w:pPr>
          </w:p>
        </w:tc>
        <w:tc>
          <w:tcPr>
            <w:tcW w:w="2500" w:type="dxa"/>
            <w:tcBorders>
              <w:tl2br w:val="nil"/>
              <w:tr2bl w:val="nil"/>
            </w:tcBorders>
            <w:vAlign w:val="center"/>
          </w:tcPr>
          <w:p w14:paraId="0F857B14">
            <w:pPr>
              <w:keepNext w:val="0"/>
              <w:keepLines w:val="0"/>
              <w:pageBreakBefore w:val="0"/>
              <w:widowControl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b w:val="0"/>
                <w:bCs w:val="0"/>
                <w:color w:val="000000" w:themeColor="text1"/>
                <w:spacing w:val="5"/>
                <w:position w:val="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pacing w:val="5"/>
                <w:position w:val="1"/>
                <w:sz w:val="21"/>
                <w:szCs w:val="21"/>
                <w:highlight w:val="none"/>
                <w:lang w:val="en-US" w:eastAsia="zh-CN"/>
                <w14:textFill>
                  <w14:solidFill>
                    <w14:schemeClr w14:val="tx1"/>
                  </w14:solidFill>
                </w14:textFill>
              </w:rPr>
              <w:t>乌拉泊、柴西、柴北、西山、甘河子（含铁路专供）准保护区</w:t>
            </w:r>
          </w:p>
        </w:tc>
        <w:tc>
          <w:tcPr>
            <w:tcW w:w="4179" w:type="dxa"/>
            <w:tcBorders>
              <w:tl2br w:val="nil"/>
              <w:tr2bl w:val="nil"/>
            </w:tcBorders>
            <w:vAlign w:val="center"/>
          </w:tcPr>
          <w:p w14:paraId="687539A3">
            <w:pPr>
              <w:keepNext w:val="0"/>
              <w:keepLines w:val="0"/>
              <w:pageBreakBefore w:val="0"/>
              <w:widowControl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b w:val="0"/>
                <w:bCs w:val="0"/>
                <w:color w:val="000000" w:themeColor="text1"/>
                <w:spacing w:val="5"/>
                <w:position w:val="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pacing w:val="5"/>
                <w:position w:val="1"/>
                <w:sz w:val="21"/>
                <w:szCs w:val="21"/>
                <w:highlight w:val="none"/>
                <w:lang w:val="en-US" w:eastAsia="zh-CN"/>
                <w14:textFill>
                  <w14:solidFill>
                    <w14:schemeClr w14:val="tx1"/>
                  </w14:solidFill>
                </w14:textFill>
              </w:rPr>
              <w:t>7台风机(H4、H7、H8、H10-H13)占用</w:t>
            </w:r>
          </w:p>
        </w:tc>
        <w:tc>
          <w:tcPr>
            <w:tcW w:w="2750" w:type="dxa"/>
            <w:vMerge w:val="continue"/>
            <w:tcBorders>
              <w:tl2br w:val="nil"/>
              <w:tr2bl w:val="nil"/>
            </w:tcBorders>
            <w:vAlign w:val="center"/>
          </w:tcPr>
          <w:p w14:paraId="5C14AC07">
            <w:pPr>
              <w:keepNext w:val="0"/>
              <w:keepLines w:val="0"/>
              <w:pageBreakBefore w:val="0"/>
              <w:widowControl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color w:val="FF0000"/>
                <w:spacing w:val="5"/>
                <w:position w:val="1"/>
                <w:sz w:val="21"/>
                <w:szCs w:val="21"/>
                <w:highlight w:val="yellow"/>
                <w:lang w:val="en-US" w:eastAsia="zh-CN"/>
              </w:rPr>
            </w:pPr>
          </w:p>
        </w:tc>
        <w:tc>
          <w:tcPr>
            <w:tcW w:w="2840" w:type="dxa"/>
            <w:vMerge w:val="continue"/>
            <w:tcBorders>
              <w:tl2br w:val="nil"/>
              <w:tr2bl w:val="nil"/>
            </w:tcBorders>
            <w:vAlign w:val="center"/>
          </w:tcPr>
          <w:p w14:paraId="315EB0F6">
            <w:pPr>
              <w:keepNext w:val="0"/>
              <w:keepLines w:val="0"/>
              <w:pageBreakBefore w:val="0"/>
              <w:widowControl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color w:val="FF0000"/>
                <w:spacing w:val="5"/>
                <w:position w:val="1"/>
                <w:sz w:val="21"/>
                <w:szCs w:val="21"/>
                <w:highlight w:val="yellow"/>
                <w:lang w:val="en-US" w:eastAsia="zh-CN"/>
              </w:rPr>
            </w:pPr>
          </w:p>
        </w:tc>
      </w:tr>
      <w:tr w14:paraId="3EC7693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1673" w:type="dxa"/>
            <w:gridSpan w:val="2"/>
            <w:vMerge w:val="restart"/>
            <w:tcBorders>
              <w:tl2br w:val="nil"/>
              <w:tr2bl w:val="nil"/>
            </w:tcBorders>
            <w:vAlign w:val="center"/>
          </w:tcPr>
          <w:p w14:paraId="246EAB86">
            <w:pPr>
              <w:keepNext w:val="0"/>
              <w:keepLines w:val="0"/>
              <w:pageBreakBefore w:val="0"/>
              <w:widowControl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color w:val="000000" w:themeColor="text1"/>
                <w:spacing w:val="5"/>
                <w:position w:val="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pacing w:val="5"/>
                <w:position w:val="1"/>
                <w:sz w:val="21"/>
                <w:szCs w:val="21"/>
                <w:highlight w:val="none"/>
                <w:lang w:val="en-US" w:eastAsia="zh-CN"/>
                <w14:textFill>
                  <w14:solidFill>
                    <w14:schemeClr w14:val="tx1"/>
                  </w14:solidFill>
                </w14:textFill>
              </w:rPr>
              <w:t>地表水</w:t>
            </w:r>
          </w:p>
        </w:tc>
        <w:tc>
          <w:tcPr>
            <w:tcW w:w="2500" w:type="dxa"/>
            <w:tcBorders>
              <w:tl2br w:val="nil"/>
              <w:tr2bl w:val="nil"/>
            </w:tcBorders>
            <w:vAlign w:val="center"/>
          </w:tcPr>
          <w:p w14:paraId="6B59A7C6">
            <w:pPr>
              <w:keepNext w:val="0"/>
              <w:keepLines w:val="0"/>
              <w:pageBreakBefore w:val="0"/>
              <w:widowControl/>
              <w:suppressLineNumbers w:val="0"/>
              <w:kinsoku/>
              <w:wordWrap/>
              <w:topLinePunct w:val="0"/>
              <w:bidi w:val="0"/>
              <w:adjustRightInd w:val="0"/>
              <w:snapToGrid w:val="0"/>
              <w:spacing w:line="320" w:lineRule="exact"/>
              <w:ind w:left="0" w:leftChars="0" w:firstLine="0" w:firstLineChars="0"/>
              <w:jc w:val="center"/>
              <w:rPr>
                <w:rFonts w:hint="default" w:ascii="Times New Roman" w:hAnsi="Times New Roman" w:cs="Times New Roman" w:eastAsiaTheme="minorEastAsia"/>
                <w:color w:val="000000" w:themeColor="text1"/>
                <w:spacing w:val="5"/>
                <w:position w:val="1"/>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0"/>
                <w:sz w:val="20"/>
                <w:szCs w:val="20"/>
                <w:lang w:val="en-US" w:eastAsia="zh-CN" w:bidi="ar"/>
                <w14:textFill>
                  <w14:solidFill>
                    <w14:schemeClr w14:val="tx1"/>
                  </w14:solidFill>
                </w14:textFill>
              </w:rPr>
              <w:t>乌拉泊水库</w:t>
            </w:r>
          </w:p>
        </w:tc>
        <w:tc>
          <w:tcPr>
            <w:tcW w:w="4179" w:type="dxa"/>
            <w:tcBorders>
              <w:tl2br w:val="nil"/>
              <w:tr2bl w:val="nil"/>
            </w:tcBorders>
            <w:vAlign w:val="center"/>
          </w:tcPr>
          <w:p w14:paraId="4C999188">
            <w:pPr>
              <w:keepNext w:val="0"/>
              <w:keepLines w:val="0"/>
              <w:pageBreakBefore w:val="0"/>
              <w:widowControl/>
              <w:suppressLineNumbers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color w:val="FF0000"/>
                <w:spacing w:val="5"/>
                <w:position w:val="1"/>
                <w:sz w:val="21"/>
                <w:szCs w:val="21"/>
                <w:highlight w:val="none"/>
                <w:lang w:val="en-US" w:eastAsia="zh-CN"/>
              </w:rPr>
            </w:pPr>
            <w:r>
              <w:rPr>
                <w:rFonts w:hint="eastAsia" w:ascii="Times New Roman" w:hAnsi="Times New Roman" w:cs="Times New Roman" w:eastAsiaTheme="minorEastAsia"/>
                <w:b w:val="0"/>
                <w:bCs w:val="0"/>
                <w:color w:val="000000" w:themeColor="text1"/>
                <w:kern w:val="0"/>
                <w:sz w:val="21"/>
                <w:szCs w:val="21"/>
                <w:highlight w:val="none"/>
                <w:lang w:val="en-US" w:eastAsia="zh-CN" w:bidi="ar"/>
                <w14:textFill>
                  <w14:solidFill>
                    <w14:schemeClr w14:val="tx1"/>
                  </w14:solidFill>
                </w14:textFill>
              </w:rPr>
              <w:t>H1风机东</w:t>
            </w:r>
            <w:r>
              <w:rPr>
                <w:rFonts w:hint="default" w:ascii="Times New Roman" w:hAnsi="Times New Roman" w:cs="Times New Roman" w:eastAsiaTheme="minorEastAsia"/>
                <w:b w:val="0"/>
                <w:bCs w:val="0"/>
                <w:color w:val="000000" w:themeColor="text1"/>
                <w:kern w:val="0"/>
                <w:sz w:val="21"/>
                <w:szCs w:val="21"/>
                <w:highlight w:val="none"/>
                <w:lang w:val="en-US" w:eastAsia="zh-CN" w:bidi="ar"/>
                <w14:textFill>
                  <w14:solidFill>
                    <w14:schemeClr w14:val="tx1"/>
                  </w14:solidFill>
                </w14:textFill>
              </w:rPr>
              <w:t>南侧5.</w:t>
            </w:r>
            <w:r>
              <w:rPr>
                <w:rFonts w:hint="eastAsia" w:ascii="Times New Roman" w:hAnsi="Times New Roman" w:cs="Times New Roman" w:eastAsiaTheme="minorEastAsia"/>
                <w:b w:val="0"/>
                <w:bCs w:val="0"/>
                <w:color w:val="000000" w:themeColor="text1"/>
                <w:kern w:val="0"/>
                <w:sz w:val="21"/>
                <w:szCs w:val="21"/>
                <w:highlight w:val="none"/>
                <w:lang w:val="en-US" w:eastAsia="zh-CN" w:bidi="ar"/>
                <w14:textFill>
                  <w14:solidFill>
                    <w14:schemeClr w14:val="tx1"/>
                  </w14:solidFill>
                </w14:textFill>
              </w:rPr>
              <w:t>1</w:t>
            </w:r>
            <w:r>
              <w:rPr>
                <w:rFonts w:hint="default" w:ascii="Times New Roman" w:hAnsi="Times New Roman" w:cs="Times New Roman" w:eastAsiaTheme="minorEastAsia"/>
                <w:b w:val="0"/>
                <w:bCs w:val="0"/>
                <w:color w:val="000000" w:themeColor="text1"/>
                <w:kern w:val="0"/>
                <w:sz w:val="21"/>
                <w:szCs w:val="21"/>
                <w:highlight w:val="none"/>
                <w:lang w:val="en-US" w:eastAsia="zh-CN" w:bidi="ar"/>
                <w14:textFill>
                  <w14:solidFill>
                    <w14:schemeClr w14:val="tx1"/>
                  </w14:solidFill>
                </w14:textFill>
              </w:rPr>
              <w:t>km</w:t>
            </w:r>
          </w:p>
        </w:tc>
        <w:tc>
          <w:tcPr>
            <w:tcW w:w="2750" w:type="dxa"/>
            <w:vMerge w:val="restart"/>
            <w:tcBorders>
              <w:tl2br w:val="nil"/>
              <w:tr2bl w:val="nil"/>
            </w:tcBorders>
            <w:vAlign w:val="center"/>
          </w:tcPr>
          <w:p w14:paraId="5ED24914">
            <w:pPr>
              <w:keepNext w:val="0"/>
              <w:keepLines w:val="0"/>
              <w:pageBreakBefore w:val="0"/>
              <w:widowControl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color w:val="000000" w:themeColor="text1"/>
                <w:spacing w:val="5"/>
                <w:position w:val="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pacing w:val="5"/>
                <w:position w:val="1"/>
                <w:sz w:val="21"/>
                <w:szCs w:val="21"/>
                <w:highlight w:val="none"/>
                <w:lang w:val="en-US" w:eastAsia="zh-CN"/>
                <w14:textFill>
                  <w14:solidFill>
                    <w14:schemeClr w14:val="tx1"/>
                  </w14:solidFill>
                </w14:textFill>
              </w:rPr>
              <w:t>地表水水质</w:t>
            </w:r>
          </w:p>
        </w:tc>
        <w:tc>
          <w:tcPr>
            <w:tcW w:w="2840" w:type="dxa"/>
            <w:tcBorders>
              <w:tl2br w:val="nil"/>
              <w:tr2bl w:val="nil"/>
            </w:tcBorders>
            <w:vAlign w:val="center"/>
          </w:tcPr>
          <w:p w14:paraId="2FC4932E">
            <w:pPr>
              <w:keepNext w:val="0"/>
              <w:keepLines w:val="0"/>
              <w:pageBreakBefore w:val="0"/>
              <w:widowControl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color w:val="000000" w:themeColor="text1"/>
                <w:spacing w:val="5"/>
                <w:position w:val="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pacing w:val="5"/>
                <w:position w:val="1"/>
                <w:sz w:val="21"/>
                <w:szCs w:val="21"/>
                <w:highlight w:val="none"/>
                <w:lang w:val="en-US" w:eastAsia="zh-CN"/>
                <w14:textFill>
                  <w14:solidFill>
                    <w14:schemeClr w14:val="tx1"/>
                  </w14:solidFill>
                </w14:textFill>
              </w:rPr>
              <w:t>《地表水环境质量标准》(GB3838-2002)Ⅱ类标准</w:t>
            </w:r>
          </w:p>
        </w:tc>
      </w:tr>
      <w:tr w14:paraId="5EEEC8C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1673" w:type="dxa"/>
            <w:gridSpan w:val="2"/>
            <w:vMerge w:val="continue"/>
            <w:tcBorders>
              <w:tl2br w:val="nil"/>
              <w:tr2bl w:val="nil"/>
            </w:tcBorders>
            <w:vAlign w:val="center"/>
          </w:tcPr>
          <w:p w14:paraId="23C926A0">
            <w:pPr>
              <w:keepNext w:val="0"/>
              <w:keepLines w:val="0"/>
              <w:pageBreakBefore w:val="0"/>
              <w:widowControl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color w:val="000000" w:themeColor="text1"/>
                <w:spacing w:val="5"/>
                <w:position w:val="1"/>
                <w:sz w:val="21"/>
                <w:szCs w:val="21"/>
                <w:highlight w:val="none"/>
                <w:lang w:val="en-US" w:eastAsia="zh-CN"/>
                <w14:textFill>
                  <w14:solidFill>
                    <w14:schemeClr w14:val="tx1"/>
                  </w14:solidFill>
                </w14:textFill>
              </w:rPr>
            </w:pPr>
          </w:p>
        </w:tc>
        <w:tc>
          <w:tcPr>
            <w:tcW w:w="2500" w:type="dxa"/>
            <w:tcBorders>
              <w:tl2br w:val="nil"/>
              <w:tr2bl w:val="nil"/>
            </w:tcBorders>
            <w:vAlign w:val="center"/>
          </w:tcPr>
          <w:p w14:paraId="377883BD">
            <w:pPr>
              <w:keepNext w:val="0"/>
              <w:keepLines w:val="0"/>
              <w:pageBreakBefore w:val="0"/>
              <w:widowControl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color w:val="000000" w:themeColor="text1"/>
                <w:spacing w:val="5"/>
                <w:position w:val="1"/>
                <w:sz w:val="21"/>
                <w:szCs w:val="21"/>
                <w:highlight w:val="none"/>
                <w:lang w:val="en-US" w:eastAsia="zh-CN"/>
                <w14:textFill>
                  <w14:solidFill>
                    <w14:schemeClr w14:val="tx1"/>
                  </w14:solidFill>
                </w14:textFill>
              </w:rPr>
            </w:pPr>
            <w:r>
              <w:rPr>
                <w:rFonts w:hint="eastAsia" w:cs="Times New Roman" w:eastAsiaTheme="minorEastAsia"/>
                <w:color w:val="000000" w:themeColor="text1"/>
                <w:spacing w:val="5"/>
                <w:position w:val="1"/>
                <w:sz w:val="21"/>
                <w:szCs w:val="21"/>
                <w:highlight w:val="none"/>
                <w:lang w:val="en-US" w:eastAsia="zh-CN"/>
                <w14:textFill>
                  <w14:solidFill>
                    <w14:schemeClr w14:val="tx1"/>
                  </w14:solidFill>
                </w14:textFill>
              </w:rPr>
              <w:t>乌鲁木齐河</w:t>
            </w:r>
          </w:p>
        </w:tc>
        <w:tc>
          <w:tcPr>
            <w:tcW w:w="4179" w:type="dxa"/>
            <w:tcBorders>
              <w:tl2br w:val="nil"/>
              <w:tr2bl w:val="nil"/>
            </w:tcBorders>
            <w:vAlign w:val="center"/>
          </w:tcPr>
          <w:p w14:paraId="3CBC3117">
            <w:pPr>
              <w:keepNext w:val="0"/>
              <w:keepLines w:val="0"/>
              <w:pageBreakBefore w:val="0"/>
              <w:widowControl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color w:val="FF0000"/>
                <w:spacing w:val="5"/>
                <w:position w:val="1"/>
                <w:sz w:val="21"/>
                <w:szCs w:val="21"/>
                <w:highlight w:val="none"/>
                <w:lang w:val="en-US" w:eastAsia="zh-CN"/>
              </w:rPr>
            </w:pPr>
            <w:r>
              <w:rPr>
                <w:rFonts w:hint="eastAsia" w:ascii="Times New Roman" w:hAnsi="Times New Roman" w:cs="Times New Roman" w:eastAsiaTheme="minorEastAsia"/>
                <w:b w:val="0"/>
                <w:bCs w:val="0"/>
                <w:color w:val="000000" w:themeColor="text1"/>
                <w:kern w:val="0"/>
                <w:sz w:val="21"/>
                <w:szCs w:val="21"/>
                <w:highlight w:val="none"/>
                <w:lang w:val="en-US" w:eastAsia="zh-CN" w:bidi="ar"/>
                <w14:textFill>
                  <w14:solidFill>
                    <w14:schemeClr w14:val="tx1"/>
                  </w14:solidFill>
                </w14:textFill>
              </w:rPr>
              <w:t>H1风机东</w:t>
            </w:r>
            <w:r>
              <w:rPr>
                <w:rFonts w:hint="default" w:ascii="Times New Roman" w:hAnsi="Times New Roman" w:cs="Times New Roman" w:eastAsiaTheme="minorEastAsia"/>
                <w:b w:val="0"/>
                <w:bCs w:val="0"/>
                <w:color w:val="000000" w:themeColor="text1"/>
                <w:kern w:val="0"/>
                <w:sz w:val="21"/>
                <w:szCs w:val="21"/>
                <w:highlight w:val="none"/>
                <w:lang w:val="en-US" w:eastAsia="zh-CN" w:bidi="ar"/>
                <w14:textFill>
                  <w14:solidFill>
                    <w14:schemeClr w14:val="tx1"/>
                  </w14:solidFill>
                </w14:textFill>
              </w:rPr>
              <w:t>南</w:t>
            </w:r>
            <w:r>
              <w:rPr>
                <w:rFonts w:hint="eastAsia" w:ascii="Times New Roman" w:hAnsi="Times New Roman" w:cs="Times New Roman" w:eastAsiaTheme="minorEastAsia"/>
                <w:b w:val="0"/>
                <w:bCs w:val="0"/>
                <w:color w:val="000000" w:themeColor="text1"/>
                <w:kern w:val="0"/>
                <w:sz w:val="21"/>
                <w:szCs w:val="21"/>
                <w:highlight w:val="none"/>
                <w:lang w:val="en-US" w:eastAsia="zh-CN" w:bidi="ar"/>
                <w14:textFill>
                  <w14:solidFill>
                    <w14:schemeClr w14:val="tx1"/>
                  </w14:solidFill>
                </w14:textFill>
              </w:rPr>
              <w:t>偏南</w:t>
            </w:r>
            <w:r>
              <w:rPr>
                <w:rFonts w:hint="default" w:ascii="Times New Roman" w:hAnsi="Times New Roman" w:cs="Times New Roman" w:eastAsiaTheme="minorEastAsia"/>
                <w:b w:val="0"/>
                <w:bCs w:val="0"/>
                <w:color w:val="000000" w:themeColor="text1"/>
                <w:kern w:val="0"/>
                <w:sz w:val="21"/>
                <w:szCs w:val="21"/>
                <w:highlight w:val="none"/>
                <w:lang w:val="en-US" w:eastAsia="zh-CN" w:bidi="ar"/>
                <w14:textFill>
                  <w14:solidFill>
                    <w14:schemeClr w14:val="tx1"/>
                  </w14:solidFill>
                </w14:textFill>
              </w:rPr>
              <w:t>侧</w:t>
            </w:r>
            <w:r>
              <w:rPr>
                <w:rFonts w:hint="eastAsia" w:ascii="Times New Roman" w:hAnsi="Times New Roman" w:cs="Times New Roman" w:eastAsiaTheme="minorEastAsia"/>
                <w:b w:val="0"/>
                <w:bCs w:val="0"/>
                <w:color w:val="000000" w:themeColor="text1"/>
                <w:kern w:val="0"/>
                <w:sz w:val="21"/>
                <w:szCs w:val="21"/>
                <w:highlight w:val="none"/>
                <w:lang w:val="en-US" w:eastAsia="zh-CN" w:bidi="ar"/>
                <w14:textFill>
                  <w14:solidFill>
                    <w14:schemeClr w14:val="tx1"/>
                  </w14:solidFill>
                </w14:textFill>
              </w:rPr>
              <w:t>3.7</w:t>
            </w:r>
            <w:r>
              <w:rPr>
                <w:rFonts w:hint="default" w:ascii="Times New Roman" w:hAnsi="Times New Roman" w:cs="Times New Roman" w:eastAsiaTheme="minorEastAsia"/>
                <w:b w:val="0"/>
                <w:bCs w:val="0"/>
                <w:color w:val="000000" w:themeColor="text1"/>
                <w:kern w:val="0"/>
                <w:sz w:val="21"/>
                <w:szCs w:val="21"/>
                <w:highlight w:val="none"/>
                <w:lang w:val="en-US" w:eastAsia="zh-CN" w:bidi="ar"/>
                <w14:textFill>
                  <w14:solidFill>
                    <w14:schemeClr w14:val="tx1"/>
                  </w14:solidFill>
                </w14:textFill>
              </w:rPr>
              <w:t>km</w:t>
            </w:r>
          </w:p>
        </w:tc>
        <w:tc>
          <w:tcPr>
            <w:tcW w:w="2750" w:type="dxa"/>
            <w:vMerge w:val="continue"/>
            <w:tcBorders>
              <w:tl2br w:val="nil"/>
              <w:tr2bl w:val="nil"/>
            </w:tcBorders>
            <w:vAlign w:val="center"/>
          </w:tcPr>
          <w:p w14:paraId="25540032">
            <w:pPr>
              <w:keepNext w:val="0"/>
              <w:keepLines w:val="0"/>
              <w:pageBreakBefore w:val="0"/>
              <w:widowControl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color w:val="000000" w:themeColor="text1"/>
                <w:spacing w:val="5"/>
                <w:position w:val="1"/>
                <w:sz w:val="21"/>
                <w:szCs w:val="21"/>
                <w:highlight w:val="none"/>
                <w:lang w:val="en-US" w:eastAsia="zh-CN"/>
                <w14:textFill>
                  <w14:solidFill>
                    <w14:schemeClr w14:val="tx1"/>
                  </w14:solidFill>
                </w14:textFill>
              </w:rPr>
            </w:pPr>
          </w:p>
        </w:tc>
        <w:tc>
          <w:tcPr>
            <w:tcW w:w="2840" w:type="dxa"/>
            <w:tcBorders>
              <w:tl2br w:val="nil"/>
              <w:tr2bl w:val="nil"/>
            </w:tcBorders>
            <w:vAlign w:val="center"/>
          </w:tcPr>
          <w:p w14:paraId="399C275A">
            <w:pPr>
              <w:keepNext w:val="0"/>
              <w:keepLines w:val="0"/>
              <w:pageBreakBefore w:val="0"/>
              <w:widowControl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color w:val="000000" w:themeColor="text1"/>
                <w:spacing w:val="5"/>
                <w:position w:val="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pacing w:val="5"/>
                <w:position w:val="1"/>
                <w:sz w:val="21"/>
                <w:szCs w:val="21"/>
                <w:highlight w:val="none"/>
                <w:lang w:val="en-US" w:eastAsia="zh-CN"/>
                <w14:textFill>
                  <w14:solidFill>
                    <w14:schemeClr w14:val="tx1"/>
                  </w14:solidFill>
                </w14:textFill>
              </w:rPr>
              <w:t>《地表水环境质量标准》(GB3838-2002)Ⅲ类标准</w:t>
            </w:r>
          </w:p>
        </w:tc>
      </w:tr>
      <w:tr w14:paraId="724C9E1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1673" w:type="dxa"/>
            <w:gridSpan w:val="2"/>
            <w:tcBorders>
              <w:tl2br w:val="nil"/>
              <w:tr2bl w:val="nil"/>
            </w:tcBorders>
            <w:vAlign w:val="center"/>
          </w:tcPr>
          <w:p w14:paraId="5950FECB">
            <w:pPr>
              <w:keepNext w:val="0"/>
              <w:keepLines w:val="0"/>
              <w:pageBreakBefore w:val="0"/>
              <w:widowControl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color w:val="000000" w:themeColor="text1"/>
                <w:spacing w:val="5"/>
                <w:position w:val="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pacing w:val="5"/>
                <w:position w:val="1"/>
                <w:sz w:val="21"/>
                <w:szCs w:val="21"/>
                <w:highlight w:val="none"/>
                <w:lang w:val="en-US" w:eastAsia="zh-CN"/>
                <w14:textFill>
                  <w14:solidFill>
                    <w14:schemeClr w14:val="tx1"/>
                  </w14:solidFill>
                </w14:textFill>
              </w:rPr>
              <w:t>声环境</w:t>
            </w:r>
          </w:p>
        </w:tc>
        <w:tc>
          <w:tcPr>
            <w:tcW w:w="6679" w:type="dxa"/>
            <w:gridSpan w:val="2"/>
            <w:tcBorders>
              <w:tl2br w:val="nil"/>
              <w:tr2bl w:val="nil"/>
            </w:tcBorders>
            <w:vAlign w:val="center"/>
          </w:tcPr>
          <w:p w14:paraId="18E3F166">
            <w:pPr>
              <w:keepNext w:val="0"/>
              <w:keepLines w:val="0"/>
              <w:pageBreakBefore w:val="0"/>
              <w:widowControl/>
              <w:kinsoku/>
              <w:wordWrap/>
              <w:overflowPunct w:val="0"/>
              <w:topLinePunct w:val="0"/>
              <w:autoSpaceDE w:val="0"/>
              <w:autoSpaceDN w:val="0"/>
              <w:bidi w:val="0"/>
              <w:adjustRightInd w:val="0"/>
              <w:snapToGrid w:val="0"/>
              <w:spacing w:line="320" w:lineRule="exact"/>
              <w:ind w:left="0" w:leftChars="0" w:right="0"/>
              <w:jc w:val="center"/>
              <w:textAlignment w:val="baseline"/>
              <w:rPr>
                <w:rFonts w:hint="default" w:ascii="Times New Roman" w:hAnsi="Times New Roman" w:eastAsia="宋体" w:cs="Times New Roman"/>
                <w:color w:val="000000" w:themeColor="text1"/>
                <w:sz w:val="21"/>
                <w14:textFill>
                  <w14:solidFill>
                    <w14:schemeClr w14:val="tx1"/>
                  </w14:solidFill>
                </w14:textFill>
              </w:rPr>
            </w:pPr>
          </w:p>
          <w:p w14:paraId="5B6DA10C">
            <w:pPr>
              <w:pStyle w:val="620"/>
              <w:keepNext w:val="0"/>
              <w:keepLines w:val="0"/>
              <w:pageBreakBefore w:val="0"/>
              <w:widowControl/>
              <w:kinsoku/>
              <w:wordWrap/>
              <w:overflowPunct w:val="0"/>
              <w:topLinePunct w:val="0"/>
              <w:autoSpaceDE w:val="0"/>
              <w:autoSpaceDN w:val="0"/>
              <w:bidi w:val="0"/>
              <w:adjustRightInd w:val="0"/>
              <w:snapToGrid w:val="0"/>
              <w:spacing w:line="320" w:lineRule="exact"/>
              <w:ind w:left="0" w:leftChars="0" w:right="0"/>
              <w:jc w:val="center"/>
              <w:textAlignment w:val="baseline"/>
              <w:rPr>
                <w:rFonts w:hint="eastAsia" w:ascii="Times New Roman" w:hAnsi="Times New Roman" w:cs="Times New Roman" w:eastAsiaTheme="minorEastAsia"/>
                <w:color w:val="000000" w:themeColor="text1"/>
                <w:spacing w:val="5"/>
                <w:position w:val="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8"/>
                <w14:textFill>
                  <w14:solidFill>
                    <w14:schemeClr w14:val="tx1"/>
                  </w14:solidFill>
                </w14:textFill>
              </w:rPr>
              <w:t>项目区域周边声环境</w:t>
            </w:r>
          </w:p>
        </w:tc>
        <w:tc>
          <w:tcPr>
            <w:tcW w:w="2750" w:type="dxa"/>
            <w:tcBorders>
              <w:tl2br w:val="nil"/>
              <w:tr2bl w:val="nil"/>
            </w:tcBorders>
            <w:vAlign w:val="center"/>
          </w:tcPr>
          <w:p w14:paraId="1DA73DE6">
            <w:pPr>
              <w:keepNext w:val="0"/>
              <w:keepLines w:val="0"/>
              <w:pageBreakBefore w:val="0"/>
              <w:widowControl/>
              <w:kinsoku/>
              <w:wordWrap/>
              <w:overflowPunct w:val="0"/>
              <w:topLinePunct w:val="0"/>
              <w:autoSpaceDE w:val="0"/>
              <w:autoSpaceDN w:val="0"/>
              <w:bidi w:val="0"/>
              <w:adjustRightInd w:val="0"/>
              <w:snapToGrid w:val="0"/>
              <w:spacing w:line="320" w:lineRule="exact"/>
              <w:ind w:left="0" w:leftChars="0" w:right="0"/>
              <w:jc w:val="center"/>
              <w:textAlignment w:val="baseline"/>
              <w:rPr>
                <w:rFonts w:hint="default" w:ascii="Times New Roman" w:hAnsi="Times New Roman" w:eastAsia="宋体" w:cs="Times New Roman"/>
                <w:color w:val="000000" w:themeColor="text1"/>
                <w:sz w:val="21"/>
                <w14:textFill>
                  <w14:solidFill>
                    <w14:schemeClr w14:val="tx1"/>
                  </w14:solidFill>
                </w14:textFill>
              </w:rPr>
            </w:pPr>
          </w:p>
          <w:p w14:paraId="2C7A45CA">
            <w:pPr>
              <w:pStyle w:val="620"/>
              <w:keepNext w:val="0"/>
              <w:keepLines w:val="0"/>
              <w:pageBreakBefore w:val="0"/>
              <w:widowControl/>
              <w:kinsoku/>
              <w:wordWrap/>
              <w:overflowPunct w:val="0"/>
              <w:topLinePunct w:val="0"/>
              <w:autoSpaceDE w:val="0"/>
              <w:autoSpaceDN w:val="0"/>
              <w:bidi w:val="0"/>
              <w:adjustRightInd w:val="0"/>
              <w:snapToGrid w:val="0"/>
              <w:spacing w:line="320" w:lineRule="exact"/>
              <w:ind w:left="0" w:leftChars="0" w:right="0"/>
              <w:jc w:val="center"/>
              <w:textAlignment w:val="baseline"/>
              <w:rPr>
                <w:rFonts w:hint="default" w:ascii="Times New Roman" w:hAnsi="Times New Roman" w:cs="Times New Roman" w:eastAsiaTheme="minorEastAsia"/>
                <w:color w:val="000000" w:themeColor="text1"/>
                <w:spacing w:val="5"/>
                <w:position w:val="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7"/>
                <w14:textFill>
                  <w14:solidFill>
                    <w14:schemeClr w14:val="tx1"/>
                  </w14:solidFill>
                </w14:textFill>
              </w:rPr>
              <w:t>声环境质量</w:t>
            </w:r>
          </w:p>
        </w:tc>
        <w:tc>
          <w:tcPr>
            <w:tcW w:w="2840" w:type="dxa"/>
            <w:tcBorders>
              <w:tl2br w:val="nil"/>
              <w:tr2bl w:val="nil"/>
            </w:tcBorders>
            <w:vAlign w:val="center"/>
          </w:tcPr>
          <w:p w14:paraId="14F080A1">
            <w:pPr>
              <w:pStyle w:val="620"/>
              <w:keepNext w:val="0"/>
              <w:keepLines w:val="0"/>
              <w:pageBreakBefore w:val="0"/>
              <w:widowControl/>
              <w:kinsoku/>
              <w:wordWrap/>
              <w:overflowPunct w:val="0"/>
              <w:topLinePunct w:val="0"/>
              <w:autoSpaceDE w:val="0"/>
              <w:autoSpaceDN w:val="0"/>
              <w:bidi w:val="0"/>
              <w:adjustRightInd w:val="0"/>
              <w:snapToGrid w:val="0"/>
              <w:spacing w:line="320" w:lineRule="exact"/>
              <w:ind w:left="0" w:leftChars="0" w:right="0"/>
              <w:jc w:val="center"/>
              <w:textAlignment w:val="baseline"/>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pacing w:val="15"/>
                <w14:textFill>
                  <w14:solidFill>
                    <w14:schemeClr w14:val="tx1"/>
                  </w14:solidFill>
                </w14:textFill>
              </w:rPr>
              <w:t>《声环境质量标准》</w:t>
            </w:r>
          </w:p>
          <w:p w14:paraId="3668D13A">
            <w:pPr>
              <w:pStyle w:val="620"/>
              <w:keepNext w:val="0"/>
              <w:keepLines w:val="0"/>
              <w:pageBreakBefore w:val="0"/>
              <w:widowControl/>
              <w:kinsoku/>
              <w:wordWrap/>
              <w:overflowPunct w:val="0"/>
              <w:topLinePunct w:val="0"/>
              <w:autoSpaceDE w:val="0"/>
              <w:autoSpaceDN w:val="0"/>
              <w:bidi w:val="0"/>
              <w:adjustRightInd w:val="0"/>
              <w:snapToGrid w:val="0"/>
              <w:spacing w:line="320" w:lineRule="exact"/>
              <w:ind w:left="0" w:leftChars="0" w:right="0"/>
              <w:jc w:val="center"/>
              <w:textAlignment w:val="baseline"/>
              <w:rPr>
                <w:rFonts w:hint="eastAsia" w:ascii="Times New Roman" w:hAnsi="Times New Roman" w:cs="Times New Roman" w:eastAsiaTheme="minorEastAsia"/>
                <w:color w:val="000000" w:themeColor="text1"/>
                <w:spacing w:val="5"/>
                <w:position w:val="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2"/>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GB</w:t>
            </w:r>
            <w:r>
              <w:rPr>
                <w:rFonts w:hint="default" w:ascii="Times New Roman" w:hAnsi="Times New Roman" w:eastAsia="宋体" w:cs="Times New Roman"/>
                <w:color w:val="000000" w:themeColor="text1"/>
                <w:spacing w:val="2"/>
                <w14:textFill>
                  <w14:solidFill>
                    <w14:schemeClr w14:val="tx1"/>
                  </w14:solidFill>
                </w14:textFill>
              </w:rPr>
              <w:t>3096-2008）表1中的</w:t>
            </w:r>
            <w:r>
              <w:rPr>
                <w:rFonts w:hint="default" w:ascii="Times New Roman" w:hAnsi="Times New Roman" w:eastAsia="宋体" w:cs="Times New Roman"/>
                <w:color w:val="000000" w:themeColor="text1"/>
                <w:spacing w:val="-29"/>
                <w14:textFill>
                  <w14:solidFill>
                    <w14:schemeClr w14:val="tx1"/>
                  </w14:solidFill>
                </w14:textFill>
              </w:rPr>
              <w:t xml:space="preserve"> </w:t>
            </w:r>
            <w:r>
              <w:rPr>
                <w:rFonts w:hint="default" w:ascii="Times New Roman" w:hAnsi="Times New Roman" w:eastAsia="宋体" w:cs="Times New Roman"/>
                <w:color w:val="000000" w:themeColor="text1"/>
                <w:spacing w:val="2"/>
                <w14:textFill>
                  <w14:solidFill>
                    <w14:schemeClr w14:val="tx1"/>
                  </w14:solidFill>
                </w14:textFill>
              </w:rPr>
              <w:t>2</w:t>
            </w:r>
            <w:r>
              <w:rPr>
                <w:rFonts w:hint="default" w:ascii="Times New Roman" w:hAnsi="Times New Roman" w:eastAsia="宋体" w:cs="Times New Roman"/>
                <w:color w:val="000000" w:themeColor="text1"/>
                <w:spacing w:val="17"/>
                <w14:textFill>
                  <w14:solidFill>
                    <w14:schemeClr w14:val="tx1"/>
                  </w14:solidFill>
                </w14:textFill>
              </w:rPr>
              <w:t xml:space="preserve"> </w:t>
            </w:r>
            <w:r>
              <w:rPr>
                <w:rFonts w:hint="default" w:ascii="Times New Roman" w:hAnsi="Times New Roman" w:eastAsia="宋体" w:cs="Times New Roman"/>
                <w:color w:val="000000" w:themeColor="text1"/>
                <w:spacing w:val="2"/>
                <w14:textFill>
                  <w14:solidFill>
                    <w14:schemeClr w14:val="tx1"/>
                  </w14:solidFill>
                </w14:textFill>
              </w:rPr>
              <w:t>类</w:t>
            </w:r>
            <w:r>
              <w:rPr>
                <w:rFonts w:hint="default" w:ascii="Times New Roman" w:hAnsi="Times New Roman" w:eastAsia="宋体" w:cs="Times New Roman"/>
                <w:color w:val="000000" w:themeColor="text1"/>
                <w:spacing w:val="13"/>
                <w14:textFill>
                  <w14:solidFill>
                    <w14:schemeClr w14:val="tx1"/>
                  </w14:solidFill>
                </w14:textFill>
              </w:rPr>
              <w:t>区标准限值</w:t>
            </w:r>
          </w:p>
        </w:tc>
      </w:tr>
      <w:tr w14:paraId="63EE71E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1673" w:type="dxa"/>
            <w:gridSpan w:val="2"/>
            <w:tcBorders>
              <w:tl2br w:val="nil"/>
              <w:tr2bl w:val="nil"/>
            </w:tcBorders>
            <w:vAlign w:val="center"/>
          </w:tcPr>
          <w:p w14:paraId="5C686727">
            <w:pPr>
              <w:keepNext w:val="0"/>
              <w:keepLines w:val="0"/>
              <w:pageBreakBefore w:val="0"/>
              <w:widowControl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color w:val="000000" w:themeColor="text1"/>
                <w:spacing w:val="5"/>
                <w:position w:val="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pacing w:val="5"/>
                <w:position w:val="1"/>
                <w:sz w:val="21"/>
                <w:szCs w:val="21"/>
                <w:highlight w:val="none"/>
                <w:lang w:val="en-US" w:eastAsia="zh-CN"/>
                <w14:textFill>
                  <w14:solidFill>
                    <w14:schemeClr w14:val="tx1"/>
                  </w14:solidFill>
                </w14:textFill>
              </w:rPr>
              <w:t>生态</w:t>
            </w:r>
          </w:p>
          <w:p w14:paraId="174215F0">
            <w:pPr>
              <w:keepNext w:val="0"/>
              <w:keepLines w:val="0"/>
              <w:pageBreakBefore w:val="0"/>
              <w:widowControl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color w:val="000000" w:themeColor="text1"/>
                <w:spacing w:val="5"/>
                <w:position w:val="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pacing w:val="5"/>
                <w:position w:val="1"/>
                <w:sz w:val="21"/>
                <w:szCs w:val="21"/>
                <w:highlight w:val="none"/>
                <w:lang w:val="en-US" w:eastAsia="zh-CN"/>
                <w14:textFill>
                  <w14:solidFill>
                    <w14:schemeClr w14:val="tx1"/>
                  </w14:solidFill>
                </w14:textFill>
              </w:rPr>
              <w:t>环境</w:t>
            </w:r>
          </w:p>
        </w:tc>
        <w:tc>
          <w:tcPr>
            <w:tcW w:w="6679" w:type="dxa"/>
            <w:gridSpan w:val="2"/>
            <w:tcBorders>
              <w:tl2br w:val="nil"/>
              <w:tr2bl w:val="nil"/>
            </w:tcBorders>
            <w:vAlign w:val="center"/>
          </w:tcPr>
          <w:p w14:paraId="04D20F90">
            <w:pPr>
              <w:keepNext w:val="0"/>
              <w:keepLines w:val="0"/>
              <w:pageBreakBefore w:val="0"/>
              <w:widowControl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color w:val="000000" w:themeColor="text1"/>
                <w:spacing w:val="5"/>
                <w:position w:val="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pacing w:val="5"/>
                <w:position w:val="1"/>
                <w:sz w:val="21"/>
                <w:szCs w:val="21"/>
                <w:highlight w:val="none"/>
                <w:lang w:val="en-US" w:eastAsia="zh-CN"/>
                <w14:textFill>
                  <w14:solidFill>
                    <w14:schemeClr w14:val="tx1"/>
                  </w14:solidFill>
                </w14:textFill>
              </w:rPr>
              <w:t>用地范围外延500m范围</w:t>
            </w:r>
            <w:r>
              <w:rPr>
                <w:rFonts w:hint="eastAsia" w:cs="Times New Roman" w:eastAsiaTheme="minorEastAsia"/>
                <w:color w:val="000000" w:themeColor="text1"/>
                <w:spacing w:val="5"/>
                <w:position w:val="1"/>
                <w:sz w:val="21"/>
                <w:szCs w:val="21"/>
                <w:highlight w:val="none"/>
                <w:lang w:val="en-US" w:eastAsia="zh-CN"/>
                <w14:textFill>
                  <w14:solidFill>
                    <w14:schemeClr w14:val="tx1"/>
                  </w14:solidFill>
                </w14:textFill>
              </w:rPr>
              <w:t>内</w:t>
            </w:r>
            <w:r>
              <w:rPr>
                <w:rFonts w:hint="default" w:ascii="Times New Roman" w:hAnsi="Times New Roman" w:cs="Times New Roman" w:eastAsiaTheme="minorEastAsia"/>
                <w:color w:val="000000" w:themeColor="text1"/>
                <w:spacing w:val="5"/>
                <w:position w:val="1"/>
                <w:sz w:val="21"/>
                <w:szCs w:val="21"/>
                <w:highlight w:val="none"/>
                <w:lang w:val="en-US" w:eastAsia="zh-CN"/>
                <w14:textFill>
                  <w14:solidFill>
                    <w14:schemeClr w14:val="tx1"/>
                  </w14:solidFill>
                </w14:textFill>
              </w:rPr>
              <w:t>的地表砾幕层、水土流失治理区及预防区、受保护动物、鸟类及天然牧草地。</w:t>
            </w:r>
          </w:p>
        </w:tc>
        <w:tc>
          <w:tcPr>
            <w:tcW w:w="2750" w:type="dxa"/>
            <w:tcBorders>
              <w:tl2br w:val="nil"/>
              <w:tr2bl w:val="nil"/>
            </w:tcBorders>
            <w:vAlign w:val="center"/>
          </w:tcPr>
          <w:p w14:paraId="72C0CBE4">
            <w:pPr>
              <w:keepNext w:val="0"/>
              <w:keepLines w:val="0"/>
              <w:pageBreakBefore w:val="0"/>
              <w:widowControl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color w:val="000000" w:themeColor="text1"/>
                <w:spacing w:val="5"/>
                <w:position w:val="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pacing w:val="5"/>
                <w:position w:val="1"/>
                <w:sz w:val="21"/>
                <w:szCs w:val="21"/>
                <w:highlight w:val="none"/>
                <w:lang w:val="en-US" w:eastAsia="zh-CN"/>
                <w14:textFill>
                  <w14:solidFill>
                    <w14:schemeClr w14:val="tx1"/>
                  </w14:solidFill>
                </w14:textFill>
              </w:rPr>
              <w:t>保护砾幕层完整性，防止水土流失；保护动物及鸟类物种分布范围、种群结构、物种组成，保护天然牧草地，降低占地造成生物量损失。</w:t>
            </w:r>
          </w:p>
        </w:tc>
        <w:tc>
          <w:tcPr>
            <w:tcW w:w="2840" w:type="dxa"/>
            <w:tcBorders>
              <w:tl2br w:val="nil"/>
              <w:tr2bl w:val="nil"/>
            </w:tcBorders>
            <w:vAlign w:val="center"/>
          </w:tcPr>
          <w:p w14:paraId="71334C42">
            <w:pPr>
              <w:keepNext w:val="0"/>
              <w:keepLines w:val="0"/>
              <w:pageBreakBefore w:val="0"/>
              <w:widowControl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color w:val="000000" w:themeColor="text1"/>
                <w:spacing w:val="5"/>
                <w:position w:val="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pacing w:val="5"/>
                <w:position w:val="1"/>
                <w:sz w:val="21"/>
                <w:szCs w:val="21"/>
                <w:highlight w:val="none"/>
                <w:lang w:val="en-US" w:eastAsia="zh-CN"/>
                <w14:textFill>
                  <w14:solidFill>
                    <w14:schemeClr w14:val="tx1"/>
                  </w14:solidFill>
                </w14:textFill>
              </w:rPr>
              <w:t>保护生态系统结构和功能的完整性、稳定性；保护砾幕层完整性，防止水土流失。</w:t>
            </w:r>
          </w:p>
        </w:tc>
      </w:tr>
      <w:tr w14:paraId="325E04E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514" w:type="dxa"/>
            <w:vMerge w:val="restart"/>
            <w:tcBorders>
              <w:tl2br w:val="nil"/>
              <w:tr2bl w:val="nil"/>
            </w:tcBorders>
            <w:vAlign w:val="center"/>
          </w:tcPr>
          <w:p w14:paraId="5D50DB61">
            <w:pPr>
              <w:keepNext w:val="0"/>
              <w:keepLines w:val="0"/>
              <w:pageBreakBefore w:val="0"/>
              <w:widowControl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color w:val="000000" w:themeColor="text1"/>
                <w:spacing w:val="5"/>
                <w:position w:val="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pacing w:val="5"/>
                <w:position w:val="1"/>
                <w:sz w:val="21"/>
                <w:szCs w:val="21"/>
                <w:highlight w:val="none"/>
                <w:lang w:val="en-US" w:eastAsia="zh-CN"/>
                <w14:textFill>
                  <w14:solidFill>
                    <w14:schemeClr w14:val="tx1"/>
                  </w14:solidFill>
                </w14:textFill>
              </w:rPr>
              <w:t>环境</w:t>
            </w:r>
          </w:p>
          <w:p w14:paraId="02C333B4">
            <w:pPr>
              <w:keepNext w:val="0"/>
              <w:keepLines w:val="0"/>
              <w:pageBreakBefore w:val="0"/>
              <w:widowControl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color w:val="000000" w:themeColor="text1"/>
                <w:spacing w:val="5"/>
                <w:position w:val="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pacing w:val="5"/>
                <w:position w:val="1"/>
                <w:sz w:val="21"/>
                <w:szCs w:val="21"/>
                <w:highlight w:val="none"/>
                <w:lang w:val="en-US" w:eastAsia="zh-CN"/>
                <w14:textFill>
                  <w14:solidFill>
                    <w14:schemeClr w14:val="tx1"/>
                  </w14:solidFill>
                </w14:textFill>
              </w:rPr>
              <w:t>风险</w:t>
            </w:r>
          </w:p>
        </w:tc>
        <w:tc>
          <w:tcPr>
            <w:tcW w:w="1159" w:type="dxa"/>
            <w:tcBorders>
              <w:tl2br w:val="nil"/>
              <w:tr2bl w:val="nil"/>
            </w:tcBorders>
            <w:vAlign w:val="center"/>
          </w:tcPr>
          <w:p w14:paraId="3CFD6F9D">
            <w:pPr>
              <w:keepNext w:val="0"/>
              <w:keepLines w:val="0"/>
              <w:pageBreakBefore w:val="0"/>
              <w:widowControl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color w:val="000000" w:themeColor="text1"/>
                <w:spacing w:val="5"/>
                <w:position w:val="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pacing w:val="4"/>
                <w:sz w:val="21"/>
                <w:szCs w:val="21"/>
                <w:highlight w:val="none"/>
                <w14:textFill>
                  <w14:solidFill>
                    <w14:schemeClr w14:val="tx1"/>
                  </w14:solidFill>
                </w14:textFill>
              </w:rPr>
              <w:t>大</w:t>
            </w:r>
            <w:r>
              <w:rPr>
                <w:rFonts w:hint="default" w:ascii="Times New Roman" w:hAnsi="Times New Roman" w:cs="Times New Roman" w:eastAsiaTheme="minorEastAsia"/>
                <w:color w:val="000000" w:themeColor="text1"/>
                <w:spacing w:val="3"/>
                <w:sz w:val="21"/>
                <w:szCs w:val="21"/>
                <w:highlight w:val="none"/>
                <w14:textFill>
                  <w14:solidFill>
                    <w14:schemeClr w14:val="tx1"/>
                  </w14:solidFill>
                </w14:textFill>
              </w:rPr>
              <w:t>气</w:t>
            </w:r>
            <w:r>
              <w:rPr>
                <w:rFonts w:hint="default" w:ascii="Times New Roman" w:hAnsi="Times New Roman" w:cs="Times New Roman" w:eastAsiaTheme="minorEastAsia"/>
                <w:color w:val="000000" w:themeColor="text1"/>
                <w:spacing w:val="5"/>
                <w:sz w:val="21"/>
                <w:szCs w:val="21"/>
                <w:highlight w:val="none"/>
                <w14:textFill>
                  <w14:solidFill>
                    <w14:schemeClr w14:val="tx1"/>
                  </w14:solidFill>
                </w14:textFill>
              </w:rPr>
              <w:t>环</w:t>
            </w:r>
            <w:r>
              <w:rPr>
                <w:rFonts w:hint="default" w:ascii="Times New Roman" w:hAnsi="Times New Roman" w:cs="Times New Roman" w:eastAsiaTheme="minorEastAsia"/>
                <w:color w:val="000000" w:themeColor="text1"/>
                <w:spacing w:val="4"/>
                <w:sz w:val="21"/>
                <w:szCs w:val="21"/>
                <w:highlight w:val="none"/>
                <w14:textFill>
                  <w14:solidFill>
                    <w14:schemeClr w14:val="tx1"/>
                  </w14:solidFill>
                </w14:textFill>
              </w:rPr>
              <w:t>境</w:t>
            </w:r>
          </w:p>
        </w:tc>
        <w:tc>
          <w:tcPr>
            <w:tcW w:w="2500" w:type="dxa"/>
            <w:tcBorders>
              <w:tl2br w:val="nil"/>
              <w:tr2bl w:val="nil"/>
            </w:tcBorders>
            <w:vAlign w:val="center"/>
          </w:tcPr>
          <w:p w14:paraId="0C114A41">
            <w:pPr>
              <w:keepNext w:val="0"/>
              <w:keepLines w:val="0"/>
              <w:pageBreakBefore w:val="0"/>
              <w:widowControl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color w:val="000000" w:themeColor="text1"/>
                <w:spacing w:val="4"/>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pacing w:val="5"/>
                <w:position w:val="1"/>
                <w:sz w:val="21"/>
                <w:szCs w:val="21"/>
                <w:highlight w:val="none"/>
                <w:lang w:val="en-US" w:eastAsia="zh-CN"/>
                <w14:textFill>
                  <w14:solidFill>
                    <w14:schemeClr w14:val="tx1"/>
                  </w14:solidFill>
                </w14:textFill>
              </w:rPr>
              <w:t>/</w:t>
            </w:r>
          </w:p>
        </w:tc>
        <w:tc>
          <w:tcPr>
            <w:tcW w:w="4179" w:type="dxa"/>
            <w:tcBorders>
              <w:tl2br w:val="nil"/>
              <w:tr2bl w:val="nil"/>
            </w:tcBorders>
            <w:vAlign w:val="center"/>
          </w:tcPr>
          <w:p w14:paraId="0702022F">
            <w:pPr>
              <w:keepNext w:val="0"/>
              <w:keepLines w:val="0"/>
              <w:pageBreakBefore w:val="0"/>
              <w:widowControl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color w:val="000000" w:themeColor="text1"/>
                <w:spacing w:val="4"/>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pacing w:val="5"/>
                <w:position w:val="1"/>
                <w:sz w:val="21"/>
                <w:szCs w:val="21"/>
                <w:highlight w:val="none"/>
                <w:lang w:val="en-US" w:eastAsia="zh-CN"/>
                <w14:textFill>
                  <w14:solidFill>
                    <w14:schemeClr w14:val="tx1"/>
                  </w14:solidFill>
                </w14:textFill>
              </w:rPr>
              <w:t>/</w:t>
            </w:r>
          </w:p>
        </w:tc>
        <w:tc>
          <w:tcPr>
            <w:tcW w:w="2750" w:type="dxa"/>
            <w:tcBorders>
              <w:tl2br w:val="nil"/>
              <w:tr2bl w:val="nil"/>
            </w:tcBorders>
            <w:vAlign w:val="center"/>
          </w:tcPr>
          <w:p w14:paraId="50C7DA22">
            <w:pPr>
              <w:keepNext w:val="0"/>
              <w:keepLines w:val="0"/>
              <w:pageBreakBefore w:val="0"/>
              <w:widowControl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color w:val="000000" w:themeColor="text1"/>
                <w:spacing w:val="5"/>
                <w:position w:val="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pacing w:val="5"/>
                <w:position w:val="1"/>
                <w:sz w:val="21"/>
                <w:szCs w:val="21"/>
                <w:highlight w:val="none"/>
                <w:lang w:val="en-US" w:eastAsia="zh-CN"/>
                <w14:textFill>
                  <w14:solidFill>
                    <w14:schemeClr w14:val="tx1"/>
                  </w14:solidFill>
                </w14:textFill>
              </w:rPr>
              <w:t>/</w:t>
            </w:r>
          </w:p>
        </w:tc>
        <w:tc>
          <w:tcPr>
            <w:tcW w:w="2840" w:type="dxa"/>
            <w:vMerge w:val="restart"/>
            <w:tcBorders>
              <w:tl2br w:val="nil"/>
              <w:tr2bl w:val="nil"/>
            </w:tcBorders>
            <w:vAlign w:val="center"/>
          </w:tcPr>
          <w:p w14:paraId="696355BA">
            <w:pPr>
              <w:keepNext w:val="0"/>
              <w:keepLines w:val="0"/>
              <w:pageBreakBefore w:val="0"/>
              <w:widowControl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color w:val="000000" w:themeColor="text1"/>
                <w:spacing w:val="14"/>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pacing w:val="14"/>
                <w:sz w:val="21"/>
                <w:szCs w:val="21"/>
                <w:highlight w:val="none"/>
                <w:lang w:val="en-US" w:eastAsia="zh-CN"/>
                <w14:textFill>
                  <w14:solidFill>
                    <w14:schemeClr w14:val="tx1"/>
                  </w14:solidFill>
                </w14:textFill>
              </w:rPr>
              <w:t>防止</w:t>
            </w:r>
            <w:r>
              <w:rPr>
                <w:rFonts w:hint="eastAsia" w:cs="Times New Roman" w:eastAsiaTheme="minorEastAsia"/>
                <w:color w:val="000000" w:themeColor="text1"/>
                <w:spacing w:val="14"/>
                <w:sz w:val="21"/>
                <w:szCs w:val="21"/>
                <w:highlight w:val="none"/>
                <w:lang w:val="en-US" w:eastAsia="zh-CN"/>
                <w14:textFill>
                  <w14:solidFill>
                    <w14:schemeClr w14:val="tx1"/>
                  </w14:solidFill>
                </w14:textFill>
              </w:rPr>
              <w:t>废矿物油</w:t>
            </w:r>
            <w:r>
              <w:rPr>
                <w:rFonts w:hint="eastAsia" w:ascii="Times New Roman" w:hAnsi="Times New Roman" w:cs="Times New Roman" w:eastAsiaTheme="minorEastAsia"/>
                <w:color w:val="000000" w:themeColor="text1"/>
                <w:spacing w:val="14"/>
                <w:sz w:val="21"/>
                <w:szCs w:val="21"/>
                <w:highlight w:val="none"/>
                <w:lang w:val="en-US" w:eastAsia="zh-CN"/>
                <w14:textFill>
                  <w14:solidFill>
                    <w14:schemeClr w14:val="tx1"/>
                  </w14:solidFill>
                </w14:textFill>
              </w:rPr>
              <w:t>泄漏</w:t>
            </w:r>
            <w:r>
              <w:rPr>
                <w:rFonts w:hint="default" w:ascii="Times New Roman" w:hAnsi="Times New Roman" w:cs="Times New Roman" w:eastAsiaTheme="minorEastAsia"/>
                <w:color w:val="000000" w:themeColor="text1"/>
                <w:spacing w:val="14"/>
                <w:sz w:val="21"/>
                <w:szCs w:val="21"/>
                <w:highlight w:val="none"/>
                <w:lang w:val="en-US" w:eastAsia="zh-CN"/>
                <w14:textFill>
                  <w14:solidFill>
                    <w14:schemeClr w14:val="tx1"/>
                  </w14:solidFill>
                </w14:textFill>
              </w:rPr>
              <w:t>对土壤和水环境造成影响，防止变压器火灾对大气、土壤和水环境造成影响</w:t>
            </w:r>
          </w:p>
        </w:tc>
      </w:tr>
      <w:tr w14:paraId="3EBF852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514" w:type="dxa"/>
            <w:vMerge w:val="continue"/>
            <w:tcBorders>
              <w:tl2br w:val="nil"/>
              <w:tr2bl w:val="nil"/>
            </w:tcBorders>
            <w:vAlign w:val="center"/>
          </w:tcPr>
          <w:p w14:paraId="1B02F310">
            <w:pPr>
              <w:keepNext w:val="0"/>
              <w:keepLines w:val="0"/>
              <w:pageBreakBefore w:val="0"/>
              <w:widowControl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color w:val="000000" w:themeColor="text1"/>
                <w:spacing w:val="5"/>
                <w:position w:val="1"/>
                <w:sz w:val="21"/>
                <w:szCs w:val="21"/>
                <w:highlight w:val="none"/>
                <w:lang w:val="en-US" w:eastAsia="zh-CN"/>
                <w14:textFill>
                  <w14:solidFill>
                    <w14:schemeClr w14:val="tx1"/>
                  </w14:solidFill>
                </w14:textFill>
              </w:rPr>
            </w:pPr>
          </w:p>
        </w:tc>
        <w:tc>
          <w:tcPr>
            <w:tcW w:w="1159" w:type="dxa"/>
            <w:tcBorders>
              <w:tl2br w:val="nil"/>
              <w:tr2bl w:val="nil"/>
            </w:tcBorders>
            <w:vAlign w:val="center"/>
          </w:tcPr>
          <w:p w14:paraId="24B5B5C8">
            <w:pPr>
              <w:keepNext w:val="0"/>
              <w:keepLines w:val="0"/>
              <w:pageBreakBefore w:val="0"/>
              <w:widowControl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color w:val="000000" w:themeColor="text1"/>
                <w:spacing w:val="5"/>
                <w:position w:val="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pacing w:val="5"/>
                <w:position w:val="1"/>
                <w:sz w:val="21"/>
                <w:szCs w:val="21"/>
                <w:highlight w:val="none"/>
                <w:lang w:val="en-US" w:eastAsia="zh-CN"/>
                <w14:textFill>
                  <w14:solidFill>
                    <w14:schemeClr w14:val="tx1"/>
                  </w14:solidFill>
                </w14:textFill>
              </w:rPr>
              <w:t>地表水环境</w:t>
            </w:r>
          </w:p>
        </w:tc>
        <w:tc>
          <w:tcPr>
            <w:tcW w:w="2500" w:type="dxa"/>
            <w:tcBorders>
              <w:tl2br w:val="nil"/>
              <w:tr2bl w:val="nil"/>
            </w:tcBorders>
            <w:vAlign w:val="center"/>
          </w:tcPr>
          <w:p w14:paraId="7C5C87C4">
            <w:pPr>
              <w:keepNext w:val="0"/>
              <w:keepLines w:val="0"/>
              <w:pageBreakBefore w:val="0"/>
              <w:widowControl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color w:val="000000" w:themeColor="text1"/>
                <w:spacing w:val="5"/>
                <w:position w:val="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pacing w:val="5"/>
                <w:position w:val="1"/>
                <w:sz w:val="21"/>
                <w:szCs w:val="21"/>
                <w:highlight w:val="none"/>
                <w:lang w:val="en-US" w:eastAsia="zh-CN"/>
                <w14:textFill>
                  <w14:solidFill>
                    <w14:schemeClr w14:val="tx1"/>
                  </w14:solidFill>
                </w14:textFill>
              </w:rPr>
              <w:t>/</w:t>
            </w:r>
          </w:p>
        </w:tc>
        <w:tc>
          <w:tcPr>
            <w:tcW w:w="4179" w:type="dxa"/>
            <w:tcBorders>
              <w:tl2br w:val="nil"/>
              <w:tr2bl w:val="nil"/>
            </w:tcBorders>
            <w:vAlign w:val="center"/>
          </w:tcPr>
          <w:p w14:paraId="55D083A8">
            <w:pPr>
              <w:keepNext w:val="0"/>
              <w:keepLines w:val="0"/>
              <w:pageBreakBefore w:val="0"/>
              <w:widowControl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color w:val="000000" w:themeColor="text1"/>
                <w:spacing w:val="5"/>
                <w:position w:val="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pacing w:val="5"/>
                <w:position w:val="1"/>
                <w:sz w:val="21"/>
                <w:szCs w:val="21"/>
                <w:highlight w:val="none"/>
                <w:lang w:val="en-US" w:eastAsia="zh-CN"/>
                <w14:textFill>
                  <w14:solidFill>
                    <w14:schemeClr w14:val="tx1"/>
                  </w14:solidFill>
                </w14:textFill>
              </w:rPr>
              <w:t>/</w:t>
            </w:r>
          </w:p>
        </w:tc>
        <w:tc>
          <w:tcPr>
            <w:tcW w:w="2750" w:type="dxa"/>
            <w:tcBorders>
              <w:tl2br w:val="nil"/>
              <w:tr2bl w:val="nil"/>
            </w:tcBorders>
            <w:vAlign w:val="center"/>
          </w:tcPr>
          <w:p w14:paraId="2E650842">
            <w:pPr>
              <w:keepNext w:val="0"/>
              <w:keepLines w:val="0"/>
              <w:pageBreakBefore w:val="0"/>
              <w:widowControl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color w:val="000000" w:themeColor="text1"/>
                <w:spacing w:val="5"/>
                <w:position w:val="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pacing w:val="5"/>
                <w:position w:val="1"/>
                <w:sz w:val="21"/>
                <w:szCs w:val="21"/>
                <w:highlight w:val="none"/>
                <w:lang w:val="en-US" w:eastAsia="zh-CN"/>
                <w14:textFill>
                  <w14:solidFill>
                    <w14:schemeClr w14:val="tx1"/>
                  </w14:solidFill>
                </w14:textFill>
              </w:rPr>
              <w:t>/</w:t>
            </w:r>
          </w:p>
        </w:tc>
        <w:tc>
          <w:tcPr>
            <w:tcW w:w="2840" w:type="dxa"/>
            <w:vMerge w:val="continue"/>
            <w:tcBorders>
              <w:tl2br w:val="nil"/>
              <w:tr2bl w:val="nil"/>
            </w:tcBorders>
            <w:vAlign w:val="center"/>
          </w:tcPr>
          <w:p w14:paraId="2DC8BD08">
            <w:pPr>
              <w:keepNext w:val="0"/>
              <w:keepLines w:val="0"/>
              <w:pageBreakBefore w:val="0"/>
              <w:widowControl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color w:val="000000" w:themeColor="text1"/>
                <w:spacing w:val="14"/>
                <w:sz w:val="21"/>
                <w:szCs w:val="21"/>
                <w:highlight w:val="yellow"/>
                <w:lang w:val="en-US" w:eastAsia="zh-CN"/>
                <w14:textFill>
                  <w14:solidFill>
                    <w14:schemeClr w14:val="tx1"/>
                  </w14:solidFill>
                </w14:textFill>
              </w:rPr>
            </w:pPr>
          </w:p>
        </w:tc>
      </w:tr>
      <w:tr w14:paraId="5FB9FE6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514" w:type="dxa"/>
            <w:vMerge w:val="continue"/>
            <w:tcBorders>
              <w:tl2br w:val="nil"/>
              <w:tr2bl w:val="nil"/>
            </w:tcBorders>
            <w:vAlign w:val="center"/>
          </w:tcPr>
          <w:p w14:paraId="7D37FD83">
            <w:pPr>
              <w:keepNext w:val="0"/>
              <w:keepLines w:val="0"/>
              <w:pageBreakBefore w:val="0"/>
              <w:widowControl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color w:val="000000" w:themeColor="text1"/>
                <w:spacing w:val="5"/>
                <w:position w:val="1"/>
                <w:sz w:val="21"/>
                <w:szCs w:val="21"/>
                <w:highlight w:val="none"/>
                <w:lang w:val="en-US" w:eastAsia="zh-CN"/>
                <w14:textFill>
                  <w14:solidFill>
                    <w14:schemeClr w14:val="tx1"/>
                  </w14:solidFill>
                </w14:textFill>
              </w:rPr>
            </w:pPr>
          </w:p>
        </w:tc>
        <w:tc>
          <w:tcPr>
            <w:tcW w:w="1159" w:type="dxa"/>
            <w:vMerge w:val="restart"/>
            <w:tcBorders>
              <w:tl2br w:val="nil"/>
              <w:tr2bl w:val="nil"/>
            </w:tcBorders>
            <w:vAlign w:val="center"/>
          </w:tcPr>
          <w:p w14:paraId="2B4F2712">
            <w:pPr>
              <w:keepNext w:val="0"/>
              <w:keepLines w:val="0"/>
              <w:pageBreakBefore w:val="0"/>
              <w:widowControl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color w:val="000000" w:themeColor="text1"/>
                <w:spacing w:val="5"/>
                <w:position w:val="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pacing w:val="5"/>
                <w:position w:val="1"/>
                <w:sz w:val="21"/>
                <w:szCs w:val="21"/>
                <w:highlight w:val="none"/>
                <w:lang w:val="en-US" w:eastAsia="zh-CN"/>
                <w14:textFill>
                  <w14:solidFill>
                    <w14:schemeClr w14:val="tx1"/>
                  </w14:solidFill>
                </w14:textFill>
              </w:rPr>
              <w:t>地下水环境</w:t>
            </w:r>
          </w:p>
        </w:tc>
        <w:tc>
          <w:tcPr>
            <w:tcW w:w="2500" w:type="dxa"/>
            <w:tcBorders>
              <w:tl2br w:val="nil"/>
              <w:tr2bl w:val="nil"/>
            </w:tcBorders>
            <w:vAlign w:val="center"/>
          </w:tcPr>
          <w:p w14:paraId="2F5C9C4F">
            <w:pPr>
              <w:keepNext w:val="0"/>
              <w:keepLines w:val="0"/>
              <w:pageBreakBefore w:val="0"/>
              <w:widowControl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color w:val="000000" w:themeColor="text1"/>
                <w:spacing w:val="5"/>
                <w:position w:val="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pacing w:val="5"/>
                <w:position w:val="1"/>
                <w:sz w:val="21"/>
                <w:szCs w:val="21"/>
                <w:highlight w:val="none"/>
                <w:lang w:val="en-US" w:eastAsia="zh-CN"/>
                <w14:textFill>
                  <w14:solidFill>
                    <w14:schemeClr w14:val="tx1"/>
                  </w14:solidFill>
                </w14:textFill>
              </w:rPr>
              <w:t>西山地下饮用水源地二级保护区</w:t>
            </w:r>
          </w:p>
        </w:tc>
        <w:tc>
          <w:tcPr>
            <w:tcW w:w="4179" w:type="dxa"/>
            <w:tcBorders>
              <w:tl2br w:val="nil"/>
              <w:tr2bl w:val="nil"/>
            </w:tcBorders>
            <w:vAlign w:val="center"/>
          </w:tcPr>
          <w:p w14:paraId="7EDE9004">
            <w:pPr>
              <w:keepNext w:val="0"/>
              <w:keepLines w:val="0"/>
              <w:pageBreakBefore w:val="0"/>
              <w:widowControl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color w:val="000000" w:themeColor="text1"/>
                <w:spacing w:val="5"/>
                <w:position w:val="1"/>
                <w:sz w:val="21"/>
                <w:szCs w:val="21"/>
                <w:highlight w:val="yellow"/>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pacing w:val="5"/>
                <w:position w:val="1"/>
                <w:sz w:val="21"/>
                <w:szCs w:val="21"/>
                <w:highlight w:val="none"/>
                <w:lang w:val="en-US" w:eastAsia="zh-CN"/>
                <w14:textFill>
                  <w14:solidFill>
                    <w14:schemeClr w14:val="tx1"/>
                  </w14:solidFill>
                </w14:textFill>
              </w:rPr>
              <w:t>3台风机（H5、H6、H9）占用</w:t>
            </w:r>
          </w:p>
        </w:tc>
        <w:tc>
          <w:tcPr>
            <w:tcW w:w="2750" w:type="dxa"/>
            <w:vMerge w:val="restart"/>
            <w:tcBorders>
              <w:tl2br w:val="nil"/>
              <w:tr2bl w:val="nil"/>
            </w:tcBorders>
            <w:vAlign w:val="center"/>
          </w:tcPr>
          <w:p w14:paraId="5F2C0E77">
            <w:pPr>
              <w:keepNext w:val="0"/>
              <w:keepLines w:val="0"/>
              <w:pageBreakBefore w:val="0"/>
              <w:widowControl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color w:val="000000" w:themeColor="text1"/>
                <w:spacing w:val="5"/>
                <w:position w:val="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pacing w:val="5"/>
                <w:position w:val="1"/>
                <w:sz w:val="21"/>
                <w:szCs w:val="21"/>
                <w:highlight w:val="none"/>
                <w:lang w:val="en-US" w:eastAsia="zh-CN"/>
                <w14:textFill>
                  <w14:solidFill>
                    <w14:schemeClr w14:val="tx1"/>
                  </w14:solidFill>
                </w14:textFill>
              </w:rPr>
              <w:t>地下水潜水水质</w:t>
            </w:r>
          </w:p>
        </w:tc>
        <w:tc>
          <w:tcPr>
            <w:tcW w:w="2840" w:type="dxa"/>
            <w:vMerge w:val="continue"/>
            <w:tcBorders>
              <w:tl2br w:val="nil"/>
              <w:tr2bl w:val="nil"/>
            </w:tcBorders>
            <w:vAlign w:val="center"/>
          </w:tcPr>
          <w:p w14:paraId="0F1C5407">
            <w:pPr>
              <w:keepNext w:val="0"/>
              <w:keepLines w:val="0"/>
              <w:pageBreakBefore w:val="0"/>
              <w:widowControl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color w:val="000000" w:themeColor="text1"/>
                <w:spacing w:val="14"/>
                <w:sz w:val="21"/>
                <w:szCs w:val="21"/>
                <w:highlight w:val="yellow"/>
                <w14:textFill>
                  <w14:solidFill>
                    <w14:schemeClr w14:val="tx1"/>
                  </w14:solidFill>
                </w14:textFill>
              </w:rPr>
            </w:pPr>
          </w:p>
        </w:tc>
      </w:tr>
      <w:tr w14:paraId="199AA8D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514" w:type="dxa"/>
            <w:vMerge w:val="continue"/>
            <w:tcBorders>
              <w:tl2br w:val="nil"/>
              <w:tr2bl w:val="nil"/>
            </w:tcBorders>
            <w:vAlign w:val="center"/>
          </w:tcPr>
          <w:p w14:paraId="2C423BAA">
            <w:pPr>
              <w:keepNext w:val="0"/>
              <w:keepLines w:val="0"/>
              <w:pageBreakBefore w:val="0"/>
              <w:widowControl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color w:val="000000" w:themeColor="text1"/>
                <w:spacing w:val="5"/>
                <w:position w:val="1"/>
                <w:sz w:val="21"/>
                <w:szCs w:val="21"/>
                <w:highlight w:val="none"/>
                <w:lang w:val="en-US" w:eastAsia="zh-CN"/>
                <w14:textFill>
                  <w14:solidFill>
                    <w14:schemeClr w14:val="tx1"/>
                  </w14:solidFill>
                </w14:textFill>
              </w:rPr>
            </w:pPr>
          </w:p>
        </w:tc>
        <w:tc>
          <w:tcPr>
            <w:tcW w:w="1159" w:type="dxa"/>
            <w:vMerge w:val="continue"/>
            <w:tcBorders>
              <w:tl2br w:val="nil"/>
              <w:tr2bl w:val="nil"/>
            </w:tcBorders>
            <w:vAlign w:val="center"/>
          </w:tcPr>
          <w:p w14:paraId="7EDABE31">
            <w:pPr>
              <w:keepNext w:val="0"/>
              <w:keepLines w:val="0"/>
              <w:pageBreakBefore w:val="0"/>
              <w:widowControl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color w:val="000000" w:themeColor="text1"/>
                <w:spacing w:val="5"/>
                <w:position w:val="1"/>
                <w:sz w:val="21"/>
                <w:szCs w:val="21"/>
                <w:highlight w:val="none"/>
                <w:lang w:val="en-US" w:eastAsia="zh-CN"/>
                <w14:textFill>
                  <w14:solidFill>
                    <w14:schemeClr w14:val="tx1"/>
                  </w14:solidFill>
                </w14:textFill>
              </w:rPr>
            </w:pPr>
          </w:p>
        </w:tc>
        <w:tc>
          <w:tcPr>
            <w:tcW w:w="2500" w:type="dxa"/>
            <w:tcBorders>
              <w:tl2br w:val="nil"/>
              <w:tr2bl w:val="nil"/>
            </w:tcBorders>
            <w:vAlign w:val="center"/>
          </w:tcPr>
          <w:p w14:paraId="7B8E1F78">
            <w:pPr>
              <w:keepNext w:val="0"/>
              <w:keepLines w:val="0"/>
              <w:pageBreakBefore w:val="0"/>
              <w:widowControl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color w:val="000000" w:themeColor="text1"/>
                <w:spacing w:val="5"/>
                <w:position w:val="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pacing w:val="5"/>
                <w:position w:val="1"/>
                <w:sz w:val="21"/>
                <w:szCs w:val="21"/>
                <w:highlight w:val="none"/>
                <w:lang w:val="en-US" w:eastAsia="zh-CN"/>
                <w14:textFill>
                  <w14:solidFill>
                    <w14:schemeClr w14:val="tx1"/>
                  </w14:solidFill>
                </w14:textFill>
              </w:rPr>
              <w:t>甘河子（含铁路专供）地下饮用水源地二级保护区</w:t>
            </w:r>
          </w:p>
        </w:tc>
        <w:tc>
          <w:tcPr>
            <w:tcW w:w="4179" w:type="dxa"/>
            <w:tcBorders>
              <w:tl2br w:val="nil"/>
              <w:tr2bl w:val="nil"/>
            </w:tcBorders>
            <w:vAlign w:val="center"/>
          </w:tcPr>
          <w:p w14:paraId="37740CDE">
            <w:pPr>
              <w:keepNext w:val="0"/>
              <w:keepLines w:val="0"/>
              <w:pageBreakBefore w:val="0"/>
              <w:widowControl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color w:val="000000" w:themeColor="text1"/>
                <w:spacing w:val="5"/>
                <w:position w:val="1"/>
                <w:sz w:val="21"/>
                <w:szCs w:val="21"/>
                <w:highlight w:val="yellow"/>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pacing w:val="5"/>
                <w:position w:val="1"/>
                <w:sz w:val="21"/>
                <w:szCs w:val="21"/>
                <w:highlight w:val="none"/>
                <w:lang w:val="en-US" w:eastAsia="zh-CN"/>
                <w14:textFill>
                  <w14:solidFill>
                    <w14:schemeClr w14:val="tx1"/>
                  </w14:solidFill>
                </w14:textFill>
              </w:rPr>
              <w:t>3台风机(H1、H2、H3)占用</w:t>
            </w:r>
          </w:p>
        </w:tc>
        <w:tc>
          <w:tcPr>
            <w:tcW w:w="2750" w:type="dxa"/>
            <w:vMerge w:val="continue"/>
            <w:tcBorders>
              <w:tl2br w:val="nil"/>
              <w:tr2bl w:val="nil"/>
            </w:tcBorders>
            <w:vAlign w:val="center"/>
          </w:tcPr>
          <w:p w14:paraId="54F7F5A9">
            <w:pPr>
              <w:keepNext w:val="0"/>
              <w:keepLines w:val="0"/>
              <w:pageBreakBefore w:val="0"/>
              <w:widowControl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color w:val="FF0000"/>
                <w:spacing w:val="5"/>
                <w:position w:val="1"/>
                <w:sz w:val="21"/>
                <w:szCs w:val="21"/>
                <w:highlight w:val="none"/>
                <w:lang w:val="en-US" w:eastAsia="zh-CN"/>
              </w:rPr>
            </w:pPr>
          </w:p>
        </w:tc>
        <w:tc>
          <w:tcPr>
            <w:tcW w:w="2840" w:type="dxa"/>
            <w:vMerge w:val="continue"/>
            <w:tcBorders>
              <w:tl2br w:val="nil"/>
              <w:tr2bl w:val="nil"/>
            </w:tcBorders>
            <w:vAlign w:val="center"/>
          </w:tcPr>
          <w:p w14:paraId="1E353DCE">
            <w:pPr>
              <w:keepNext w:val="0"/>
              <w:keepLines w:val="0"/>
              <w:pageBreakBefore w:val="0"/>
              <w:widowControl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color w:val="FF0000"/>
                <w:spacing w:val="14"/>
                <w:sz w:val="21"/>
                <w:szCs w:val="21"/>
                <w:highlight w:val="yellow"/>
              </w:rPr>
            </w:pPr>
          </w:p>
        </w:tc>
      </w:tr>
      <w:tr w14:paraId="4080CBF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514" w:type="dxa"/>
            <w:vMerge w:val="continue"/>
            <w:tcBorders>
              <w:tl2br w:val="nil"/>
              <w:tr2bl w:val="nil"/>
            </w:tcBorders>
            <w:vAlign w:val="center"/>
          </w:tcPr>
          <w:p w14:paraId="3A2A4C8F">
            <w:pPr>
              <w:keepNext w:val="0"/>
              <w:keepLines w:val="0"/>
              <w:pageBreakBefore w:val="0"/>
              <w:widowControl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color w:val="000000" w:themeColor="text1"/>
                <w:spacing w:val="5"/>
                <w:position w:val="1"/>
                <w:sz w:val="21"/>
                <w:szCs w:val="21"/>
                <w:highlight w:val="yellow"/>
                <w:lang w:val="en-US" w:eastAsia="zh-CN"/>
                <w14:textFill>
                  <w14:solidFill>
                    <w14:schemeClr w14:val="tx1"/>
                  </w14:solidFill>
                </w14:textFill>
              </w:rPr>
            </w:pPr>
          </w:p>
        </w:tc>
        <w:tc>
          <w:tcPr>
            <w:tcW w:w="1159" w:type="dxa"/>
            <w:vMerge w:val="continue"/>
            <w:tcBorders>
              <w:tl2br w:val="nil"/>
              <w:tr2bl w:val="nil"/>
            </w:tcBorders>
            <w:vAlign w:val="center"/>
          </w:tcPr>
          <w:p w14:paraId="2534C0FD">
            <w:pPr>
              <w:keepNext w:val="0"/>
              <w:keepLines w:val="0"/>
              <w:pageBreakBefore w:val="0"/>
              <w:widowControl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color w:val="000000" w:themeColor="text1"/>
                <w:spacing w:val="5"/>
                <w:position w:val="1"/>
                <w:sz w:val="21"/>
                <w:szCs w:val="21"/>
                <w:highlight w:val="yellow"/>
                <w:lang w:val="en-US" w:eastAsia="zh-CN"/>
                <w14:textFill>
                  <w14:solidFill>
                    <w14:schemeClr w14:val="tx1"/>
                  </w14:solidFill>
                </w14:textFill>
              </w:rPr>
            </w:pPr>
          </w:p>
        </w:tc>
        <w:tc>
          <w:tcPr>
            <w:tcW w:w="2500" w:type="dxa"/>
            <w:tcBorders>
              <w:tl2br w:val="nil"/>
              <w:tr2bl w:val="nil"/>
            </w:tcBorders>
            <w:vAlign w:val="center"/>
          </w:tcPr>
          <w:p w14:paraId="0B403688">
            <w:pPr>
              <w:keepNext w:val="0"/>
              <w:keepLines w:val="0"/>
              <w:pageBreakBefore w:val="0"/>
              <w:widowControl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color w:val="000000" w:themeColor="text1"/>
                <w:spacing w:val="5"/>
                <w:position w:val="1"/>
                <w:sz w:val="21"/>
                <w:szCs w:val="21"/>
                <w:highlight w:val="yellow"/>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pacing w:val="5"/>
                <w:position w:val="1"/>
                <w:sz w:val="21"/>
                <w:szCs w:val="21"/>
                <w:highlight w:val="none"/>
                <w:lang w:val="en-US" w:eastAsia="zh-CN"/>
                <w14:textFill>
                  <w14:solidFill>
                    <w14:schemeClr w14:val="tx1"/>
                  </w14:solidFill>
                </w14:textFill>
              </w:rPr>
              <w:t>乌拉泊、柴西、柴北、西山、甘河子（含铁路专供）准保护区</w:t>
            </w:r>
          </w:p>
        </w:tc>
        <w:tc>
          <w:tcPr>
            <w:tcW w:w="4179" w:type="dxa"/>
            <w:tcBorders>
              <w:tl2br w:val="nil"/>
              <w:tr2bl w:val="nil"/>
            </w:tcBorders>
            <w:vAlign w:val="center"/>
          </w:tcPr>
          <w:p w14:paraId="06F4CE9C">
            <w:pPr>
              <w:keepNext w:val="0"/>
              <w:keepLines w:val="0"/>
              <w:pageBreakBefore w:val="0"/>
              <w:widowControl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color w:val="000000" w:themeColor="text1"/>
                <w:spacing w:val="5"/>
                <w:position w:val="1"/>
                <w:sz w:val="21"/>
                <w:szCs w:val="21"/>
                <w:highlight w:val="yellow"/>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pacing w:val="5"/>
                <w:position w:val="1"/>
                <w:sz w:val="21"/>
                <w:szCs w:val="21"/>
                <w:highlight w:val="none"/>
                <w:lang w:val="en-US" w:eastAsia="zh-CN"/>
                <w14:textFill>
                  <w14:solidFill>
                    <w14:schemeClr w14:val="tx1"/>
                  </w14:solidFill>
                </w14:textFill>
              </w:rPr>
              <w:t>7台风机(H4、H7、H8、H10-H13)占用</w:t>
            </w:r>
          </w:p>
        </w:tc>
        <w:tc>
          <w:tcPr>
            <w:tcW w:w="2750" w:type="dxa"/>
            <w:vMerge w:val="continue"/>
            <w:tcBorders>
              <w:tl2br w:val="nil"/>
              <w:tr2bl w:val="nil"/>
            </w:tcBorders>
            <w:vAlign w:val="center"/>
          </w:tcPr>
          <w:p w14:paraId="0BBFC9F2">
            <w:pPr>
              <w:keepNext w:val="0"/>
              <w:keepLines w:val="0"/>
              <w:pageBreakBefore w:val="0"/>
              <w:widowControl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color w:val="FF0000"/>
                <w:spacing w:val="5"/>
                <w:position w:val="1"/>
                <w:sz w:val="21"/>
                <w:szCs w:val="21"/>
                <w:highlight w:val="yellow"/>
                <w:lang w:val="en-US" w:eastAsia="zh-CN"/>
              </w:rPr>
            </w:pPr>
          </w:p>
        </w:tc>
        <w:tc>
          <w:tcPr>
            <w:tcW w:w="2840" w:type="dxa"/>
            <w:vMerge w:val="continue"/>
            <w:tcBorders>
              <w:tl2br w:val="nil"/>
              <w:tr2bl w:val="nil"/>
            </w:tcBorders>
            <w:vAlign w:val="center"/>
          </w:tcPr>
          <w:p w14:paraId="20FA4CA4">
            <w:pPr>
              <w:keepNext w:val="0"/>
              <w:keepLines w:val="0"/>
              <w:pageBreakBefore w:val="0"/>
              <w:widowControl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color w:val="FF0000"/>
                <w:spacing w:val="14"/>
                <w:sz w:val="21"/>
                <w:szCs w:val="21"/>
                <w:highlight w:val="yellow"/>
              </w:rPr>
            </w:pPr>
          </w:p>
        </w:tc>
      </w:tr>
    </w:tbl>
    <w:p w14:paraId="1933CBF8">
      <w:pPr>
        <w:rPr>
          <w:rFonts w:hint="default" w:ascii="Times New Roman" w:hAnsi="Times New Roman" w:cs="Times New Roman" w:eastAsiaTheme="minorEastAsia"/>
          <w:b/>
          <w:color w:val="FF0000"/>
          <w:sz w:val="24"/>
          <w:highlight w:val="none"/>
          <w:lang w:val="en-US" w:eastAsia="zh-CN"/>
        </w:rPr>
      </w:pPr>
      <w:r>
        <w:rPr>
          <w:rFonts w:hint="default" w:ascii="Times New Roman" w:hAnsi="Times New Roman" w:cs="Times New Roman" w:eastAsiaTheme="minorEastAsia"/>
          <w:b/>
          <w:color w:val="FF0000"/>
          <w:sz w:val="24"/>
          <w:highlight w:val="none"/>
          <w:lang w:val="en-US" w:eastAsia="zh-CN"/>
        </w:rPr>
        <w:br w:type="page"/>
      </w:r>
    </w:p>
    <w:p w14:paraId="0592AF09">
      <w:pPr>
        <w:ind w:left="0" w:leftChars="0" w:firstLine="0" w:firstLineChars="0"/>
        <w:jc w:val="center"/>
        <w:rPr>
          <w:rFonts w:hint="default" w:ascii="Times New Roman" w:hAnsi="Times New Roman" w:cs="Times New Roman" w:eastAsiaTheme="minorEastAsia"/>
          <w:b/>
          <w:color w:val="FF0000"/>
          <w:kern w:val="2"/>
          <w:sz w:val="24"/>
          <w:highlight w:val="none"/>
          <w:lang w:val="en-US" w:eastAsia="zh-CN"/>
        </w:rPr>
        <w:sectPr>
          <w:headerReference r:id="rId10" w:type="default"/>
          <w:pgSz w:w="16838" w:h="11906" w:orient="landscape"/>
          <w:pgMar w:top="1418" w:right="1361" w:bottom="1418" w:left="1587" w:header="1077" w:footer="992" w:gutter="0"/>
          <w:pgBorders>
            <w:top w:val="none" w:sz="0" w:space="0"/>
            <w:left w:val="none" w:sz="0" w:space="0"/>
            <w:bottom w:val="none" w:sz="0" w:space="0"/>
            <w:right w:val="none" w:sz="0" w:space="0"/>
          </w:pgBorders>
          <w:pgNumType w:fmt="decimal"/>
          <w:cols w:space="720" w:num="1"/>
          <w:docGrid w:type="lines" w:linePitch="312" w:charSpace="0"/>
        </w:sectPr>
      </w:pPr>
    </w:p>
    <w:p w14:paraId="3601A896">
      <w:pPr>
        <w:pStyle w:val="3"/>
        <w:keepNext/>
        <w:keepLines/>
        <w:pageBreakBefore w:val="0"/>
        <w:widowControl w:val="0"/>
        <w:numPr>
          <w:ilvl w:val="0"/>
          <w:numId w:val="0"/>
        </w:numPr>
        <w:tabs>
          <w:tab w:val="left" w:pos="525"/>
        </w:tabs>
        <w:kinsoku/>
        <w:wordWrap w:val="0"/>
        <w:overflowPunct/>
        <w:topLinePunct w:val="0"/>
        <w:autoSpaceDE/>
        <w:autoSpaceDN/>
        <w:bidi w:val="0"/>
        <w:adjustRightInd/>
        <w:snapToGrid/>
        <w:spacing w:before="0" w:beforeLines="0" w:after="0" w:afterLines="0" w:line="360" w:lineRule="auto"/>
        <w:textAlignment w:val="auto"/>
        <w:outlineLvl w:val="0"/>
        <w:rPr>
          <w:rFonts w:hint="default" w:ascii="Times New Roman" w:hAnsi="Times New Roman" w:cs="Times New Roman" w:eastAsiaTheme="minorEastAsia"/>
          <w:color w:val="000000" w:themeColor="text1"/>
          <w:sz w:val="32"/>
          <w:highlight w:val="none"/>
          <w:lang w:val="en-US" w:eastAsia="zh-CN"/>
          <w14:textFill>
            <w14:solidFill>
              <w14:schemeClr w14:val="tx1"/>
            </w14:solidFill>
          </w14:textFill>
        </w:rPr>
      </w:pPr>
      <w:bookmarkStart w:id="204" w:name="_Toc30358"/>
      <w:bookmarkStart w:id="205" w:name="_Toc294859094"/>
      <w:bookmarkStart w:id="206" w:name="_Toc391021338"/>
      <w:bookmarkStart w:id="207" w:name="_Toc4005"/>
      <w:bookmarkStart w:id="208" w:name="_Toc8519"/>
      <w:bookmarkStart w:id="209" w:name="_Toc391021122"/>
      <w:bookmarkStart w:id="210" w:name="_Toc28998"/>
      <w:bookmarkStart w:id="211" w:name="_Toc340737482"/>
      <w:bookmarkStart w:id="212" w:name="_Toc2897"/>
      <w:bookmarkStart w:id="213" w:name="_Toc391020897"/>
      <w:bookmarkStart w:id="214" w:name="_Toc225668531"/>
      <w:bookmarkStart w:id="215" w:name="_Toc28653"/>
      <w:bookmarkStart w:id="216" w:name="_Toc21493"/>
      <w:bookmarkStart w:id="217" w:name="_Toc23217"/>
      <w:bookmarkStart w:id="218" w:name="_Toc313005864"/>
      <w:r>
        <w:rPr>
          <w:rFonts w:hint="default" w:ascii="Times New Roman" w:hAnsi="Times New Roman" w:cs="Times New Roman" w:eastAsiaTheme="minorEastAsia"/>
          <w:color w:val="000000" w:themeColor="text1"/>
          <w:sz w:val="32"/>
          <w:highlight w:val="none"/>
          <w:lang w:val="en-US" w:eastAsia="zh-CN"/>
          <w14:textFill>
            <w14:solidFill>
              <w14:schemeClr w14:val="tx1"/>
            </w14:solidFill>
          </w14:textFill>
        </w:rPr>
        <w:t>3 建设项目工程分析</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p>
    <w:p w14:paraId="37DB4B52">
      <w:pPr>
        <w:pStyle w:val="4"/>
        <w:pageBreakBefore w:val="0"/>
        <w:widowControl w:val="0"/>
        <w:numPr>
          <w:ilvl w:val="0"/>
          <w:numId w:val="0"/>
        </w:numPr>
        <w:tabs>
          <w:tab w:val="left" w:pos="630"/>
          <w:tab w:val="left" w:pos="3403"/>
        </w:tabs>
        <w:kinsoku/>
        <w:wordWrap w:val="0"/>
        <w:overflowPunct/>
        <w:topLinePunct w:val="0"/>
        <w:autoSpaceDE/>
        <w:autoSpaceDN/>
        <w:bidi w:val="0"/>
        <w:adjustRightInd/>
        <w:snapToGrid/>
        <w:spacing w:before="0" w:beforeLines="0" w:after="0" w:afterLines="0" w:line="360" w:lineRule="auto"/>
        <w:outlineLvl w:val="1"/>
        <w:rPr>
          <w:rFonts w:hint="default" w:ascii="Times New Roman" w:hAnsi="Times New Roman" w:cs="Times New Roman" w:eastAsiaTheme="minorEastAsia"/>
          <w:color w:val="000000" w:themeColor="text1"/>
          <w:sz w:val="30"/>
          <w:highlight w:val="none"/>
          <w:lang w:val="en-US" w:eastAsia="zh-CN"/>
          <w14:textFill>
            <w14:solidFill>
              <w14:schemeClr w14:val="tx1"/>
            </w14:solidFill>
          </w14:textFill>
        </w:rPr>
      </w:pPr>
      <w:bookmarkStart w:id="219" w:name="_Toc12854"/>
      <w:bookmarkStart w:id="220" w:name="_Toc5849"/>
      <w:bookmarkStart w:id="221" w:name="_Toc1168"/>
      <w:bookmarkStart w:id="222" w:name="_Toc13558"/>
      <w:bookmarkStart w:id="223" w:name="_Toc22380"/>
      <w:bookmarkStart w:id="224" w:name="_Toc12399"/>
      <w:bookmarkStart w:id="225" w:name="_Toc24627"/>
      <w:bookmarkStart w:id="226" w:name="_Toc18366"/>
      <w:r>
        <w:rPr>
          <w:rFonts w:hint="default" w:ascii="Times New Roman" w:hAnsi="Times New Roman" w:cs="Times New Roman" w:eastAsiaTheme="minorEastAsia"/>
          <w:color w:val="000000" w:themeColor="text1"/>
          <w:sz w:val="30"/>
          <w:highlight w:val="none"/>
          <w:lang w:val="en-US" w:eastAsia="zh-CN"/>
          <w14:textFill>
            <w14:solidFill>
              <w14:schemeClr w14:val="tx1"/>
            </w14:solidFill>
          </w14:textFill>
        </w:rPr>
        <w:t>3.1 项目概况</w:t>
      </w:r>
      <w:bookmarkEnd w:id="219"/>
      <w:bookmarkEnd w:id="220"/>
      <w:bookmarkEnd w:id="221"/>
      <w:bookmarkEnd w:id="222"/>
      <w:bookmarkEnd w:id="223"/>
      <w:bookmarkEnd w:id="224"/>
      <w:bookmarkEnd w:id="225"/>
      <w:bookmarkEnd w:id="226"/>
    </w:p>
    <w:p w14:paraId="46E97915">
      <w:pPr>
        <w:pStyle w:val="11"/>
        <w:keepNext/>
        <w:keepLines/>
        <w:pageBreakBefore w:val="0"/>
        <w:widowControl w:val="0"/>
        <w:kinsoku/>
        <w:wordWrap/>
        <w:overflowPunct/>
        <w:topLinePunct w:val="0"/>
        <w:autoSpaceDE/>
        <w:autoSpaceDN/>
        <w:bidi w:val="0"/>
        <w:adjustRightInd/>
        <w:snapToGrid/>
        <w:ind w:left="0"/>
        <w:textAlignment w:val="auto"/>
        <w:outlineLvl w:val="2"/>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bookmarkStart w:id="227" w:name="_Toc19757"/>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3.1.1 项目基本情况</w:t>
      </w:r>
      <w:bookmarkEnd w:id="227"/>
    </w:p>
    <w:p w14:paraId="2F421BD0">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t>项目名称：</w:t>
      </w:r>
      <w:r>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电投融和沙依巴克区15万千瓦风电</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项目</w:t>
      </w:r>
    </w:p>
    <w:p w14:paraId="4B10A7B3">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t>建设单位：</w:t>
      </w:r>
      <w:r>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乌鲁木齐市沙依巴克区电投融和新</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能源</w:t>
      </w:r>
      <w:r>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有</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限公司</w:t>
      </w:r>
    </w:p>
    <w:p w14:paraId="5CFA9887">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cs="Times New Roman" w:eastAsiaTheme="minorEastAsia"/>
          <w:color w:val="FF0000"/>
          <w:sz w:val="24"/>
          <w:highlight w:val="none"/>
          <w:lang w:val="en-US" w:eastAsia="zh-CN"/>
        </w:rPr>
      </w:pPr>
      <w:r>
        <w:rPr>
          <w:rFonts w:hint="default"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t>建设地点：</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本项目位于新疆维吾尔自治区乌鲁木齐市</w:t>
      </w:r>
      <w:r>
        <w:rPr>
          <w:rFonts w:hint="eastAsia" w:cs="Times New Roman" w:eastAsiaTheme="minorEastAsia"/>
          <w:snapToGrid w:val="0"/>
          <w:color w:val="000000" w:themeColor="text1"/>
          <w:sz w:val="24"/>
          <w:highlight w:val="none"/>
          <w:lang w:val="en-US" w:eastAsia="zh-CN"/>
          <w14:textFill>
            <w14:solidFill>
              <w14:schemeClr w14:val="tx1"/>
            </w14:solidFill>
          </w14:textFill>
        </w:rPr>
        <w:t>沙依巴克区</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内，</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项目</w:t>
      </w:r>
      <w:r>
        <w:rPr>
          <w:rFonts w:hint="eastAsia" w:cs="Times New Roman" w:eastAsiaTheme="minorEastAsia"/>
          <w:color w:val="000000" w:themeColor="text1"/>
          <w:sz w:val="24"/>
          <w:highlight w:val="none"/>
          <w:lang w:val="en-US" w:eastAsia="zh-CN"/>
          <w14:textFill>
            <w14:solidFill>
              <w14:schemeClr w14:val="tx1"/>
            </w14:solidFill>
          </w14:textFill>
        </w:rPr>
        <w:t>拟建风机</w:t>
      </w:r>
      <w:r>
        <w:rPr>
          <w:rFonts w:hint="default" w:ascii="Times New Roman" w:hAnsi="Times New Roman" w:cs="Times New Roman" w:eastAsiaTheme="minorEastAsia"/>
          <w:color w:val="000000" w:themeColor="text1"/>
          <w:sz w:val="24"/>
          <w:highlight w:val="none"/>
          <w14:textFill>
            <w14:solidFill>
              <w14:schemeClr w14:val="tx1"/>
            </w14:solidFill>
          </w14:textFill>
        </w:rPr>
        <w:t>分布比较分散，</w:t>
      </w:r>
      <w:r>
        <w:rPr>
          <w:rFonts w:hint="eastAsia" w:ascii="宋体" w:hAnsi="宋体" w:eastAsia="宋体"/>
          <w:color w:val="000000" w:themeColor="text1"/>
          <w:sz w:val="24"/>
          <w14:textFill>
            <w14:solidFill>
              <w14:schemeClr w14:val="tx1"/>
            </w14:solidFill>
          </w14:textFill>
        </w:rPr>
        <w:t>场区中心点位于乌鲁木齐市西南方向约</w:t>
      </w:r>
      <w:r>
        <w:rPr>
          <w:rFonts w:hint="eastAsia" w:ascii="TimesNewRomanPSMT" w:hAnsi="TimesNewRomanPSMT" w:eastAsia="TimesNewRomanPSMT"/>
          <w:color w:val="000000" w:themeColor="text1"/>
          <w:sz w:val="24"/>
          <w14:textFill>
            <w14:solidFill>
              <w14:schemeClr w14:val="tx1"/>
            </w14:solidFill>
          </w14:textFill>
        </w:rPr>
        <w:t xml:space="preserve">17km </w:t>
      </w:r>
      <w:r>
        <w:rPr>
          <w:rFonts w:hint="eastAsia" w:ascii="宋体" w:hAnsi="宋体" w:eastAsia="宋体"/>
          <w:color w:val="000000" w:themeColor="text1"/>
          <w:sz w:val="24"/>
          <w14:textFill>
            <w14:solidFill>
              <w14:schemeClr w14:val="tx1"/>
            </w14:solidFill>
          </w14:textFill>
        </w:rPr>
        <w:t>处。</w:t>
      </w:r>
      <w:r>
        <w:rPr>
          <w:rFonts w:hint="eastAsia" w:ascii="宋体" w:hAnsi="宋体" w:eastAsia="宋体"/>
          <w:color w:val="000000" w:themeColor="text1"/>
          <w:sz w:val="24"/>
          <w:lang w:val="en-US" w:eastAsia="zh-CN"/>
          <w14:textFill>
            <w14:solidFill>
              <w14:schemeClr w14:val="tx1"/>
            </w14:solidFill>
          </w14:textFill>
        </w:rPr>
        <w:t>项目拟设置20台风机，各风机坐标见表3.1-1</w:t>
      </w:r>
      <w:r>
        <w:rPr>
          <w:rFonts w:hint="default" w:ascii="Times New Roman" w:hAnsi="Times New Roman" w:cs="Times New Roman" w:eastAsiaTheme="minorEastAsia"/>
          <w:color w:val="FF0000"/>
          <w:sz w:val="24"/>
          <w:highlight w:val="none"/>
          <w:lang w:val="en-US" w:eastAsia="zh-CN"/>
        </w:rPr>
        <w:t>。</w:t>
      </w:r>
    </w:p>
    <w:p w14:paraId="1186F7FA">
      <w:pPr>
        <w:pStyle w:val="19"/>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本项目地理位置图详见图3.1-1，</w:t>
      </w:r>
      <w:r>
        <w:rPr>
          <w:rFonts w:hint="eastAsia" w:cs="Times New Roman" w:eastAsiaTheme="minorEastAsia"/>
          <w:color w:val="000000" w:themeColor="text1"/>
          <w:sz w:val="24"/>
          <w:highlight w:val="none"/>
          <w:lang w:val="en-US" w:eastAsia="zh-CN"/>
          <w14:textFill>
            <w14:solidFill>
              <w14:schemeClr w14:val="tx1"/>
            </w14:solidFill>
          </w14:textFill>
        </w:rPr>
        <w:t>风机所在</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位置</w:t>
      </w:r>
      <w:r>
        <w:rPr>
          <w:rFonts w:hint="eastAsia" w:cs="Times New Roman" w:eastAsiaTheme="minorEastAsia"/>
          <w:color w:val="000000" w:themeColor="text1"/>
          <w:sz w:val="24"/>
          <w:highlight w:val="none"/>
          <w:lang w:val="en-US" w:eastAsia="zh-CN"/>
          <w14:textFill>
            <w14:solidFill>
              <w14:schemeClr w14:val="tx1"/>
            </w14:solidFill>
          </w14:textFill>
        </w:rPr>
        <w:t>及周边关系影像图，</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见图3.1-2。</w:t>
      </w:r>
    </w:p>
    <w:p w14:paraId="539A3182">
      <w:pPr>
        <w:bidi w:val="0"/>
        <w:spacing w:line="240" w:lineRule="auto"/>
        <w:ind w:firstLine="964" w:firstLineChars="400"/>
        <w:jc w:val="both"/>
        <w:rPr>
          <w:rFonts w:hint="eastAsia" w:ascii="Times New Roman" w:hAnsi="Times New Roman" w:cs="Times New Roman" w:eastAsiaTheme="minorEastAsia"/>
          <w:b/>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highlight w:val="none"/>
          <w14:textFill>
            <w14:solidFill>
              <w14:schemeClr w14:val="tx1"/>
            </w14:solidFill>
          </w14:textFill>
        </w:rPr>
        <w:t>表</w:t>
      </w:r>
      <w:r>
        <w:rPr>
          <w:rFonts w:hint="default" w:ascii="Times New Roman" w:hAnsi="Times New Roman" w:cs="Times New Roman" w:eastAsiaTheme="minorEastAsia"/>
          <w:b/>
          <w:bCs/>
          <w:color w:val="000000" w:themeColor="text1"/>
          <w:sz w:val="24"/>
          <w:szCs w:val="24"/>
          <w:highlight w:val="none"/>
          <w:lang w:val="en-US" w:eastAsia="zh-CN"/>
          <w14:textFill>
            <w14:solidFill>
              <w14:schemeClr w14:val="tx1"/>
            </w14:solidFill>
          </w14:textFill>
        </w:rPr>
        <w:t>3</w:t>
      </w:r>
      <w:r>
        <w:rPr>
          <w:rFonts w:hint="default" w:ascii="Times New Roman" w:hAnsi="Times New Roman" w:cs="Times New Roman" w:eastAsiaTheme="minorEastAsia"/>
          <w:b/>
          <w:bCs/>
          <w:color w:val="000000" w:themeColor="text1"/>
          <w:sz w:val="24"/>
          <w:szCs w:val="24"/>
          <w:highlight w:val="none"/>
          <w14:textFill>
            <w14:solidFill>
              <w14:schemeClr w14:val="tx1"/>
            </w14:solidFill>
          </w14:textFill>
        </w:rPr>
        <w:t xml:space="preserve">.1-1  </w:t>
      </w:r>
      <w:r>
        <w:rPr>
          <w:rFonts w:hint="default" w:ascii="Times New Roman" w:hAnsi="Times New Roman" w:cs="Times New Roman" w:eastAsiaTheme="minorEastAsia"/>
          <w:b/>
          <w:bCs/>
          <w:color w:val="000000" w:themeColor="text1"/>
          <w:sz w:val="24"/>
          <w:szCs w:val="24"/>
          <w:highlight w:val="none"/>
          <w:lang w:val="en-US" w:eastAsia="zh-CN"/>
          <w14:textFill>
            <w14:solidFill>
              <w14:schemeClr w14:val="tx1"/>
            </w14:solidFill>
          </w14:textFill>
        </w:rPr>
        <w:t xml:space="preserve">  </w:t>
      </w:r>
      <w:r>
        <w:rPr>
          <w:rFonts w:hint="eastAsia" w:cs="Times New Roman" w:eastAsiaTheme="minorEastAsia"/>
          <w:b/>
          <w:bCs/>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cs="Times New Roman" w:eastAsiaTheme="minorEastAsia"/>
          <w:b/>
          <w:bCs/>
          <w:color w:val="000000" w:themeColor="text1"/>
          <w:sz w:val="24"/>
          <w:szCs w:val="24"/>
          <w:highlight w:val="none"/>
          <w14:textFill>
            <w14:solidFill>
              <w14:schemeClr w14:val="tx1"/>
            </w14:solidFill>
          </w14:textFill>
        </w:rPr>
        <w:t>风</w:t>
      </w:r>
      <w:r>
        <w:rPr>
          <w:rFonts w:hint="eastAsia" w:cs="Times New Roman" w:eastAsiaTheme="minorEastAsia"/>
          <w:b/>
          <w:bCs/>
          <w:color w:val="000000" w:themeColor="text1"/>
          <w:sz w:val="24"/>
          <w:szCs w:val="24"/>
          <w:highlight w:val="none"/>
          <w:lang w:val="en-US" w:eastAsia="zh-CN"/>
          <w14:textFill>
            <w14:solidFill>
              <w14:schemeClr w14:val="tx1"/>
            </w14:solidFill>
          </w14:textFill>
        </w:rPr>
        <w:t>机点位</w:t>
      </w:r>
      <w:r>
        <w:rPr>
          <w:rFonts w:hint="default" w:ascii="Times New Roman" w:hAnsi="Times New Roman" w:cs="Times New Roman" w:eastAsiaTheme="minorEastAsia"/>
          <w:b/>
          <w:bCs/>
          <w:color w:val="000000" w:themeColor="text1"/>
          <w:sz w:val="24"/>
          <w:szCs w:val="24"/>
          <w:highlight w:val="none"/>
          <w14:textFill>
            <w14:solidFill>
              <w14:schemeClr w14:val="tx1"/>
            </w14:solidFill>
          </w14:textFill>
        </w:rPr>
        <w:t>坐标</w:t>
      </w:r>
      <w:r>
        <w:rPr>
          <w:rFonts w:hint="eastAsia" w:cs="Times New Roman" w:eastAsiaTheme="minorEastAsia"/>
          <w:b/>
          <w:bCs/>
          <w:color w:val="000000" w:themeColor="text1"/>
          <w:sz w:val="24"/>
          <w:szCs w:val="24"/>
          <w:highlight w:val="none"/>
          <w:lang w:val="en-US" w:eastAsia="zh-CN"/>
          <w14:textFill>
            <w14:solidFill>
              <w14:schemeClr w14:val="tx1"/>
            </w14:solidFill>
          </w14:textFill>
        </w:rPr>
        <w:t>一览表</w:t>
      </w:r>
    </w:p>
    <w:tbl>
      <w:tblPr>
        <w:tblStyle w:val="75"/>
        <w:tblW w:w="885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216"/>
        <w:gridCol w:w="1209"/>
        <w:gridCol w:w="3210"/>
        <w:gridCol w:w="3218"/>
      </w:tblGrid>
      <w:tr w14:paraId="319010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0" w:type="auto"/>
            <w:vMerge w:val="restart"/>
            <w:tcBorders>
              <w:tl2br w:val="nil"/>
              <w:tr2bl w:val="nil"/>
            </w:tcBorders>
            <w:shd w:val="clear" w:color="auto" w:fill="auto"/>
            <w:noWrap/>
            <w:tcMar>
              <w:top w:w="12" w:type="dxa"/>
              <w:left w:w="12" w:type="dxa"/>
              <w:right w:w="12" w:type="dxa"/>
            </w:tcMar>
            <w:vAlign w:val="center"/>
          </w:tcPr>
          <w:p w14:paraId="08AE5DB1">
            <w:pPr>
              <w:keepNext w:val="0"/>
              <w:keepLines w:val="0"/>
              <w:pageBreakBefore w:val="0"/>
              <w:widowControl/>
              <w:suppressLineNumbers w:val="0"/>
              <w:kinsoku/>
              <w:wordWrap/>
              <w:overflowPunct/>
              <w:topLinePunct w:val="0"/>
              <w:autoSpaceDE/>
              <w:autoSpaceDN/>
              <w:bidi w:val="0"/>
              <w:adjustRightInd/>
              <w:snapToGrid w:val="0"/>
              <w:spacing w:line="320" w:lineRule="exact"/>
              <w:ind w:left="0" w:leftChars="0"/>
              <w:jc w:val="center"/>
              <w:textAlignment w:val="center"/>
              <w:rPr>
                <w:rFonts w:hint="eastAsia" w:ascii="宋体" w:hAnsi="宋体" w:eastAsia="宋体" w:cs="宋体"/>
                <w:i w:val="0"/>
                <w:color w:val="000000" w:themeColor="text1"/>
                <w:sz w:val="21"/>
                <w:szCs w:val="21"/>
                <w:u w:val="none"/>
                <w14:textFill>
                  <w14:solidFill>
                    <w14:schemeClr w14:val="tx1"/>
                  </w14:solidFill>
                </w14:textFill>
              </w:rPr>
            </w:pPr>
            <w: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t>序号</w:t>
            </w:r>
          </w:p>
        </w:tc>
        <w:tc>
          <w:tcPr>
            <w:tcW w:w="0" w:type="auto"/>
            <w:vMerge w:val="restart"/>
            <w:tcBorders>
              <w:tl2br w:val="nil"/>
              <w:tr2bl w:val="nil"/>
            </w:tcBorders>
            <w:shd w:val="clear" w:color="auto" w:fill="auto"/>
            <w:noWrap/>
            <w:tcMar>
              <w:top w:w="12" w:type="dxa"/>
              <w:left w:w="12" w:type="dxa"/>
              <w:right w:w="12" w:type="dxa"/>
            </w:tcMar>
            <w:vAlign w:val="center"/>
          </w:tcPr>
          <w:p w14:paraId="0880B5FB">
            <w:pPr>
              <w:keepNext w:val="0"/>
              <w:keepLines w:val="0"/>
              <w:pageBreakBefore w:val="0"/>
              <w:widowControl/>
              <w:suppressLineNumbers w:val="0"/>
              <w:kinsoku/>
              <w:wordWrap/>
              <w:overflowPunct/>
              <w:topLinePunct w:val="0"/>
              <w:autoSpaceDE/>
              <w:autoSpaceDN/>
              <w:bidi w:val="0"/>
              <w:adjustRightInd/>
              <w:snapToGrid w:val="0"/>
              <w:spacing w:line="320" w:lineRule="exact"/>
              <w:ind w:left="0" w:leftChars="0"/>
              <w:jc w:val="center"/>
              <w:textAlignment w:val="center"/>
              <w:rPr>
                <w:rFonts w:hint="eastAsia" w:ascii="宋体" w:hAnsi="宋体" w:eastAsia="宋体" w:cs="宋体"/>
                <w:i w:val="0"/>
                <w:color w:val="000000" w:themeColor="text1"/>
                <w:sz w:val="21"/>
                <w:szCs w:val="21"/>
                <w:u w:val="none"/>
                <w14:textFill>
                  <w14:solidFill>
                    <w14:schemeClr w14:val="tx1"/>
                  </w14:solidFill>
                </w14:textFill>
              </w:rPr>
            </w:pPr>
            <w: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t>点号</w:t>
            </w:r>
          </w:p>
        </w:tc>
        <w:tc>
          <w:tcPr>
            <w:tcW w:w="0" w:type="auto"/>
            <w:gridSpan w:val="2"/>
            <w:tcBorders>
              <w:tl2br w:val="nil"/>
              <w:tr2bl w:val="nil"/>
            </w:tcBorders>
            <w:shd w:val="clear" w:color="auto" w:fill="auto"/>
            <w:noWrap/>
            <w:tcMar>
              <w:top w:w="12" w:type="dxa"/>
              <w:left w:w="12" w:type="dxa"/>
              <w:right w:w="12" w:type="dxa"/>
            </w:tcMar>
            <w:vAlign w:val="center"/>
          </w:tcPr>
          <w:p w14:paraId="4943EDFE">
            <w:pPr>
              <w:keepNext w:val="0"/>
              <w:keepLines w:val="0"/>
              <w:pageBreakBefore w:val="0"/>
              <w:widowControl/>
              <w:suppressLineNumbers w:val="0"/>
              <w:kinsoku/>
              <w:wordWrap/>
              <w:overflowPunct/>
              <w:topLinePunct w:val="0"/>
              <w:autoSpaceDE/>
              <w:autoSpaceDN/>
              <w:bidi w:val="0"/>
              <w:adjustRightInd/>
              <w:snapToGrid w:val="0"/>
              <w:spacing w:line="320" w:lineRule="exact"/>
              <w:ind w:left="0" w:leftChars="0"/>
              <w:jc w:val="center"/>
              <w:textAlignment w:val="center"/>
              <w:rPr>
                <w:rFonts w:hint="eastAsia" w:ascii="宋体" w:hAnsi="宋体" w:eastAsia="宋体" w:cs="宋体"/>
                <w:i w:val="0"/>
                <w:color w:val="000000" w:themeColor="text1"/>
                <w:sz w:val="21"/>
                <w:szCs w:val="21"/>
                <w:u w:val="none"/>
                <w14:textFill>
                  <w14:solidFill>
                    <w14:schemeClr w14:val="tx1"/>
                  </w14:solidFill>
                </w14:textFill>
              </w:rPr>
            </w:pPr>
            <w: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t>经纬度</w:t>
            </w:r>
          </w:p>
        </w:tc>
      </w:tr>
      <w:tr w14:paraId="5092B5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0" w:type="auto"/>
            <w:vMerge w:val="continue"/>
            <w:tcBorders>
              <w:tl2br w:val="nil"/>
              <w:tr2bl w:val="nil"/>
            </w:tcBorders>
            <w:shd w:val="clear" w:color="auto" w:fill="auto"/>
            <w:noWrap/>
            <w:tcMar>
              <w:top w:w="12" w:type="dxa"/>
              <w:left w:w="12" w:type="dxa"/>
              <w:right w:w="12" w:type="dxa"/>
            </w:tcMar>
            <w:vAlign w:val="center"/>
          </w:tcPr>
          <w:p w14:paraId="3BF01E0C">
            <w:pPr>
              <w:keepNext w:val="0"/>
              <w:keepLines w:val="0"/>
              <w:pageBreakBefore w:val="0"/>
              <w:widowControl/>
              <w:kinsoku/>
              <w:wordWrap/>
              <w:overflowPunct/>
              <w:topLinePunct w:val="0"/>
              <w:autoSpaceDE/>
              <w:autoSpaceDN/>
              <w:bidi w:val="0"/>
              <w:adjustRightInd/>
              <w:snapToGrid w:val="0"/>
              <w:spacing w:line="320" w:lineRule="exact"/>
              <w:ind w:left="0" w:leftChars="0"/>
              <w:jc w:val="center"/>
              <w:rPr>
                <w:rFonts w:hint="eastAsia" w:ascii="宋体" w:hAnsi="宋体" w:eastAsia="宋体" w:cs="宋体"/>
                <w:i w:val="0"/>
                <w:color w:val="000000" w:themeColor="text1"/>
                <w:sz w:val="21"/>
                <w:szCs w:val="21"/>
                <w:u w:val="none"/>
                <w14:textFill>
                  <w14:solidFill>
                    <w14:schemeClr w14:val="tx1"/>
                  </w14:solidFill>
                </w14:textFill>
              </w:rPr>
            </w:pPr>
          </w:p>
        </w:tc>
        <w:tc>
          <w:tcPr>
            <w:tcW w:w="0" w:type="auto"/>
            <w:vMerge w:val="continue"/>
            <w:tcBorders>
              <w:tl2br w:val="nil"/>
              <w:tr2bl w:val="nil"/>
            </w:tcBorders>
            <w:shd w:val="clear" w:color="auto" w:fill="auto"/>
            <w:noWrap/>
            <w:tcMar>
              <w:top w:w="12" w:type="dxa"/>
              <w:left w:w="12" w:type="dxa"/>
              <w:right w:w="12" w:type="dxa"/>
            </w:tcMar>
            <w:vAlign w:val="center"/>
          </w:tcPr>
          <w:p w14:paraId="0EA41345">
            <w:pPr>
              <w:keepNext w:val="0"/>
              <w:keepLines w:val="0"/>
              <w:pageBreakBefore w:val="0"/>
              <w:widowControl/>
              <w:kinsoku/>
              <w:wordWrap/>
              <w:overflowPunct/>
              <w:topLinePunct w:val="0"/>
              <w:autoSpaceDE/>
              <w:autoSpaceDN/>
              <w:bidi w:val="0"/>
              <w:adjustRightInd/>
              <w:snapToGrid w:val="0"/>
              <w:spacing w:line="320" w:lineRule="exact"/>
              <w:ind w:left="0" w:leftChars="0"/>
              <w:jc w:val="center"/>
              <w:rPr>
                <w:rFonts w:hint="eastAsia" w:ascii="宋体" w:hAnsi="宋体" w:eastAsia="宋体" w:cs="宋体"/>
                <w:i w:val="0"/>
                <w:color w:val="000000" w:themeColor="text1"/>
                <w:sz w:val="21"/>
                <w:szCs w:val="21"/>
                <w:u w:val="none"/>
                <w14:textFill>
                  <w14:solidFill>
                    <w14:schemeClr w14:val="tx1"/>
                  </w14:solidFill>
                </w14:textFill>
              </w:rPr>
            </w:pPr>
          </w:p>
        </w:tc>
        <w:tc>
          <w:tcPr>
            <w:tcW w:w="0" w:type="auto"/>
            <w:tcBorders>
              <w:tl2br w:val="nil"/>
              <w:tr2bl w:val="nil"/>
            </w:tcBorders>
            <w:shd w:val="clear" w:color="auto" w:fill="auto"/>
            <w:noWrap/>
            <w:tcMar>
              <w:top w:w="12" w:type="dxa"/>
              <w:left w:w="12" w:type="dxa"/>
              <w:right w:w="12" w:type="dxa"/>
            </w:tcMar>
            <w:vAlign w:val="center"/>
          </w:tcPr>
          <w:p w14:paraId="08CBA7FF">
            <w:pPr>
              <w:keepNext w:val="0"/>
              <w:keepLines w:val="0"/>
              <w:pageBreakBefore w:val="0"/>
              <w:widowControl/>
              <w:suppressLineNumbers w:val="0"/>
              <w:kinsoku/>
              <w:wordWrap/>
              <w:overflowPunct/>
              <w:topLinePunct w:val="0"/>
              <w:autoSpaceDE/>
              <w:autoSpaceDN/>
              <w:bidi w:val="0"/>
              <w:adjustRightInd/>
              <w:snapToGrid w:val="0"/>
              <w:spacing w:line="320" w:lineRule="exact"/>
              <w:ind w:left="0" w:leftChars="0"/>
              <w:jc w:val="center"/>
              <w:textAlignment w:val="center"/>
              <w:rPr>
                <w:rFonts w:hint="eastAsia" w:ascii="宋体" w:hAnsi="宋体" w:eastAsia="宋体" w:cs="宋体"/>
                <w:i w:val="0"/>
                <w:color w:val="000000" w:themeColor="text1"/>
                <w:sz w:val="21"/>
                <w:szCs w:val="21"/>
                <w:u w:val="none"/>
                <w14:textFill>
                  <w14:solidFill>
                    <w14:schemeClr w14:val="tx1"/>
                  </w14:solidFill>
                </w14:textFill>
              </w:rPr>
            </w:pPr>
            <w: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t>东经</w:t>
            </w:r>
          </w:p>
        </w:tc>
        <w:tc>
          <w:tcPr>
            <w:tcW w:w="0" w:type="auto"/>
            <w:tcBorders>
              <w:tl2br w:val="nil"/>
              <w:tr2bl w:val="nil"/>
            </w:tcBorders>
            <w:shd w:val="clear" w:color="auto" w:fill="auto"/>
            <w:noWrap/>
            <w:tcMar>
              <w:top w:w="12" w:type="dxa"/>
              <w:left w:w="12" w:type="dxa"/>
              <w:right w:w="12" w:type="dxa"/>
            </w:tcMar>
            <w:vAlign w:val="center"/>
          </w:tcPr>
          <w:p w14:paraId="131CFA1B">
            <w:pPr>
              <w:keepNext w:val="0"/>
              <w:keepLines w:val="0"/>
              <w:pageBreakBefore w:val="0"/>
              <w:widowControl/>
              <w:suppressLineNumbers w:val="0"/>
              <w:kinsoku/>
              <w:wordWrap/>
              <w:overflowPunct/>
              <w:topLinePunct w:val="0"/>
              <w:autoSpaceDE/>
              <w:autoSpaceDN/>
              <w:bidi w:val="0"/>
              <w:adjustRightInd/>
              <w:snapToGrid w:val="0"/>
              <w:spacing w:line="320" w:lineRule="exact"/>
              <w:ind w:left="0" w:leftChars="0"/>
              <w:jc w:val="center"/>
              <w:textAlignment w:val="center"/>
              <w:rPr>
                <w:rFonts w:hint="eastAsia" w:ascii="宋体" w:hAnsi="宋体" w:eastAsia="宋体" w:cs="宋体"/>
                <w:i w:val="0"/>
                <w:color w:val="000000" w:themeColor="text1"/>
                <w:sz w:val="21"/>
                <w:szCs w:val="21"/>
                <w:u w:val="none"/>
                <w14:textFill>
                  <w14:solidFill>
                    <w14:schemeClr w14:val="tx1"/>
                  </w14:solidFill>
                </w14:textFill>
              </w:rPr>
            </w:pPr>
            <w: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t>北纬</w:t>
            </w:r>
          </w:p>
        </w:tc>
      </w:tr>
      <w:tr w14:paraId="4867CB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0" w:type="auto"/>
            <w:tcBorders>
              <w:tl2br w:val="nil"/>
              <w:tr2bl w:val="nil"/>
            </w:tcBorders>
            <w:shd w:val="clear" w:color="auto" w:fill="auto"/>
            <w:noWrap/>
            <w:tcMar>
              <w:top w:w="12" w:type="dxa"/>
              <w:left w:w="12" w:type="dxa"/>
              <w:right w:w="12" w:type="dxa"/>
            </w:tcMar>
            <w:vAlign w:val="center"/>
          </w:tcPr>
          <w:p w14:paraId="39538CC2">
            <w:pPr>
              <w:keepNext w:val="0"/>
              <w:keepLines w:val="0"/>
              <w:pageBreakBefore w:val="0"/>
              <w:widowControl/>
              <w:suppressLineNumbers w:val="0"/>
              <w:kinsoku/>
              <w:wordWrap/>
              <w:overflowPunct/>
              <w:topLinePunct w:val="0"/>
              <w:autoSpaceDE/>
              <w:autoSpaceDN/>
              <w:bidi w:val="0"/>
              <w:adjustRightInd/>
              <w:snapToGrid w:val="0"/>
              <w:spacing w:line="320" w:lineRule="exact"/>
              <w:ind w:left="0" w:leftChars="0"/>
              <w:jc w:val="center"/>
              <w:textAlignment w:val="center"/>
              <w:rPr>
                <w:rFonts w:hint="eastAsia" w:ascii="宋体" w:hAnsi="宋体" w:eastAsia="宋体" w:cs="宋体"/>
                <w:i w:val="0"/>
                <w:color w:val="000000" w:themeColor="text1"/>
                <w:sz w:val="21"/>
                <w:szCs w:val="21"/>
                <w:u w:val="none"/>
                <w14:textFill>
                  <w14:solidFill>
                    <w14:schemeClr w14:val="tx1"/>
                  </w14:solidFill>
                </w14:textFill>
              </w:rPr>
            </w:pPr>
            <w: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t>1</w:t>
            </w:r>
          </w:p>
        </w:tc>
        <w:tc>
          <w:tcPr>
            <w:tcW w:w="0" w:type="auto"/>
            <w:tcBorders>
              <w:tl2br w:val="nil"/>
              <w:tr2bl w:val="nil"/>
            </w:tcBorders>
            <w:shd w:val="clear" w:color="auto" w:fill="auto"/>
            <w:noWrap/>
            <w:tcMar>
              <w:top w:w="12" w:type="dxa"/>
              <w:left w:w="12" w:type="dxa"/>
              <w:right w:w="12" w:type="dxa"/>
            </w:tcMar>
            <w:vAlign w:val="center"/>
          </w:tcPr>
          <w:p w14:paraId="4C82DD08">
            <w:pPr>
              <w:keepNext w:val="0"/>
              <w:keepLines w:val="0"/>
              <w:pageBreakBefore w:val="0"/>
              <w:widowControl/>
              <w:suppressLineNumbers w:val="0"/>
              <w:kinsoku/>
              <w:wordWrap/>
              <w:overflowPunct/>
              <w:topLinePunct w:val="0"/>
              <w:autoSpaceDE/>
              <w:autoSpaceDN/>
              <w:bidi w:val="0"/>
              <w:adjustRightInd/>
              <w:snapToGrid w:val="0"/>
              <w:spacing w:line="320" w:lineRule="exact"/>
              <w:ind w:left="0" w:leftChars="0"/>
              <w:jc w:val="center"/>
              <w:textAlignment w:val="center"/>
              <w:rPr>
                <w:rFonts w:hint="eastAsia" w:ascii="宋体" w:hAnsi="宋体" w:eastAsia="宋体" w:cs="宋体"/>
                <w:i w:val="0"/>
                <w:color w:val="000000" w:themeColor="text1"/>
                <w:sz w:val="21"/>
                <w:szCs w:val="21"/>
                <w:u w:val="none"/>
                <w14:textFill>
                  <w14:solidFill>
                    <w14:schemeClr w14:val="tx1"/>
                  </w14:solidFill>
                </w14:textFill>
              </w:rPr>
            </w:pPr>
            <w: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t>H1</w:t>
            </w:r>
          </w:p>
        </w:tc>
        <w:tc>
          <w:tcPr>
            <w:tcW w:w="0" w:type="auto"/>
            <w:tcBorders>
              <w:tl2br w:val="nil"/>
              <w:tr2bl w:val="nil"/>
            </w:tcBorders>
            <w:shd w:val="clear" w:color="auto" w:fill="auto"/>
            <w:noWrap/>
            <w:tcMar>
              <w:top w:w="12" w:type="dxa"/>
              <w:left w:w="12" w:type="dxa"/>
              <w:right w:w="12" w:type="dxa"/>
            </w:tcMar>
            <w:vAlign w:val="center"/>
          </w:tcPr>
          <w:p w14:paraId="77DE3999">
            <w:pPr>
              <w:keepNext w:val="0"/>
              <w:keepLines w:val="0"/>
              <w:pageBreakBefore w:val="0"/>
              <w:widowControl/>
              <w:suppressLineNumbers w:val="0"/>
              <w:kinsoku/>
              <w:wordWrap/>
              <w:overflowPunct/>
              <w:topLinePunct w:val="0"/>
              <w:autoSpaceDE/>
              <w:autoSpaceDN/>
              <w:bidi w:val="0"/>
              <w:adjustRightInd/>
              <w:snapToGrid w:val="0"/>
              <w:spacing w:line="320" w:lineRule="exact"/>
              <w:ind w:left="0" w:leftChars="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sz w:val="21"/>
                <w:szCs w:val="21"/>
                <w:u w:val="none"/>
              </w:rPr>
              <w:t>87.46881009</w:t>
            </w:r>
          </w:p>
        </w:tc>
        <w:tc>
          <w:tcPr>
            <w:tcW w:w="0" w:type="auto"/>
            <w:tcBorders>
              <w:tl2br w:val="nil"/>
              <w:tr2bl w:val="nil"/>
            </w:tcBorders>
            <w:shd w:val="clear" w:color="auto" w:fill="auto"/>
            <w:noWrap/>
            <w:tcMar>
              <w:top w:w="12" w:type="dxa"/>
              <w:left w:w="12" w:type="dxa"/>
              <w:right w:w="12" w:type="dxa"/>
            </w:tcMar>
            <w:vAlign w:val="center"/>
          </w:tcPr>
          <w:p w14:paraId="13C55344">
            <w:pPr>
              <w:keepNext w:val="0"/>
              <w:keepLines w:val="0"/>
              <w:pageBreakBefore w:val="0"/>
              <w:widowControl/>
              <w:suppressLineNumbers w:val="0"/>
              <w:kinsoku/>
              <w:wordWrap/>
              <w:overflowPunct/>
              <w:topLinePunct w:val="0"/>
              <w:autoSpaceDE/>
              <w:autoSpaceDN/>
              <w:bidi w:val="0"/>
              <w:adjustRightInd/>
              <w:snapToGrid w:val="0"/>
              <w:spacing w:line="320" w:lineRule="exact"/>
              <w:ind w:left="0" w:leftChars="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sz w:val="21"/>
                <w:szCs w:val="21"/>
                <w:u w:val="none"/>
              </w:rPr>
              <w:t>43.71955920</w:t>
            </w:r>
          </w:p>
        </w:tc>
      </w:tr>
      <w:tr w14:paraId="398328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0" w:type="auto"/>
            <w:tcBorders>
              <w:tl2br w:val="nil"/>
              <w:tr2bl w:val="nil"/>
            </w:tcBorders>
            <w:shd w:val="clear" w:color="auto" w:fill="auto"/>
            <w:noWrap/>
            <w:tcMar>
              <w:top w:w="12" w:type="dxa"/>
              <w:left w:w="12" w:type="dxa"/>
              <w:right w:w="12" w:type="dxa"/>
            </w:tcMar>
            <w:vAlign w:val="center"/>
          </w:tcPr>
          <w:p w14:paraId="4F8429CE">
            <w:pPr>
              <w:keepNext w:val="0"/>
              <w:keepLines w:val="0"/>
              <w:pageBreakBefore w:val="0"/>
              <w:widowControl/>
              <w:suppressLineNumbers w:val="0"/>
              <w:kinsoku/>
              <w:wordWrap/>
              <w:overflowPunct/>
              <w:topLinePunct w:val="0"/>
              <w:autoSpaceDE/>
              <w:autoSpaceDN/>
              <w:bidi w:val="0"/>
              <w:adjustRightInd/>
              <w:snapToGrid w:val="0"/>
              <w:spacing w:line="320" w:lineRule="exact"/>
              <w:ind w:left="0" w:leftChars="0"/>
              <w:jc w:val="center"/>
              <w:textAlignment w:val="center"/>
              <w:rPr>
                <w:rFonts w:hint="eastAsia" w:ascii="宋体" w:hAnsi="宋体" w:eastAsia="宋体" w:cs="宋体"/>
                <w:i w:val="0"/>
                <w:color w:val="000000" w:themeColor="text1"/>
                <w:sz w:val="21"/>
                <w:szCs w:val="21"/>
                <w:u w:val="none"/>
                <w14:textFill>
                  <w14:solidFill>
                    <w14:schemeClr w14:val="tx1"/>
                  </w14:solidFill>
                </w14:textFill>
              </w:rPr>
            </w:pPr>
            <w: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t>2</w:t>
            </w:r>
          </w:p>
        </w:tc>
        <w:tc>
          <w:tcPr>
            <w:tcW w:w="0" w:type="auto"/>
            <w:tcBorders>
              <w:tl2br w:val="nil"/>
              <w:tr2bl w:val="nil"/>
            </w:tcBorders>
            <w:shd w:val="clear" w:color="auto" w:fill="auto"/>
            <w:noWrap/>
            <w:tcMar>
              <w:top w:w="12" w:type="dxa"/>
              <w:left w:w="12" w:type="dxa"/>
              <w:right w:w="12" w:type="dxa"/>
            </w:tcMar>
            <w:vAlign w:val="center"/>
          </w:tcPr>
          <w:p w14:paraId="5235CBBA">
            <w:pPr>
              <w:keepNext w:val="0"/>
              <w:keepLines w:val="0"/>
              <w:pageBreakBefore w:val="0"/>
              <w:widowControl/>
              <w:suppressLineNumbers w:val="0"/>
              <w:kinsoku/>
              <w:wordWrap/>
              <w:overflowPunct/>
              <w:topLinePunct w:val="0"/>
              <w:autoSpaceDE/>
              <w:autoSpaceDN/>
              <w:bidi w:val="0"/>
              <w:adjustRightInd/>
              <w:snapToGrid w:val="0"/>
              <w:spacing w:line="320" w:lineRule="exact"/>
              <w:ind w:left="0" w:leftChars="0"/>
              <w:jc w:val="center"/>
              <w:textAlignment w:val="center"/>
              <w:rPr>
                <w:rFonts w:hint="eastAsia" w:ascii="宋体" w:hAnsi="宋体" w:eastAsia="宋体" w:cs="宋体"/>
                <w:i w:val="0"/>
                <w:color w:val="000000" w:themeColor="text1"/>
                <w:sz w:val="21"/>
                <w:szCs w:val="21"/>
                <w:u w:val="none"/>
                <w14:textFill>
                  <w14:solidFill>
                    <w14:schemeClr w14:val="tx1"/>
                  </w14:solidFill>
                </w14:textFill>
              </w:rPr>
            </w:pPr>
            <w: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t>H2</w:t>
            </w:r>
          </w:p>
        </w:tc>
        <w:tc>
          <w:tcPr>
            <w:tcW w:w="0" w:type="auto"/>
            <w:tcBorders>
              <w:tl2br w:val="nil"/>
              <w:tr2bl w:val="nil"/>
            </w:tcBorders>
            <w:shd w:val="clear" w:color="auto" w:fill="auto"/>
            <w:noWrap/>
            <w:tcMar>
              <w:top w:w="12" w:type="dxa"/>
              <w:left w:w="12" w:type="dxa"/>
              <w:right w:w="12" w:type="dxa"/>
            </w:tcMar>
            <w:vAlign w:val="center"/>
          </w:tcPr>
          <w:p w14:paraId="06F7145D">
            <w:pPr>
              <w:keepNext w:val="0"/>
              <w:keepLines w:val="0"/>
              <w:pageBreakBefore w:val="0"/>
              <w:widowControl/>
              <w:suppressLineNumbers w:val="0"/>
              <w:kinsoku/>
              <w:wordWrap/>
              <w:overflowPunct/>
              <w:topLinePunct w:val="0"/>
              <w:autoSpaceDE/>
              <w:autoSpaceDN/>
              <w:bidi w:val="0"/>
              <w:adjustRightInd/>
              <w:snapToGrid w:val="0"/>
              <w:spacing w:line="320" w:lineRule="exact"/>
              <w:ind w:left="0" w:leftChars="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sz w:val="21"/>
                <w:szCs w:val="21"/>
                <w:u w:val="none"/>
              </w:rPr>
              <w:t>87.46167540</w:t>
            </w:r>
          </w:p>
        </w:tc>
        <w:tc>
          <w:tcPr>
            <w:tcW w:w="0" w:type="auto"/>
            <w:tcBorders>
              <w:tl2br w:val="nil"/>
              <w:tr2bl w:val="nil"/>
            </w:tcBorders>
            <w:shd w:val="clear" w:color="auto" w:fill="auto"/>
            <w:noWrap/>
            <w:tcMar>
              <w:top w:w="12" w:type="dxa"/>
              <w:left w:w="12" w:type="dxa"/>
              <w:right w:w="12" w:type="dxa"/>
            </w:tcMar>
            <w:vAlign w:val="center"/>
          </w:tcPr>
          <w:p w14:paraId="34A68747">
            <w:pPr>
              <w:keepNext w:val="0"/>
              <w:keepLines w:val="0"/>
              <w:pageBreakBefore w:val="0"/>
              <w:widowControl/>
              <w:suppressLineNumbers w:val="0"/>
              <w:kinsoku/>
              <w:wordWrap/>
              <w:overflowPunct/>
              <w:topLinePunct w:val="0"/>
              <w:autoSpaceDE/>
              <w:autoSpaceDN/>
              <w:bidi w:val="0"/>
              <w:adjustRightInd/>
              <w:snapToGrid w:val="0"/>
              <w:spacing w:line="320" w:lineRule="exact"/>
              <w:ind w:left="0" w:leftChars="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sz w:val="21"/>
                <w:szCs w:val="21"/>
                <w:u w:val="none"/>
              </w:rPr>
              <w:t>43.71328590</w:t>
            </w:r>
          </w:p>
        </w:tc>
      </w:tr>
      <w:tr w14:paraId="48BF60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0" w:type="auto"/>
            <w:tcBorders>
              <w:tl2br w:val="nil"/>
              <w:tr2bl w:val="nil"/>
            </w:tcBorders>
            <w:shd w:val="clear" w:color="auto" w:fill="auto"/>
            <w:noWrap/>
            <w:tcMar>
              <w:top w:w="12" w:type="dxa"/>
              <w:left w:w="12" w:type="dxa"/>
              <w:right w:w="12" w:type="dxa"/>
            </w:tcMar>
            <w:vAlign w:val="center"/>
          </w:tcPr>
          <w:p w14:paraId="43090F17">
            <w:pPr>
              <w:keepNext w:val="0"/>
              <w:keepLines w:val="0"/>
              <w:pageBreakBefore w:val="0"/>
              <w:widowControl/>
              <w:suppressLineNumbers w:val="0"/>
              <w:kinsoku/>
              <w:wordWrap/>
              <w:overflowPunct/>
              <w:topLinePunct w:val="0"/>
              <w:autoSpaceDE/>
              <w:autoSpaceDN/>
              <w:bidi w:val="0"/>
              <w:adjustRightInd/>
              <w:snapToGrid w:val="0"/>
              <w:spacing w:line="320" w:lineRule="exact"/>
              <w:ind w:left="0" w:leftChars="0"/>
              <w:jc w:val="center"/>
              <w:textAlignment w:val="center"/>
              <w:rPr>
                <w:rFonts w:hint="eastAsia" w:ascii="宋体" w:hAnsi="宋体" w:eastAsia="宋体" w:cs="宋体"/>
                <w:i w:val="0"/>
                <w:color w:val="000000" w:themeColor="text1"/>
                <w:sz w:val="21"/>
                <w:szCs w:val="21"/>
                <w:u w:val="none"/>
                <w14:textFill>
                  <w14:solidFill>
                    <w14:schemeClr w14:val="tx1"/>
                  </w14:solidFill>
                </w14:textFill>
              </w:rPr>
            </w:pPr>
            <w: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t>3</w:t>
            </w:r>
          </w:p>
        </w:tc>
        <w:tc>
          <w:tcPr>
            <w:tcW w:w="0" w:type="auto"/>
            <w:tcBorders>
              <w:tl2br w:val="nil"/>
              <w:tr2bl w:val="nil"/>
            </w:tcBorders>
            <w:shd w:val="clear" w:color="auto" w:fill="auto"/>
            <w:noWrap/>
            <w:tcMar>
              <w:top w:w="12" w:type="dxa"/>
              <w:left w:w="12" w:type="dxa"/>
              <w:right w:w="12" w:type="dxa"/>
            </w:tcMar>
            <w:vAlign w:val="center"/>
          </w:tcPr>
          <w:p w14:paraId="0D36254C">
            <w:pPr>
              <w:keepNext w:val="0"/>
              <w:keepLines w:val="0"/>
              <w:pageBreakBefore w:val="0"/>
              <w:widowControl/>
              <w:suppressLineNumbers w:val="0"/>
              <w:kinsoku/>
              <w:wordWrap/>
              <w:overflowPunct/>
              <w:topLinePunct w:val="0"/>
              <w:autoSpaceDE/>
              <w:autoSpaceDN/>
              <w:bidi w:val="0"/>
              <w:adjustRightInd/>
              <w:snapToGrid w:val="0"/>
              <w:spacing w:line="320" w:lineRule="exact"/>
              <w:ind w:left="0" w:leftChars="0"/>
              <w:jc w:val="center"/>
              <w:textAlignment w:val="center"/>
              <w:rPr>
                <w:rFonts w:hint="eastAsia" w:ascii="宋体" w:hAnsi="宋体" w:eastAsia="宋体" w:cs="宋体"/>
                <w:i w:val="0"/>
                <w:color w:val="000000" w:themeColor="text1"/>
                <w:sz w:val="21"/>
                <w:szCs w:val="21"/>
                <w:u w:val="none"/>
                <w14:textFill>
                  <w14:solidFill>
                    <w14:schemeClr w14:val="tx1"/>
                  </w14:solidFill>
                </w14:textFill>
              </w:rPr>
            </w:pPr>
            <w: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t>H3</w:t>
            </w:r>
          </w:p>
        </w:tc>
        <w:tc>
          <w:tcPr>
            <w:tcW w:w="0" w:type="auto"/>
            <w:tcBorders>
              <w:tl2br w:val="nil"/>
              <w:tr2bl w:val="nil"/>
            </w:tcBorders>
            <w:shd w:val="clear" w:color="auto" w:fill="auto"/>
            <w:noWrap/>
            <w:tcMar>
              <w:top w:w="12" w:type="dxa"/>
              <w:left w:w="12" w:type="dxa"/>
              <w:right w:w="12" w:type="dxa"/>
            </w:tcMar>
            <w:vAlign w:val="center"/>
          </w:tcPr>
          <w:p w14:paraId="42506BE5">
            <w:pPr>
              <w:keepNext w:val="0"/>
              <w:keepLines w:val="0"/>
              <w:pageBreakBefore w:val="0"/>
              <w:widowControl/>
              <w:suppressLineNumbers w:val="0"/>
              <w:kinsoku/>
              <w:wordWrap/>
              <w:overflowPunct/>
              <w:topLinePunct w:val="0"/>
              <w:autoSpaceDE/>
              <w:autoSpaceDN/>
              <w:bidi w:val="0"/>
              <w:adjustRightInd/>
              <w:snapToGrid w:val="0"/>
              <w:spacing w:line="320" w:lineRule="exact"/>
              <w:ind w:left="0" w:leftChars="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sz w:val="21"/>
                <w:szCs w:val="21"/>
                <w:u w:val="none"/>
              </w:rPr>
              <w:t>87.46414991</w:t>
            </w:r>
          </w:p>
        </w:tc>
        <w:tc>
          <w:tcPr>
            <w:tcW w:w="0" w:type="auto"/>
            <w:tcBorders>
              <w:tl2br w:val="nil"/>
              <w:tr2bl w:val="nil"/>
            </w:tcBorders>
            <w:shd w:val="clear" w:color="auto" w:fill="auto"/>
            <w:noWrap/>
            <w:tcMar>
              <w:top w:w="12" w:type="dxa"/>
              <w:left w:w="12" w:type="dxa"/>
              <w:right w:w="12" w:type="dxa"/>
            </w:tcMar>
            <w:vAlign w:val="center"/>
          </w:tcPr>
          <w:p w14:paraId="276BE1B3">
            <w:pPr>
              <w:keepNext w:val="0"/>
              <w:keepLines w:val="0"/>
              <w:pageBreakBefore w:val="0"/>
              <w:widowControl/>
              <w:suppressLineNumbers w:val="0"/>
              <w:kinsoku/>
              <w:wordWrap/>
              <w:overflowPunct/>
              <w:topLinePunct w:val="0"/>
              <w:autoSpaceDE/>
              <w:autoSpaceDN/>
              <w:bidi w:val="0"/>
              <w:adjustRightInd/>
              <w:snapToGrid w:val="0"/>
              <w:spacing w:line="320" w:lineRule="exact"/>
              <w:ind w:left="0" w:leftChars="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sz w:val="21"/>
                <w:szCs w:val="21"/>
                <w:u w:val="none"/>
              </w:rPr>
              <w:t>43.69463812</w:t>
            </w:r>
          </w:p>
        </w:tc>
      </w:tr>
      <w:tr w14:paraId="57DC29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0" w:type="auto"/>
            <w:tcBorders>
              <w:tl2br w:val="nil"/>
              <w:tr2bl w:val="nil"/>
            </w:tcBorders>
            <w:shd w:val="clear" w:color="auto" w:fill="auto"/>
            <w:noWrap/>
            <w:tcMar>
              <w:top w:w="12" w:type="dxa"/>
              <w:left w:w="12" w:type="dxa"/>
              <w:right w:w="12" w:type="dxa"/>
            </w:tcMar>
            <w:vAlign w:val="center"/>
          </w:tcPr>
          <w:p w14:paraId="1848618D">
            <w:pPr>
              <w:keepNext w:val="0"/>
              <w:keepLines w:val="0"/>
              <w:pageBreakBefore w:val="0"/>
              <w:widowControl/>
              <w:suppressLineNumbers w:val="0"/>
              <w:kinsoku/>
              <w:wordWrap/>
              <w:overflowPunct/>
              <w:topLinePunct w:val="0"/>
              <w:autoSpaceDE/>
              <w:autoSpaceDN/>
              <w:bidi w:val="0"/>
              <w:adjustRightInd/>
              <w:snapToGrid w:val="0"/>
              <w:spacing w:line="320" w:lineRule="exact"/>
              <w:ind w:left="0" w:leftChars="0"/>
              <w:jc w:val="center"/>
              <w:textAlignment w:val="center"/>
              <w:rPr>
                <w:rFonts w:hint="eastAsia" w:ascii="宋体" w:hAnsi="宋体" w:eastAsia="宋体" w:cs="宋体"/>
                <w:i w:val="0"/>
                <w:color w:val="000000" w:themeColor="text1"/>
                <w:sz w:val="21"/>
                <w:szCs w:val="21"/>
                <w:u w:val="none"/>
                <w14:textFill>
                  <w14:solidFill>
                    <w14:schemeClr w14:val="tx1"/>
                  </w14:solidFill>
                </w14:textFill>
              </w:rPr>
            </w:pPr>
            <w: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t>4</w:t>
            </w:r>
          </w:p>
        </w:tc>
        <w:tc>
          <w:tcPr>
            <w:tcW w:w="0" w:type="auto"/>
            <w:tcBorders>
              <w:tl2br w:val="nil"/>
              <w:tr2bl w:val="nil"/>
            </w:tcBorders>
            <w:shd w:val="clear" w:color="auto" w:fill="auto"/>
            <w:noWrap/>
            <w:tcMar>
              <w:top w:w="12" w:type="dxa"/>
              <w:left w:w="12" w:type="dxa"/>
              <w:right w:w="12" w:type="dxa"/>
            </w:tcMar>
            <w:vAlign w:val="center"/>
          </w:tcPr>
          <w:p w14:paraId="54469C33">
            <w:pPr>
              <w:keepNext w:val="0"/>
              <w:keepLines w:val="0"/>
              <w:pageBreakBefore w:val="0"/>
              <w:widowControl/>
              <w:suppressLineNumbers w:val="0"/>
              <w:kinsoku/>
              <w:wordWrap/>
              <w:overflowPunct/>
              <w:topLinePunct w:val="0"/>
              <w:autoSpaceDE/>
              <w:autoSpaceDN/>
              <w:bidi w:val="0"/>
              <w:adjustRightInd/>
              <w:snapToGrid w:val="0"/>
              <w:spacing w:line="320" w:lineRule="exact"/>
              <w:ind w:left="0" w:leftChars="0"/>
              <w:jc w:val="center"/>
              <w:textAlignment w:val="center"/>
              <w:rPr>
                <w:rFonts w:hint="eastAsia" w:ascii="宋体" w:hAnsi="宋体" w:eastAsia="宋体" w:cs="宋体"/>
                <w:i w:val="0"/>
                <w:color w:val="000000" w:themeColor="text1"/>
                <w:sz w:val="21"/>
                <w:szCs w:val="21"/>
                <w:u w:val="none"/>
                <w14:textFill>
                  <w14:solidFill>
                    <w14:schemeClr w14:val="tx1"/>
                  </w14:solidFill>
                </w14:textFill>
              </w:rPr>
            </w:pPr>
            <w: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t>H4</w:t>
            </w:r>
          </w:p>
        </w:tc>
        <w:tc>
          <w:tcPr>
            <w:tcW w:w="0" w:type="auto"/>
            <w:tcBorders>
              <w:tl2br w:val="nil"/>
              <w:tr2bl w:val="nil"/>
            </w:tcBorders>
            <w:shd w:val="clear" w:color="auto" w:fill="auto"/>
            <w:noWrap/>
            <w:tcMar>
              <w:top w:w="12" w:type="dxa"/>
              <w:left w:w="12" w:type="dxa"/>
              <w:right w:w="12" w:type="dxa"/>
            </w:tcMar>
            <w:vAlign w:val="center"/>
          </w:tcPr>
          <w:p w14:paraId="55671D84">
            <w:pPr>
              <w:keepNext w:val="0"/>
              <w:keepLines w:val="0"/>
              <w:pageBreakBefore w:val="0"/>
              <w:widowControl/>
              <w:suppressLineNumbers w:val="0"/>
              <w:kinsoku/>
              <w:wordWrap/>
              <w:overflowPunct/>
              <w:topLinePunct w:val="0"/>
              <w:autoSpaceDE/>
              <w:autoSpaceDN/>
              <w:bidi w:val="0"/>
              <w:adjustRightInd/>
              <w:snapToGrid w:val="0"/>
              <w:spacing w:line="320" w:lineRule="exact"/>
              <w:ind w:left="0" w:leftChars="0"/>
              <w:jc w:val="center"/>
              <w:textAlignment w:val="center"/>
              <w:rPr>
                <w:rFonts w:hint="eastAsia" w:ascii="宋体" w:hAnsi="宋体" w:eastAsia="宋体" w:cs="宋体"/>
                <w:i w:val="0"/>
                <w:color w:val="000000" w:themeColor="text1"/>
                <w:sz w:val="21"/>
                <w:szCs w:val="21"/>
                <w:u w:val="none"/>
                <w14:textFill>
                  <w14:solidFill>
                    <w14:schemeClr w14:val="tx1"/>
                  </w14:solidFill>
                </w14:textFill>
              </w:rPr>
            </w:pPr>
            <w:r>
              <w:rPr>
                <w:rFonts w:hint="eastAsia" w:ascii="宋体" w:hAnsi="宋体" w:eastAsia="宋体" w:cs="宋体"/>
                <w:i w:val="0"/>
                <w:color w:val="000000" w:themeColor="text1"/>
                <w:sz w:val="21"/>
                <w:szCs w:val="21"/>
                <w:u w:val="none"/>
                <w14:textFill>
                  <w14:solidFill>
                    <w14:schemeClr w14:val="tx1"/>
                  </w14:solidFill>
                </w14:textFill>
              </w:rPr>
              <w:t xml:space="preserve">87.46099305 </w:t>
            </w:r>
          </w:p>
        </w:tc>
        <w:tc>
          <w:tcPr>
            <w:tcW w:w="0" w:type="auto"/>
            <w:tcBorders>
              <w:tl2br w:val="nil"/>
              <w:tr2bl w:val="nil"/>
            </w:tcBorders>
            <w:shd w:val="clear" w:color="auto" w:fill="auto"/>
            <w:noWrap/>
            <w:tcMar>
              <w:top w:w="12" w:type="dxa"/>
              <w:left w:w="12" w:type="dxa"/>
              <w:right w:w="12" w:type="dxa"/>
            </w:tcMar>
            <w:vAlign w:val="center"/>
          </w:tcPr>
          <w:p w14:paraId="3E04E212">
            <w:pPr>
              <w:keepNext w:val="0"/>
              <w:keepLines w:val="0"/>
              <w:pageBreakBefore w:val="0"/>
              <w:widowControl/>
              <w:suppressLineNumbers w:val="0"/>
              <w:kinsoku/>
              <w:wordWrap/>
              <w:overflowPunct/>
              <w:topLinePunct w:val="0"/>
              <w:autoSpaceDE/>
              <w:autoSpaceDN/>
              <w:bidi w:val="0"/>
              <w:adjustRightInd/>
              <w:snapToGrid w:val="0"/>
              <w:spacing w:line="320" w:lineRule="exact"/>
              <w:ind w:left="0" w:leftChars="0"/>
              <w:jc w:val="center"/>
              <w:textAlignment w:val="center"/>
              <w:rPr>
                <w:rFonts w:hint="eastAsia" w:ascii="宋体" w:hAnsi="宋体" w:eastAsia="宋体" w:cs="宋体"/>
                <w:i w:val="0"/>
                <w:color w:val="000000" w:themeColor="text1"/>
                <w:sz w:val="21"/>
                <w:szCs w:val="21"/>
                <w:u w:val="none"/>
                <w14:textFill>
                  <w14:solidFill>
                    <w14:schemeClr w14:val="tx1"/>
                  </w14:solidFill>
                </w14:textFill>
              </w:rPr>
            </w:pPr>
            <w:r>
              <w:rPr>
                <w:rFonts w:hint="eastAsia" w:ascii="宋体" w:hAnsi="宋体" w:eastAsia="宋体" w:cs="宋体"/>
                <w:i w:val="0"/>
                <w:color w:val="000000" w:themeColor="text1"/>
                <w:sz w:val="21"/>
                <w:szCs w:val="21"/>
                <w:u w:val="none"/>
                <w14:textFill>
                  <w14:solidFill>
                    <w14:schemeClr w14:val="tx1"/>
                  </w14:solidFill>
                </w14:textFill>
              </w:rPr>
              <w:t>43.69164702</w:t>
            </w:r>
          </w:p>
        </w:tc>
      </w:tr>
      <w:tr w14:paraId="1CBDCF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0" w:type="auto"/>
            <w:tcBorders>
              <w:tl2br w:val="nil"/>
              <w:tr2bl w:val="nil"/>
            </w:tcBorders>
            <w:shd w:val="clear" w:color="auto" w:fill="auto"/>
            <w:noWrap/>
            <w:tcMar>
              <w:top w:w="12" w:type="dxa"/>
              <w:left w:w="12" w:type="dxa"/>
              <w:right w:w="12" w:type="dxa"/>
            </w:tcMar>
            <w:vAlign w:val="center"/>
          </w:tcPr>
          <w:p w14:paraId="1F2A43F6">
            <w:pPr>
              <w:keepNext w:val="0"/>
              <w:keepLines w:val="0"/>
              <w:pageBreakBefore w:val="0"/>
              <w:widowControl/>
              <w:suppressLineNumbers w:val="0"/>
              <w:kinsoku/>
              <w:wordWrap/>
              <w:overflowPunct/>
              <w:topLinePunct w:val="0"/>
              <w:autoSpaceDE/>
              <w:autoSpaceDN/>
              <w:bidi w:val="0"/>
              <w:adjustRightInd/>
              <w:snapToGrid w:val="0"/>
              <w:spacing w:line="320" w:lineRule="exact"/>
              <w:ind w:left="0" w:leftChars="0"/>
              <w:jc w:val="center"/>
              <w:textAlignment w:val="center"/>
              <w:rPr>
                <w:rFonts w:hint="eastAsia" w:ascii="宋体" w:hAnsi="宋体" w:eastAsia="宋体" w:cs="宋体"/>
                <w:i w:val="0"/>
                <w:color w:val="000000" w:themeColor="text1"/>
                <w:sz w:val="21"/>
                <w:szCs w:val="21"/>
                <w:u w:val="none"/>
                <w14:textFill>
                  <w14:solidFill>
                    <w14:schemeClr w14:val="tx1"/>
                  </w14:solidFill>
                </w14:textFill>
              </w:rPr>
            </w:pPr>
            <w: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t>5</w:t>
            </w:r>
          </w:p>
        </w:tc>
        <w:tc>
          <w:tcPr>
            <w:tcW w:w="0" w:type="auto"/>
            <w:tcBorders>
              <w:tl2br w:val="nil"/>
              <w:tr2bl w:val="nil"/>
            </w:tcBorders>
            <w:shd w:val="clear" w:color="auto" w:fill="auto"/>
            <w:noWrap/>
            <w:tcMar>
              <w:top w:w="12" w:type="dxa"/>
              <w:left w:w="12" w:type="dxa"/>
              <w:right w:w="12" w:type="dxa"/>
            </w:tcMar>
            <w:vAlign w:val="center"/>
          </w:tcPr>
          <w:p w14:paraId="1F656EF3">
            <w:pPr>
              <w:keepNext w:val="0"/>
              <w:keepLines w:val="0"/>
              <w:pageBreakBefore w:val="0"/>
              <w:widowControl/>
              <w:suppressLineNumbers w:val="0"/>
              <w:kinsoku/>
              <w:wordWrap/>
              <w:overflowPunct/>
              <w:topLinePunct w:val="0"/>
              <w:autoSpaceDE/>
              <w:autoSpaceDN/>
              <w:bidi w:val="0"/>
              <w:adjustRightInd/>
              <w:snapToGrid w:val="0"/>
              <w:spacing w:line="320" w:lineRule="exact"/>
              <w:ind w:left="0" w:leftChars="0"/>
              <w:jc w:val="center"/>
              <w:textAlignment w:val="center"/>
              <w:rPr>
                <w:rFonts w:hint="eastAsia" w:ascii="宋体" w:hAnsi="宋体" w:eastAsia="宋体" w:cs="宋体"/>
                <w:i w:val="0"/>
                <w:color w:val="000000" w:themeColor="text1"/>
                <w:sz w:val="21"/>
                <w:szCs w:val="21"/>
                <w:u w:val="none"/>
                <w14:textFill>
                  <w14:solidFill>
                    <w14:schemeClr w14:val="tx1"/>
                  </w14:solidFill>
                </w14:textFill>
              </w:rPr>
            </w:pPr>
            <w: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t>H5</w:t>
            </w:r>
          </w:p>
        </w:tc>
        <w:tc>
          <w:tcPr>
            <w:tcW w:w="0" w:type="auto"/>
            <w:tcBorders>
              <w:tl2br w:val="nil"/>
              <w:tr2bl w:val="nil"/>
            </w:tcBorders>
            <w:shd w:val="clear" w:color="auto" w:fill="auto"/>
            <w:noWrap/>
            <w:tcMar>
              <w:top w:w="12" w:type="dxa"/>
              <w:left w:w="12" w:type="dxa"/>
              <w:right w:w="12" w:type="dxa"/>
            </w:tcMar>
            <w:vAlign w:val="center"/>
          </w:tcPr>
          <w:p w14:paraId="39DAA4DA">
            <w:pPr>
              <w:keepNext w:val="0"/>
              <w:keepLines w:val="0"/>
              <w:pageBreakBefore w:val="0"/>
              <w:widowControl/>
              <w:suppressLineNumbers w:val="0"/>
              <w:kinsoku/>
              <w:wordWrap/>
              <w:overflowPunct/>
              <w:topLinePunct w:val="0"/>
              <w:autoSpaceDE/>
              <w:autoSpaceDN/>
              <w:bidi w:val="0"/>
              <w:adjustRightInd/>
              <w:snapToGrid w:val="0"/>
              <w:spacing w:line="320" w:lineRule="exact"/>
              <w:ind w:left="0" w:leftChars="0"/>
              <w:jc w:val="center"/>
              <w:textAlignment w:val="center"/>
              <w:rPr>
                <w:rFonts w:hint="eastAsia" w:ascii="宋体" w:hAnsi="宋体" w:eastAsia="宋体" w:cs="宋体"/>
                <w:i w:val="0"/>
                <w:color w:val="000000" w:themeColor="text1"/>
                <w:sz w:val="21"/>
                <w:szCs w:val="21"/>
                <w:u w:val="none"/>
                <w14:textFill>
                  <w14:solidFill>
                    <w14:schemeClr w14:val="tx1"/>
                  </w14:solidFill>
                </w14:textFill>
              </w:rPr>
            </w:pPr>
            <w:r>
              <w:rPr>
                <w:rFonts w:hint="eastAsia" w:ascii="宋体" w:hAnsi="宋体" w:eastAsia="宋体" w:cs="宋体"/>
                <w:i w:val="0"/>
                <w:color w:val="000000" w:themeColor="text1"/>
                <w:sz w:val="21"/>
                <w:szCs w:val="21"/>
                <w:u w:val="none"/>
                <w14:textFill>
                  <w14:solidFill>
                    <w14:schemeClr w14:val="tx1"/>
                  </w14:solidFill>
                </w14:textFill>
              </w:rPr>
              <w:t xml:space="preserve">87.46387888 </w:t>
            </w:r>
          </w:p>
        </w:tc>
        <w:tc>
          <w:tcPr>
            <w:tcW w:w="0" w:type="auto"/>
            <w:tcBorders>
              <w:tl2br w:val="nil"/>
              <w:tr2bl w:val="nil"/>
            </w:tcBorders>
            <w:shd w:val="clear" w:color="auto" w:fill="auto"/>
            <w:noWrap/>
            <w:tcMar>
              <w:top w:w="12" w:type="dxa"/>
              <w:left w:w="12" w:type="dxa"/>
              <w:right w:w="12" w:type="dxa"/>
            </w:tcMar>
            <w:vAlign w:val="center"/>
          </w:tcPr>
          <w:p w14:paraId="23DC088E">
            <w:pPr>
              <w:keepNext w:val="0"/>
              <w:keepLines w:val="0"/>
              <w:pageBreakBefore w:val="0"/>
              <w:widowControl/>
              <w:suppressLineNumbers w:val="0"/>
              <w:kinsoku/>
              <w:wordWrap/>
              <w:overflowPunct/>
              <w:topLinePunct w:val="0"/>
              <w:autoSpaceDE/>
              <w:autoSpaceDN/>
              <w:bidi w:val="0"/>
              <w:adjustRightInd/>
              <w:snapToGrid w:val="0"/>
              <w:spacing w:line="320" w:lineRule="exact"/>
              <w:ind w:left="0" w:leftChars="0"/>
              <w:jc w:val="center"/>
              <w:textAlignment w:val="center"/>
              <w:rPr>
                <w:rFonts w:hint="eastAsia" w:ascii="宋体" w:hAnsi="宋体" w:eastAsia="宋体" w:cs="宋体"/>
                <w:i w:val="0"/>
                <w:color w:val="000000" w:themeColor="text1"/>
                <w:sz w:val="21"/>
                <w:szCs w:val="21"/>
                <w:u w:val="none"/>
                <w14:textFill>
                  <w14:solidFill>
                    <w14:schemeClr w14:val="tx1"/>
                  </w14:solidFill>
                </w14:textFill>
              </w:rPr>
            </w:pPr>
            <w:r>
              <w:rPr>
                <w:rFonts w:hint="eastAsia" w:ascii="宋体" w:hAnsi="宋体" w:eastAsia="宋体" w:cs="宋体"/>
                <w:i w:val="0"/>
                <w:color w:val="000000" w:themeColor="text1"/>
                <w:sz w:val="21"/>
                <w:szCs w:val="21"/>
                <w:u w:val="none"/>
                <w14:textFill>
                  <w14:solidFill>
                    <w14:schemeClr w14:val="tx1"/>
                  </w14:solidFill>
                </w14:textFill>
              </w:rPr>
              <w:t>43.68871632</w:t>
            </w:r>
          </w:p>
        </w:tc>
      </w:tr>
      <w:tr w14:paraId="3886A1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0" w:type="auto"/>
            <w:tcBorders>
              <w:tl2br w:val="nil"/>
              <w:tr2bl w:val="nil"/>
            </w:tcBorders>
            <w:shd w:val="clear" w:color="auto" w:fill="auto"/>
            <w:noWrap/>
            <w:tcMar>
              <w:top w:w="12" w:type="dxa"/>
              <w:left w:w="12" w:type="dxa"/>
              <w:right w:w="12" w:type="dxa"/>
            </w:tcMar>
            <w:vAlign w:val="center"/>
          </w:tcPr>
          <w:p w14:paraId="2048D057">
            <w:pPr>
              <w:keepNext w:val="0"/>
              <w:keepLines w:val="0"/>
              <w:pageBreakBefore w:val="0"/>
              <w:widowControl/>
              <w:suppressLineNumbers w:val="0"/>
              <w:kinsoku/>
              <w:wordWrap/>
              <w:overflowPunct/>
              <w:topLinePunct w:val="0"/>
              <w:autoSpaceDE/>
              <w:autoSpaceDN/>
              <w:bidi w:val="0"/>
              <w:adjustRightInd/>
              <w:snapToGrid w:val="0"/>
              <w:spacing w:line="320" w:lineRule="exact"/>
              <w:ind w:left="0" w:leftChars="0"/>
              <w:jc w:val="center"/>
              <w:textAlignment w:val="center"/>
              <w:rPr>
                <w:rFonts w:hint="eastAsia" w:ascii="宋体" w:hAnsi="宋体" w:eastAsia="宋体" w:cs="宋体"/>
                <w:i w:val="0"/>
                <w:color w:val="000000" w:themeColor="text1"/>
                <w:sz w:val="21"/>
                <w:szCs w:val="21"/>
                <w:u w:val="none"/>
                <w14:textFill>
                  <w14:solidFill>
                    <w14:schemeClr w14:val="tx1"/>
                  </w14:solidFill>
                </w14:textFill>
              </w:rPr>
            </w:pPr>
            <w: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t>6</w:t>
            </w:r>
          </w:p>
        </w:tc>
        <w:tc>
          <w:tcPr>
            <w:tcW w:w="0" w:type="auto"/>
            <w:tcBorders>
              <w:tl2br w:val="nil"/>
              <w:tr2bl w:val="nil"/>
            </w:tcBorders>
            <w:shd w:val="clear" w:color="auto" w:fill="auto"/>
            <w:noWrap/>
            <w:tcMar>
              <w:top w:w="12" w:type="dxa"/>
              <w:left w:w="12" w:type="dxa"/>
              <w:right w:w="12" w:type="dxa"/>
            </w:tcMar>
            <w:vAlign w:val="center"/>
          </w:tcPr>
          <w:p w14:paraId="2CFF11ED">
            <w:pPr>
              <w:keepNext w:val="0"/>
              <w:keepLines w:val="0"/>
              <w:pageBreakBefore w:val="0"/>
              <w:widowControl/>
              <w:suppressLineNumbers w:val="0"/>
              <w:kinsoku/>
              <w:wordWrap/>
              <w:overflowPunct/>
              <w:topLinePunct w:val="0"/>
              <w:autoSpaceDE/>
              <w:autoSpaceDN/>
              <w:bidi w:val="0"/>
              <w:adjustRightInd/>
              <w:snapToGrid w:val="0"/>
              <w:spacing w:line="320" w:lineRule="exact"/>
              <w:ind w:left="0" w:leftChars="0"/>
              <w:jc w:val="center"/>
              <w:textAlignment w:val="center"/>
              <w:rPr>
                <w:rFonts w:hint="eastAsia" w:ascii="宋体" w:hAnsi="宋体" w:eastAsia="宋体" w:cs="宋体"/>
                <w:i w:val="0"/>
                <w:color w:val="000000" w:themeColor="text1"/>
                <w:sz w:val="21"/>
                <w:szCs w:val="21"/>
                <w:u w:val="none"/>
                <w14:textFill>
                  <w14:solidFill>
                    <w14:schemeClr w14:val="tx1"/>
                  </w14:solidFill>
                </w14:textFill>
              </w:rPr>
            </w:pPr>
            <w: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t>H6</w:t>
            </w:r>
          </w:p>
        </w:tc>
        <w:tc>
          <w:tcPr>
            <w:tcW w:w="0" w:type="auto"/>
            <w:tcBorders>
              <w:tl2br w:val="nil"/>
              <w:tr2bl w:val="nil"/>
            </w:tcBorders>
            <w:shd w:val="clear" w:color="auto" w:fill="auto"/>
            <w:noWrap/>
            <w:tcMar>
              <w:top w:w="12" w:type="dxa"/>
              <w:left w:w="12" w:type="dxa"/>
              <w:right w:w="12" w:type="dxa"/>
            </w:tcMar>
            <w:vAlign w:val="center"/>
          </w:tcPr>
          <w:p w14:paraId="247E3B89">
            <w:pPr>
              <w:keepNext w:val="0"/>
              <w:keepLines w:val="0"/>
              <w:pageBreakBefore w:val="0"/>
              <w:widowControl/>
              <w:suppressLineNumbers w:val="0"/>
              <w:kinsoku/>
              <w:wordWrap/>
              <w:overflowPunct/>
              <w:topLinePunct w:val="0"/>
              <w:autoSpaceDE/>
              <w:autoSpaceDN/>
              <w:bidi w:val="0"/>
              <w:adjustRightInd/>
              <w:snapToGrid w:val="0"/>
              <w:spacing w:line="320" w:lineRule="exact"/>
              <w:ind w:left="0" w:leftChars="0"/>
              <w:jc w:val="center"/>
              <w:textAlignment w:val="center"/>
              <w:rPr>
                <w:rFonts w:hint="eastAsia" w:ascii="宋体" w:hAnsi="宋体" w:eastAsia="宋体" w:cs="宋体"/>
                <w:i w:val="0"/>
                <w:color w:val="000000" w:themeColor="text1"/>
                <w:sz w:val="21"/>
                <w:szCs w:val="21"/>
                <w:u w:val="none"/>
                <w14:textFill>
                  <w14:solidFill>
                    <w14:schemeClr w14:val="tx1"/>
                  </w14:solidFill>
                </w14:textFill>
              </w:rPr>
            </w:pPr>
            <w:r>
              <w:rPr>
                <w:rFonts w:hint="eastAsia" w:ascii="宋体" w:hAnsi="宋体" w:eastAsia="宋体" w:cs="宋体"/>
                <w:i w:val="0"/>
                <w:color w:val="000000" w:themeColor="text1"/>
                <w:sz w:val="21"/>
                <w:szCs w:val="21"/>
                <w:u w:val="none"/>
                <w14:textFill>
                  <w14:solidFill>
                    <w14:schemeClr w14:val="tx1"/>
                  </w14:solidFill>
                </w14:textFill>
              </w:rPr>
              <w:t xml:space="preserve">87.48186090 </w:t>
            </w:r>
          </w:p>
        </w:tc>
        <w:tc>
          <w:tcPr>
            <w:tcW w:w="0" w:type="auto"/>
            <w:tcBorders>
              <w:tl2br w:val="nil"/>
              <w:tr2bl w:val="nil"/>
            </w:tcBorders>
            <w:shd w:val="clear" w:color="auto" w:fill="auto"/>
            <w:noWrap/>
            <w:tcMar>
              <w:top w:w="12" w:type="dxa"/>
              <w:left w:w="12" w:type="dxa"/>
              <w:right w:w="12" w:type="dxa"/>
            </w:tcMar>
            <w:vAlign w:val="center"/>
          </w:tcPr>
          <w:p w14:paraId="4A376678">
            <w:pPr>
              <w:keepNext w:val="0"/>
              <w:keepLines w:val="0"/>
              <w:pageBreakBefore w:val="0"/>
              <w:widowControl/>
              <w:suppressLineNumbers w:val="0"/>
              <w:kinsoku/>
              <w:wordWrap/>
              <w:overflowPunct/>
              <w:topLinePunct w:val="0"/>
              <w:autoSpaceDE/>
              <w:autoSpaceDN/>
              <w:bidi w:val="0"/>
              <w:adjustRightInd/>
              <w:snapToGrid w:val="0"/>
              <w:spacing w:line="320" w:lineRule="exact"/>
              <w:ind w:left="0" w:leftChars="0"/>
              <w:jc w:val="center"/>
              <w:textAlignment w:val="center"/>
              <w:rPr>
                <w:rFonts w:hint="eastAsia" w:ascii="宋体" w:hAnsi="宋体" w:eastAsia="宋体" w:cs="宋体"/>
                <w:i w:val="0"/>
                <w:color w:val="000000" w:themeColor="text1"/>
                <w:sz w:val="21"/>
                <w:szCs w:val="21"/>
                <w:u w:val="none"/>
                <w14:textFill>
                  <w14:solidFill>
                    <w14:schemeClr w14:val="tx1"/>
                  </w14:solidFill>
                </w14:textFill>
              </w:rPr>
            </w:pPr>
            <w:r>
              <w:rPr>
                <w:rFonts w:hint="eastAsia" w:ascii="宋体" w:hAnsi="宋体" w:eastAsia="宋体" w:cs="宋体"/>
                <w:i w:val="0"/>
                <w:color w:val="000000" w:themeColor="text1"/>
                <w:sz w:val="21"/>
                <w:szCs w:val="21"/>
                <w:u w:val="none"/>
                <w14:textFill>
                  <w14:solidFill>
                    <w14:schemeClr w14:val="tx1"/>
                  </w14:solidFill>
                </w14:textFill>
              </w:rPr>
              <w:t>43.69245540</w:t>
            </w:r>
          </w:p>
        </w:tc>
      </w:tr>
      <w:tr w14:paraId="638071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0" w:type="auto"/>
            <w:tcBorders>
              <w:tl2br w:val="nil"/>
              <w:tr2bl w:val="nil"/>
            </w:tcBorders>
            <w:shd w:val="clear" w:color="auto" w:fill="auto"/>
            <w:noWrap/>
            <w:tcMar>
              <w:top w:w="12" w:type="dxa"/>
              <w:left w:w="12" w:type="dxa"/>
              <w:right w:w="12" w:type="dxa"/>
            </w:tcMar>
            <w:vAlign w:val="center"/>
          </w:tcPr>
          <w:p w14:paraId="3B59F697">
            <w:pPr>
              <w:keepNext w:val="0"/>
              <w:keepLines w:val="0"/>
              <w:pageBreakBefore w:val="0"/>
              <w:widowControl/>
              <w:suppressLineNumbers w:val="0"/>
              <w:kinsoku/>
              <w:wordWrap/>
              <w:overflowPunct/>
              <w:topLinePunct w:val="0"/>
              <w:autoSpaceDE/>
              <w:autoSpaceDN/>
              <w:bidi w:val="0"/>
              <w:adjustRightInd/>
              <w:snapToGrid w:val="0"/>
              <w:spacing w:line="320" w:lineRule="exact"/>
              <w:ind w:left="0" w:leftChars="0"/>
              <w:jc w:val="center"/>
              <w:textAlignment w:val="center"/>
              <w:rPr>
                <w:rFonts w:hint="eastAsia" w:ascii="宋体" w:hAnsi="宋体" w:eastAsia="宋体" w:cs="宋体"/>
                <w:i w:val="0"/>
                <w:color w:val="000000" w:themeColor="text1"/>
                <w:sz w:val="21"/>
                <w:szCs w:val="21"/>
                <w:u w:val="none"/>
                <w14:textFill>
                  <w14:solidFill>
                    <w14:schemeClr w14:val="tx1"/>
                  </w14:solidFill>
                </w14:textFill>
              </w:rPr>
            </w:pPr>
            <w: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t>7</w:t>
            </w:r>
          </w:p>
        </w:tc>
        <w:tc>
          <w:tcPr>
            <w:tcW w:w="0" w:type="auto"/>
            <w:tcBorders>
              <w:tl2br w:val="nil"/>
              <w:tr2bl w:val="nil"/>
            </w:tcBorders>
            <w:shd w:val="clear" w:color="auto" w:fill="auto"/>
            <w:noWrap/>
            <w:tcMar>
              <w:top w:w="12" w:type="dxa"/>
              <w:left w:w="12" w:type="dxa"/>
              <w:right w:w="12" w:type="dxa"/>
            </w:tcMar>
            <w:vAlign w:val="center"/>
          </w:tcPr>
          <w:p w14:paraId="4757B157">
            <w:pPr>
              <w:keepNext w:val="0"/>
              <w:keepLines w:val="0"/>
              <w:pageBreakBefore w:val="0"/>
              <w:widowControl/>
              <w:suppressLineNumbers w:val="0"/>
              <w:kinsoku/>
              <w:wordWrap/>
              <w:overflowPunct/>
              <w:topLinePunct w:val="0"/>
              <w:autoSpaceDE/>
              <w:autoSpaceDN/>
              <w:bidi w:val="0"/>
              <w:adjustRightInd/>
              <w:snapToGrid w:val="0"/>
              <w:spacing w:line="320" w:lineRule="exact"/>
              <w:ind w:left="0" w:leftChars="0"/>
              <w:jc w:val="center"/>
              <w:textAlignment w:val="center"/>
              <w:rPr>
                <w:rFonts w:hint="eastAsia" w:ascii="宋体" w:hAnsi="宋体" w:eastAsia="宋体" w:cs="宋体"/>
                <w:i w:val="0"/>
                <w:color w:val="000000" w:themeColor="text1"/>
                <w:sz w:val="21"/>
                <w:szCs w:val="21"/>
                <w:u w:val="none"/>
                <w14:textFill>
                  <w14:solidFill>
                    <w14:schemeClr w14:val="tx1"/>
                  </w14:solidFill>
                </w14:textFill>
              </w:rPr>
            </w:pPr>
            <w: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t>H7</w:t>
            </w:r>
          </w:p>
        </w:tc>
        <w:tc>
          <w:tcPr>
            <w:tcW w:w="0" w:type="auto"/>
            <w:tcBorders>
              <w:tl2br w:val="nil"/>
              <w:tr2bl w:val="nil"/>
            </w:tcBorders>
            <w:shd w:val="clear" w:color="auto" w:fill="auto"/>
            <w:noWrap/>
            <w:tcMar>
              <w:top w:w="12" w:type="dxa"/>
              <w:left w:w="12" w:type="dxa"/>
              <w:right w:w="12" w:type="dxa"/>
            </w:tcMar>
            <w:vAlign w:val="center"/>
          </w:tcPr>
          <w:p w14:paraId="2F19759F">
            <w:pPr>
              <w:keepNext w:val="0"/>
              <w:keepLines w:val="0"/>
              <w:pageBreakBefore w:val="0"/>
              <w:widowControl/>
              <w:suppressLineNumbers w:val="0"/>
              <w:kinsoku/>
              <w:wordWrap/>
              <w:overflowPunct/>
              <w:topLinePunct w:val="0"/>
              <w:autoSpaceDE/>
              <w:autoSpaceDN/>
              <w:bidi w:val="0"/>
              <w:adjustRightInd/>
              <w:snapToGrid w:val="0"/>
              <w:spacing w:line="320" w:lineRule="exact"/>
              <w:ind w:left="0" w:leftChars="0"/>
              <w:jc w:val="center"/>
              <w:textAlignment w:val="center"/>
              <w:rPr>
                <w:rFonts w:hint="eastAsia" w:ascii="宋体" w:hAnsi="宋体" w:eastAsia="宋体" w:cs="宋体"/>
                <w:i w:val="0"/>
                <w:color w:val="000000" w:themeColor="text1"/>
                <w:sz w:val="21"/>
                <w:szCs w:val="21"/>
                <w:u w:val="none"/>
                <w14:textFill>
                  <w14:solidFill>
                    <w14:schemeClr w14:val="tx1"/>
                  </w14:solidFill>
                </w14:textFill>
              </w:rPr>
            </w:pPr>
            <w:r>
              <w:rPr>
                <w:rFonts w:hint="eastAsia" w:ascii="宋体" w:hAnsi="宋体" w:eastAsia="宋体" w:cs="宋体"/>
                <w:i w:val="0"/>
                <w:color w:val="000000" w:themeColor="text1"/>
                <w:sz w:val="21"/>
                <w:szCs w:val="21"/>
                <w:u w:val="none"/>
                <w14:textFill>
                  <w14:solidFill>
                    <w14:schemeClr w14:val="tx1"/>
                  </w14:solidFill>
                </w14:textFill>
              </w:rPr>
              <w:t xml:space="preserve">87.50073180 </w:t>
            </w:r>
          </w:p>
        </w:tc>
        <w:tc>
          <w:tcPr>
            <w:tcW w:w="0" w:type="auto"/>
            <w:tcBorders>
              <w:tl2br w:val="nil"/>
              <w:tr2bl w:val="nil"/>
            </w:tcBorders>
            <w:shd w:val="clear" w:color="auto" w:fill="auto"/>
            <w:noWrap/>
            <w:tcMar>
              <w:top w:w="12" w:type="dxa"/>
              <w:left w:w="12" w:type="dxa"/>
              <w:right w:w="12" w:type="dxa"/>
            </w:tcMar>
            <w:vAlign w:val="center"/>
          </w:tcPr>
          <w:p w14:paraId="723020FB">
            <w:pPr>
              <w:keepNext w:val="0"/>
              <w:keepLines w:val="0"/>
              <w:pageBreakBefore w:val="0"/>
              <w:widowControl/>
              <w:suppressLineNumbers w:val="0"/>
              <w:kinsoku/>
              <w:wordWrap/>
              <w:overflowPunct/>
              <w:topLinePunct w:val="0"/>
              <w:autoSpaceDE/>
              <w:autoSpaceDN/>
              <w:bidi w:val="0"/>
              <w:adjustRightInd/>
              <w:snapToGrid w:val="0"/>
              <w:spacing w:line="320" w:lineRule="exact"/>
              <w:ind w:left="0" w:leftChars="0"/>
              <w:jc w:val="center"/>
              <w:textAlignment w:val="center"/>
              <w:rPr>
                <w:rFonts w:hint="eastAsia" w:ascii="宋体" w:hAnsi="宋体" w:eastAsia="宋体" w:cs="宋体"/>
                <w:i w:val="0"/>
                <w:color w:val="000000" w:themeColor="text1"/>
                <w:sz w:val="21"/>
                <w:szCs w:val="21"/>
                <w:u w:val="none"/>
                <w14:textFill>
                  <w14:solidFill>
                    <w14:schemeClr w14:val="tx1"/>
                  </w14:solidFill>
                </w14:textFill>
              </w:rPr>
            </w:pPr>
            <w:r>
              <w:rPr>
                <w:rFonts w:hint="eastAsia" w:ascii="宋体" w:hAnsi="宋体" w:eastAsia="宋体" w:cs="宋体"/>
                <w:i w:val="0"/>
                <w:color w:val="000000" w:themeColor="text1"/>
                <w:sz w:val="21"/>
                <w:szCs w:val="21"/>
                <w:u w:val="none"/>
                <w14:textFill>
                  <w14:solidFill>
                    <w14:schemeClr w14:val="tx1"/>
                  </w14:solidFill>
                </w14:textFill>
              </w:rPr>
              <w:t>43.69780022</w:t>
            </w:r>
          </w:p>
        </w:tc>
      </w:tr>
      <w:tr w14:paraId="733C0E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0" w:type="auto"/>
            <w:tcBorders>
              <w:tl2br w:val="nil"/>
              <w:tr2bl w:val="nil"/>
            </w:tcBorders>
            <w:shd w:val="clear" w:color="auto" w:fill="auto"/>
            <w:noWrap/>
            <w:tcMar>
              <w:top w:w="12" w:type="dxa"/>
              <w:left w:w="12" w:type="dxa"/>
              <w:right w:w="12" w:type="dxa"/>
            </w:tcMar>
            <w:vAlign w:val="center"/>
          </w:tcPr>
          <w:p w14:paraId="46FCF12A">
            <w:pPr>
              <w:keepNext w:val="0"/>
              <w:keepLines w:val="0"/>
              <w:pageBreakBefore w:val="0"/>
              <w:widowControl/>
              <w:suppressLineNumbers w:val="0"/>
              <w:kinsoku/>
              <w:wordWrap/>
              <w:overflowPunct/>
              <w:topLinePunct w:val="0"/>
              <w:autoSpaceDE/>
              <w:autoSpaceDN/>
              <w:bidi w:val="0"/>
              <w:adjustRightInd/>
              <w:snapToGrid w:val="0"/>
              <w:spacing w:line="320" w:lineRule="exact"/>
              <w:ind w:left="0" w:leftChars="0"/>
              <w:jc w:val="center"/>
              <w:textAlignment w:val="center"/>
              <w:rPr>
                <w:rFonts w:hint="eastAsia" w:ascii="宋体" w:hAnsi="宋体" w:eastAsia="宋体" w:cs="宋体"/>
                <w:i w:val="0"/>
                <w:color w:val="000000" w:themeColor="text1"/>
                <w:sz w:val="21"/>
                <w:szCs w:val="21"/>
                <w:u w:val="none"/>
                <w14:textFill>
                  <w14:solidFill>
                    <w14:schemeClr w14:val="tx1"/>
                  </w14:solidFill>
                </w14:textFill>
              </w:rPr>
            </w:pPr>
            <w: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t>8</w:t>
            </w:r>
          </w:p>
        </w:tc>
        <w:tc>
          <w:tcPr>
            <w:tcW w:w="0" w:type="auto"/>
            <w:tcBorders>
              <w:tl2br w:val="nil"/>
              <w:tr2bl w:val="nil"/>
            </w:tcBorders>
            <w:shd w:val="clear" w:color="auto" w:fill="auto"/>
            <w:noWrap/>
            <w:tcMar>
              <w:top w:w="12" w:type="dxa"/>
              <w:left w:w="12" w:type="dxa"/>
              <w:right w:w="12" w:type="dxa"/>
            </w:tcMar>
            <w:vAlign w:val="center"/>
          </w:tcPr>
          <w:p w14:paraId="1C674AD2">
            <w:pPr>
              <w:keepNext w:val="0"/>
              <w:keepLines w:val="0"/>
              <w:pageBreakBefore w:val="0"/>
              <w:widowControl/>
              <w:suppressLineNumbers w:val="0"/>
              <w:kinsoku/>
              <w:wordWrap/>
              <w:overflowPunct/>
              <w:topLinePunct w:val="0"/>
              <w:autoSpaceDE/>
              <w:autoSpaceDN/>
              <w:bidi w:val="0"/>
              <w:adjustRightInd/>
              <w:snapToGrid w:val="0"/>
              <w:spacing w:line="320" w:lineRule="exact"/>
              <w:ind w:left="0" w:leftChars="0"/>
              <w:jc w:val="center"/>
              <w:textAlignment w:val="center"/>
              <w:rPr>
                <w:rFonts w:hint="eastAsia" w:ascii="宋体" w:hAnsi="宋体" w:eastAsia="宋体" w:cs="宋体"/>
                <w:i w:val="0"/>
                <w:color w:val="000000" w:themeColor="text1"/>
                <w:sz w:val="21"/>
                <w:szCs w:val="21"/>
                <w:u w:val="none"/>
                <w14:textFill>
                  <w14:solidFill>
                    <w14:schemeClr w14:val="tx1"/>
                  </w14:solidFill>
                </w14:textFill>
              </w:rPr>
            </w:pPr>
            <w: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t>H8</w:t>
            </w:r>
          </w:p>
        </w:tc>
        <w:tc>
          <w:tcPr>
            <w:tcW w:w="0" w:type="auto"/>
            <w:tcBorders>
              <w:tl2br w:val="nil"/>
              <w:tr2bl w:val="nil"/>
            </w:tcBorders>
            <w:shd w:val="clear" w:color="auto" w:fill="auto"/>
            <w:noWrap/>
            <w:tcMar>
              <w:top w:w="12" w:type="dxa"/>
              <w:left w:w="12" w:type="dxa"/>
              <w:right w:w="12" w:type="dxa"/>
            </w:tcMar>
            <w:vAlign w:val="center"/>
          </w:tcPr>
          <w:p w14:paraId="2031D230">
            <w:pPr>
              <w:keepNext w:val="0"/>
              <w:keepLines w:val="0"/>
              <w:pageBreakBefore w:val="0"/>
              <w:widowControl/>
              <w:suppressLineNumbers w:val="0"/>
              <w:kinsoku/>
              <w:wordWrap/>
              <w:overflowPunct/>
              <w:topLinePunct w:val="0"/>
              <w:autoSpaceDE/>
              <w:autoSpaceDN/>
              <w:bidi w:val="0"/>
              <w:adjustRightInd/>
              <w:snapToGrid w:val="0"/>
              <w:spacing w:line="320" w:lineRule="exact"/>
              <w:ind w:left="0" w:leftChars="0"/>
              <w:jc w:val="center"/>
              <w:textAlignment w:val="center"/>
              <w:rPr>
                <w:rFonts w:hint="eastAsia" w:ascii="宋体" w:hAnsi="宋体" w:eastAsia="宋体" w:cs="宋体"/>
                <w:i w:val="0"/>
                <w:color w:val="000000" w:themeColor="text1"/>
                <w:sz w:val="21"/>
                <w:szCs w:val="21"/>
                <w:u w:val="none"/>
                <w14:textFill>
                  <w14:solidFill>
                    <w14:schemeClr w14:val="tx1"/>
                  </w14:solidFill>
                </w14:textFill>
              </w:rPr>
            </w:pPr>
            <w:r>
              <w:rPr>
                <w:rFonts w:hint="eastAsia" w:ascii="宋体" w:hAnsi="宋体" w:eastAsia="宋体" w:cs="宋体"/>
                <w:i w:val="0"/>
                <w:color w:val="000000" w:themeColor="text1"/>
                <w:sz w:val="21"/>
                <w:szCs w:val="21"/>
                <w:u w:val="none"/>
                <w14:textFill>
                  <w14:solidFill>
                    <w14:schemeClr w14:val="tx1"/>
                  </w14:solidFill>
                </w14:textFill>
              </w:rPr>
              <w:t xml:space="preserve">87.46649150 </w:t>
            </w:r>
          </w:p>
        </w:tc>
        <w:tc>
          <w:tcPr>
            <w:tcW w:w="0" w:type="auto"/>
            <w:tcBorders>
              <w:tl2br w:val="nil"/>
              <w:tr2bl w:val="nil"/>
            </w:tcBorders>
            <w:shd w:val="clear" w:color="auto" w:fill="auto"/>
            <w:noWrap/>
            <w:tcMar>
              <w:top w:w="12" w:type="dxa"/>
              <w:left w:w="12" w:type="dxa"/>
              <w:right w:w="12" w:type="dxa"/>
            </w:tcMar>
            <w:vAlign w:val="center"/>
          </w:tcPr>
          <w:p w14:paraId="4E5E8526">
            <w:pPr>
              <w:keepNext w:val="0"/>
              <w:keepLines w:val="0"/>
              <w:pageBreakBefore w:val="0"/>
              <w:widowControl/>
              <w:suppressLineNumbers w:val="0"/>
              <w:kinsoku/>
              <w:wordWrap/>
              <w:overflowPunct/>
              <w:topLinePunct w:val="0"/>
              <w:autoSpaceDE/>
              <w:autoSpaceDN/>
              <w:bidi w:val="0"/>
              <w:adjustRightInd/>
              <w:snapToGrid w:val="0"/>
              <w:spacing w:line="320" w:lineRule="exact"/>
              <w:ind w:left="0" w:leftChars="0"/>
              <w:jc w:val="center"/>
              <w:textAlignment w:val="center"/>
              <w:rPr>
                <w:rFonts w:hint="eastAsia" w:ascii="宋体" w:hAnsi="宋体" w:eastAsia="宋体" w:cs="宋体"/>
                <w:i w:val="0"/>
                <w:color w:val="000000" w:themeColor="text1"/>
                <w:sz w:val="21"/>
                <w:szCs w:val="21"/>
                <w:u w:val="none"/>
                <w14:textFill>
                  <w14:solidFill>
                    <w14:schemeClr w14:val="tx1"/>
                  </w14:solidFill>
                </w14:textFill>
              </w:rPr>
            </w:pPr>
            <w:r>
              <w:rPr>
                <w:rFonts w:hint="eastAsia" w:ascii="宋体" w:hAnsi="宋体" w:eastAsia="宋体" w:cs="宋体"/>
                <w:i w:val="0"/>
                <w:color w:val="000000" w:themeColor="text1"/>
                <w:sz w:val="21"/>
                <w:szCs w:val="21"/>
                <w:u w:val="none"/>
                <w14:textFill>
                  <w14:solidFill>
                    <w14:schemeClr w14:val="tx1"/>
                  </w14:solidFill>
                </w14:textFill>
              </w:rPr>
              <w:t>43.68284666</w:t>
            </w:r>
          </w:p>
        </w:tc>
      </w:tr>
      <w:tr w14:paraId="30BB2B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0" w:type="auto"/>
            <w:tcBorders>
              <w:tl2br w:val="nil"/>
              <w:tr2bl w:val="nil"/>
            </w:tcBorders>
            <w:shd w:val="clear" w:color="auto" w:fill="auto"/>
            <w:noWrap/>
            <w:tcMar>
              <w:top w:w="12" w:type="dxa"/>
              <w:left w:w="12" w:type="dxa"/>
              <w:right w:w="12" w:type="dxa"/>
            </w:tcMar>
            <w:vAlign w:val="center"/>
          </w:tcPr>
          <w:p w14:paraId="0F30FE06">
            <w:pPr>
              <w:keepNext w:val="0"/>
              <w:keepLines w:val="0"/>
              <w:pageBreakBefore w:val="0"/>
              <w:widowControl/>
              <w:suppressLineNumbers w:val="0"/>
              <w:kinsoku/>
              <w:wordWrap/>
              <w:overflowPunct/>
              <w:topLinePunct w:val="0"/>
              <w:autoSpaceDE/>
              <w:autoSpaceDN/>
              <w:bidi w:val="0"/>
              <w:adjustRightInd/>
              <w:snapToGrid w:val="0"/>
              <w:spacing w:line="320" w:lineRule="exact"/>
              <w:ind w:left="0" w:leftChars="0"/>
              <w:jc w:val="center"/>
              <w:textAlignment w:val="center"/>
              <w:rPr>
                <w:rFonts w:hint="eastAsia" w:ascii="宋体" w:hAnsi="宋体" w:eastAsia="宋体" w:cs="宋体"/>
                <w:i w:val="0"/>
                <w:color w:val="000000" w:themeColor="text1"/>
                <w:sz w:val="21"/>
                <w:szCs w:val="21"/>
                <w:u w:val="none"/>
                <w14:textFill>
                  <w14:solidFill>
                    <w14:schemeClr w14:val="tx1"/>
                  </w14:solidFill>
                </w14:textFill>
              </w:rPr>
            </w:pPr>
            <w: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t>9</w:t>
            </w:r>
          </w:p>
        </w:tc>
        <w:tc>
          <w:tcPr>
            <w:tcW w:w="0" w:type="auto"/>
            <w:tcBorders>
              <w:tl2br w:val="nil"/>
              <w:tr2bl w:val="nil"/>
            </w:tcBorders>
            <w:shd w:val="clear" w:color="auto" w:fill="auto"/>
            <w:noWrap/>
            <w:tcMar>
              <w:top w:w="12" w:type="dxa"/>
              <w:left w:w="12" w:type="dxa"/>
              <w:right w:w="12" w:type="dxa"/>
            </w:tcMar>
            <w:vAlign w:val="center"/>
          </w:tcPr>
          <w:p w14:paraId="4BDFCA15">
            <w:pPr>
              <w:keepNext w:val="0"/>
              <w:keepLines w:val="0"/>
              <w:pageBreakBefore w:val="0"/>
              <w:widowControl/>
              <w:suppressLineNumbers w:val="0"/>
              <w:kinsoku/>
              <w:wordWrap/>
              <w:overflowPunct/>
              <w:topLinePunct w:val="0"/>
              <w:autoSpaceDE/>
              <w:autoSpaceDN/>
              <w:bidi w:val="0"/>
              <w:adjustRightInd/>
              <w:snapToGrid w:val="0"/>
              <w:spacing w:line="320" w:lineRule="exact"/>
              <w:ind w:left="0" w:leftChars="0"/>
              <w:jc w:val="center"/>
              <w:textAlignment w:val="center"/>
              <w:rPr>
                <w:rFonts w:hint="eastAsia" w:ascii="宋体" w:hAnsi="宋体" w:eastAsia="宋体" w:cs="宋体"/>
                <w:i w:val="0"/>
                <w:color w:val="000000" w:themeColor="text1"/>
                <w:sz w:val="21"/>
                <w:szCs w:val="21"/>
                <w:u w:val="none"/>
                <w14:textFill>
                  <w14:solidFill>
                    <w14:schemeClr w14:val="tx1"/>
                  </w14:solidFill>
                </w14:textFill>
              </w:rPr>
            </w:pPr>
            <w: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t>H9</w:t>
            </w:r>
          </w:p>
        </w:tc>
        <w:tc>
          <w:tcPr>
            <w:tcW w:w="0" w:type="auto"/>
            <w:tcBorders>
              <w:tl2br w:val="nil"/>
              <w:tr2bl w:val="nil"/>
            </w:tcBorders>
            <w:shd w:val="clear" w:color="auto" w:fill="auto"/>
            <w:noWrap/>
            <w:tcMar>
              <w:top w:w="12" w:type="dxa"/>
              <w:left w:w="12" w:type="dxa"/>
              <w:right w:w="12" w:type="dxa"/>
            </w:tcMar>
            <w:vAlign w:val="center"/>
          </w:tcPr>
          <w:p w14:paraId="0DD15015">
            <w:pPr>
              <w:keepNext w:val="0"/>
              <w:keepLines w:val="0"/>
              <w:pageBreakBefore w:val="0"/>
              <w:widowControl/>
              <w:suppressLineNumbers w:val="0"/>
              <w:kinsoku/>
              <w:wordWrap/>
              <w:overflowPunct/>
              <w:topLinePunct w:val="0"/>
              <w:autoSpaceDE/>
              <w:autoSpaceDN/>
              <w:bidi w:val="0"/>
              <w:adjustRightInd/>
              <w:snapToGrid w:val="0"/>
              <w:spacing w:line="320" w:lineRule="exact"/>
              <w:ind w:left="0" w:leftChars="0"/>
              <w:jc w:val="center"/>
              <w:textAlignment w:val="center"/>
              <w:rPr>
                <w:rFonts w:hint="eastAsia" w:ascii="宋体" w:hAnsi="宋体" w:eastAsia="宋体" w:cs="宋体"/>
                <w:i w:val="0"/>
                <w:color w:val="000000" w:themeColor="text1"/>
                <w:sz w:val="21"/>
                <w:szCs w:val="21"/>
                <w:u w:val="none"/>
                <w14:textFill>
                  <w14:solidFill>
                    <w14:schemeClr w14:val="tx1"/>
                  </w14:solidFill>
                </w14:textFill>
              </w:rPr>
            </w:pPr>
            <w:r>
              <w:rPr>
                <w:rFonts w:hint="eastAsia" w:ascii="宋体" w:hAnsi="宋体" w:eastAsia="宋体" w:cs="宋体"/>
                <w:i w:val="0"/>
                <w:color w:val="000000" w:themeColor="text1"/>
                <w:sz w:val="21"/>
                <w:szCs w:val="21"/>
                <w:u w:val="none"/>
                <w14:textFill>
                  <w14:solidFill>
                    <w14:schemeClr w14:val="tx1"/>
                  </w14:solidFill>
                </w14:textFill>
              </w:rPr>
              <w:t xml:space="preserve">87.46356337 </w:t>
            </w:r>
          </w:p>
        </w:tc>
        <w:tc>
          <w:tcPr>
            <w:tcW w:w="0" w:type="auto"/>
            <w:tcBorders>
              <w:tl2br w:val="nil"/>
              <w:tr2bl w:val="nil"/>
            </w:tcBorders>
            <w:shd w:val="clear" w:color="auto" w:fill="auto"/>
            <w:noWrap/>
            <w:tcMar>
              <w:top w:w="12" w:type="dxa"/>
              <w:left w:w="12" w:type="dxa"/>
              <w:right w:w="12" w:type="dxa"/>
            </w:tcMar>
            <w:vAlign w:val="center"/>
          </w:tcPr>
          <w:p w14:paraId="1D5E04AC">
            <w:pPr>
              <w:keepNext w:val="0"/>
              <w:keepLines w:val="0"/>
              <w:pageBreakBefore w:val="0"/>
              <w:widowControl/>
              <w:suppressLineNumbers w:val="0"/>
              <w:kinsoku/>
              <w:wordWrap/>
              <w:overflowPunct/>
              <w:topLinePunct w:val="0"/>
              <w:autoSpaceDE/>
              <w:autoSpaceDN/>
              <w:bidi w:val="0"/>
              <w:adjustRightInd/>
              <w:snapToGrid w:val="0"/>
              <w:spacing w:line="320" w:lineRule="exact"/>
              <w:ind w:left="0" w:leftChars="0"/>
              <w:jc w:val="center"/>
              <w:textAlignment w:val="center"/>
              <w:rPr>
                <w:rFonts w:hint="eastAsia" w:ascii="宋体" w:hAnsi="宋体" w:eastAsia="宋体" w:cs="宋体"/>
                <w:i w:val="0"/>
                <w:color w:val="000000" w:themeColor="text1"/>
                <w:sz w:val="21"/>
                <w:szCs w:val="21"/>
                <w:u w:val="none"/>
                <w14:textFill>
                  <w14:solidFill>
                    <w14:schemeClr w14:val="tx1"/>
                  </w14:solidFill>
                </w14:textFill>
              </w:rPr>
            </w:pPr>
            <w:r>
              <w:rPr>
                <w:rFonts w:hint="eastAsia" w:ascii="宋体" w:hAnsi="宋体" w:eastAsia="宋体" w:cs="宋体"/>
                <w:i w:val="0"/>
                <w:color w:val="000000" w:themeColor="text1"/>
                <w:sz w:val="21"/>
                <w:szCs w:val="21"/>
                <w:u w:val="none"/>
                <w14:textFill>
                  <w14:solidFill>
                    <w14:schemeClr w14:val="tx1"/>
                  </w14:solidFill>
                </w14:textFill>
              </w:rPr>
              <w:t>43.67836460</w:t>
            </w:r>
          </w:p>
        </w:tc>
      </w:tr>
      <w:tr w14:paraId="0E94B4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0" w:type="auto"/>
            <w:tcBorders>
              <w:tl2br w:val="nil"/>
              <w:tr2bl w:val="nil"/>
            </w:tcBorders>
            <w:shd w:val="clear" w:color="auto" w:fill="auto"/>
            <w:noWrap/>
            <w:tcMar>
              <w:top w:w="12" w:type="dxa"/>
              <w:left w:w="12" w:type="dxa"/>
              <w:right w:w="12" w:type="dxa"/>
            </w:tcMar>
            <w:vAlign w:val="center"/>
          </w:tcPr>
          <w:p w14:paraId="4EAE6277">
            <w:pPr>
              <w:keepNext w:val="0"/>
              <w:keepLines w:val="0"/>
              <w:pageBreakBefore w:val="0"/>
              <w:widowControl/>
              <w:suppressLineNumbers w:val="0"/>
              <w:kinsoku/>
              <w:wordWrap/>
              <w:overflowPunct/>
              <w:topLinePunct w:val="0"/>
              <w:autoSpaceDE/>
              <w:autoSpaceDN/>
              <w:bidi w:val="0"/>
              <w:adjustRightInd/>
              <w:snapToGrid w:val="0"/>
              <w:spacing w:line="320" w:lineRule="exact"/>
              <w:ind w:left="0" w:leftChars="0"/>
              <w:jc w:val="center"/>
              <w:textAlignment w:val="center"/>
              <w:rPr>
                <w:rFonts w:hint="eastAsia" w:ascii="宋体" w:hAnsi="宋体" w:eastAsia="宋体" w:cs="宋体"/>
                <w:i w:val="0"/>
                <w:color w:val="000000" w:themeColor="text1"/>
                <w:sz w:val="21"/>
                <w:szCs w:val="21"/>
                <w:u w:val="none"/>
                <w14:textFill>
                  <w14:solidFill>
                    <w14:schemeClr w14:val="tx1"/>
                  </w14:solidFill>
                </w14:textFill>
              </w:rPr>
            </w:pPr>
            <w: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t>10</w:t>
            </w:r>
          </w:p>
        </w:tc>
        <w:tc>
          <w:tcPr>
            <w:tcW w:w="0" w:type="auto"/>
            <w:tcBorders>
              <w:tl2br w:val="nil"/>
              <w:tr2bl w:val="nil"/>
            </w:tcBorders>
            <w:shd w:val="clear" w:color="auto" w:fill="auto"/>
            <w:noWrap/>
            <w:tcMar>
              <w:top w:w="12" w:type="dxa"/>
              <w:left w:w="12" w:type="dxa"/>
              <w:right w:w="12" w:type="dxa"/>
            </w:tcMar>
            <w:vAlign w:val="center"/>
          </w:tcPr>
          <w:p w14:paraId="4CCEA9BC">
            <w:pPr>
              <w:keepNext w:val="0"/>
              <w:keepLines w:val="0"/>
              <w:pageBreakBefore w:val="0"/>
              <w:widowControl/>
              <w:suppressLineNumbers w:val="0"/>
              <w:kinsoku/>
              <w:wordWrap/>
              <w:overflowPunct/>
              <w:topLinePunct w:val="0"/>
              <w:autoSpaceDE/>
              <w:autoSpaceDN/>
              <w:bidi w:val="0"/>
              <w:adjustRightInd/>
              <w:snapToGrid w:val="0"/>
              <w:spacing w:line="320" w:lineRule="exact"/>
              <w:ind w:left="0" w:leftChars="0"/>
              <w:jc w:val="center"/>
              <w:textAlignment w:val="center"/>
              <w:rPr>
                <w:rFonts w:hint="eastAsia" w:ascii="宋体" w:hAnsi="宋体" w:eastAsia="宋体" w:cs="宋体"/>
                <w:i w:val="0"/>
                <w:color w:val="000000" w:themeColor="text1"/>
                <w:sz w:val="21"/>
                <w:szCs w:val="21"/>
                <w:u w:val="none"/>
                <w14:textFill>
                  <w14:solidFill>
                    <w14:schemeClr w14:val="tx1"/>
                  </w14:solidFill>
                </w14:textFill>
              </w:rPr>
            </w:pPr>
            <w: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t>H10</w:t>
            </w:r>
          </w:p>
        </w:tc>
        <w:tc>
          <w:tcPr>
            <w:tcW w:w="0" w:type="auto"/>
            <w:tcBorders>
              <w:tl2br w:val="nil"/>
              <w:tr2bl w:val="nil"/>
            </w:tcBorders>
            <w:shd w:val="clear" w:color="auto" w:fill="auto"/>
            <w:noWrap/>
            <w:tcMar>
              <w:top w:w="12" w:type="dxa"/>
              <w:left w:w="12" w:type="dxa"/>
              <w:right w:w="12" w:type="dxa"/>
            </w:tcMar>
            <w:vAlign w:val="center"/>
          </w:tcPr>
          <w:p w14:paraId="6D574288">
            <w:pPr>
              <w:keepNext w:val="0"/>
              <w:keepLines w:val="0"/>
              <w:pageBreakBefore w:val="0"/>
              <w:widowControl/>
              <w:suppressLineNumbers w:val="0"/>
              <w:kinsoku/>
              <w:wordWrap/>
              <w:overflowPunct/>
              <w:topLinePunct w:val="0"/>
              <w:autoSpaceDE/>
              <w:autoSpaceDN/>
              <w:bidi w:val="0"/>
              <w:adjustRightInd/>
              <w:snapToGrid w:val="0"/>
              <w:spacing w:line="320" w:lineRule="exact"/>
              <w:ind w:left="0" w:leftChars="0"/>
              <w:jc w:val="center"/>
              <w:textAlignment w:val="center"/>
              <w:rPr>
                <w:rFonts w:hint="eastAsia" w:ascii="宋体" w:hAnsi="宋体" w:eastAsia="宋体" w:cs="宋体"/>
                <w:i w:val="0"/>
                <w:color w:val="000000" w:themeColor="text1"/>
                <w:sz w:val="21"/>
                <w:szCs w:val="21"/>
                <w:u w:val="none"/>
                <w14:textFill>
                  <w14:solidFill>
                    <w14:schemeClr w14:val="tx1"/>
                  </w14:solidFill>
                </w14:textFill>
              </w:rPr>
            </w:pPr>
            <w:r>
              <w:rPr>
                <w:rFonts w:hint="eastAsia" w:ascii="宋体" w:hAnsi="宋体" w:eastAsia="宋体" w:cs="宋体"/>
                <w:i w:val="0"/>
                <w:color w:val="000000" w:themeColor="text1"/>
                <w:sz w:val="21"/>
                <w:szCs w:val="21"/>
                <w:u w:val="none"/>
                <w14:textFill>
                  <w14:solidFill>
                    <w14:schemeClr w14:val="tx1"/>
                  </w14:solidFill>
                </w14:textFill>
              </w:rPr>
              <w:t xml:space="preserve">87.47978615 </w:t>
            </w:r>
          </w:p>
        </w:tc>
        <w:tc>
          <w:tcPr>
            <w:tcW w:w="0" w:type="auto"/>
            <w:tcBorders>
              <w:tl2br w:val="nil"/>
              <w:tr2bl w:val="nil"/>
            </w:tcBorders>
            <w:shd w:val="clear" w:color="auto" w:fill="auto"/>
            <w:noWrap/>
            <w:tcMar>
              <w:top w:w="12" w:type="dxa"/>
              <w:left w:w="12" w:type="dxa"/>
              <w:right w:w="12" w:type="dxa"/>
            </w:tcMar>
            <w:vAlign w:val="center"/>
          </w:tcPr>
          <w:p w14:paraId="7437A399">
            <w:pPr>
              <w:keepNext w:val="0"/>
              <w:keepLines w:val="0"/>
              <w:pageBreakBefore w:val="0"/>
              <w:widowControl/>
              <w:suppressLineNumbers w:val="0"/>
              <w:kinsoku/>
              <w:wordWrap/>
              <w:overflowPunct/>
              <w:topLinePunct w:val="0"/>
              <w:autoSpaceDE/>
              <w:autoSpaceDN/>
              <w:bidi w:val="0"/>
              <w:adjustRightInd/>
              <w:snapToGrid w:val="0"/>
              <w:spacing w:line="320" w:lineRule="exact"/>
              <w:ind w:left="0" w:leftChars="0"/>
              <w:jc w:val="center"/>
              <w:textAlignment w:val="center"/>
              <w:rPr>
                <w:rFonts w:hint="eastAsia" w:ascii="宋体" w:hAnsi="宋体" w:eastAsia="宋体" w:cs="宋体"/>
                <w:i w:val="0"/>
                <w:color w:val="000000" w:themeColor="text1"/>
                <w:sz w:val="21"/>
                <w:szCs w:val="21"/>
                <w:u w:val="none"/>
                <w14:textFill>
                  <w14:solidFill>
                    <w14:schemeClr w14:val="tx1"/>
                  </w14:solidFill>
                </w14:textFill>
              </w:rPr>
            </w:pPr>
            <w:r>
              <w:rPr>
                <w:rFonts w:hint="eastAsia" w:ascii="宋体" w:hAnsi="宋体" w:eastAsia="宋体" w:cs="宋体"/>
                <w:i w:val="0"/>
                <w:color w:val="000000" w:themeColor="text1"/>
                <w:sz w:val="21"/>
                <w:szCs w:val="21"/>
                <w:u w:val="none"/>
                <w14:textFill>
                  <w14:solidFill>
                    <w14:schemeClr w14:val="tx1"/>
                  </w14:solidFill>
                </w14:textFill>
              </w:rPr>
              <w:t>43.68074561</w:t>
            </w:r>
          </w:p>
        </w:tc>
      </w:tr>
      <w:tr w14:paraId="44BCA2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0" w:type="auto"/>
            <w:tcBorders>
              <w:tl2br w:val="nil"/>
              <w:tr2bl w:val="nil"/>
            </w:tcBorders>
            <w:shd w:val="clear" w:color="auto" w:fill="auto"/>
            <w:noWrap/>
            <w:tcMar>
              <w:top w:w="12" w:type="dxa"/>
              <w:left w:w="12" w:type="dxa"/>
              <w:right w:w="12" w:type="dxa"/>
            </w:tcMar>
            <w:vAlign w:val="center"/>
          </w:tcPr>
          <w:p w14:paraId="0FA43A4E">
            <w:pPr>
              <w:keepNext w:val="0"/>
              <w:keepLines w:val="0"/>
              <w:pageBreakBefore w:val="0"/>
              <w:widowControl/>
              <w:suppressLineNumbers w:val="0"/>
              <w:kinsoku/>
              <w:wordWrap/>
              <w:overflowPunct/>
              <w:topLinePunct w:val="0"/>
              <w:autoSpaceDE/>
              <w:autoSpaceDN/>
              <w:bidi w:val="0"/>
              <w:adjustRightInd/>
              <w:snapToGrid w:val="0"/>
              <w:spacing w:line="320" w:lineRule="exact"/>
              <w:ind w:left="0" w:leftChars="0"/>
              <w:jc w:val="center"/>
              <w:textAlignment w:val="center"/>
              <w:rPr>
                <w:rFonts w:hint="eastAsia" w:ascii="宋体" w:hAnsi="宋体" w:eastAsia="宋体" w:cs="宋体"/>
                <w:i w:val="0"/>
                <w:color w:val="000000" w:themeColor="text1"/>
                <w:sz w:val="21"/>
                <w:szCs w:val="21"/>
                <w:u w:val="none"/>
                <w14:textFill>
                  <w14:solidFill>
                    <w14:schemeClr w14:val="tx1"/>
                  </w14:solidFill>
                </w14:textFill>
              </w:rPr>
            </w:pPr>
            <w: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t>11</w:t>
            </w:r>
          </w:p>
        </w:tc>
        <w:tc>
          <w:tcPr>
            <w:tcW w:w="0" w:type="auto"/>
            <w:tcBorders>
              <w:tl2br w:val="nil"/>
              <w:tr2bl w:val="nil"/>
            </w:tcBorders>
            <w:shd w:val="clear" w:color="auto" w:fill="auto"/>
            <w:noWrap/>
            <w:tcMar>
              <w:top w:w="12" w:type="dxa"/>
              <w:left w:w="12" w:type="dxa"/>
              <w:right w:w="12" w:type="dxa"/>
            </w:tcMar>
            <w:vAlign w:val="center"/>
          </w:tcPr>
          <w:p w14:paraId="24C278F8">
            <w:pPr>
              <w:keepNext w:val="0"/>
              <w:keepLines w:val="0"/>
              <w:pageBreakBefore w:val="0"/>
              <w:widowControl/>
              <w:suppressLineNumbers w:val="0"/>
              <w:kinsoku/>
              <w:wordWrap/>
              <w:overflowPunct/>
              <w:topLinePunct w:val="0"/>
              <w:autoSpaceDE/>
              <w:autoSpaceDN/>
              <w:bidi w:val="0"/>
              <w:adjustRightInd/>
              <w:snapToGrid w:val="0"/>
              <w:spacing w:line="320" w:lineRule="exact"/>
              <w:ind w:left="0" w:leftChars="0"/>
              <w:jc w:val="center"/>
              <w:textAlignment w:val="center"/>
              <w:rPr>
                <w:rFonts w:hint="eastAsia" w:ascii="宋体" w:hAnsi="宋体" w:eastAsia="宋体" w:cs="宋体"/>
                <w:i w:val="0"/>
                <w:color w:val="000000" w:themeColor="text1"/>
                <w:sz w:val="21"/>
                <w:szCs w:val="21"/>
                <w:u w:val="none"/>
                <w14:textFill>
                  <w14:solidFill>
                    <w14:schemeClr w14:val="tx1"/>
                  </w14:solidFill>
                </w14:textFill>
              </w:rPr>
            </w:pPr>
            <w: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t>H11</w:t>
            </w:r>
          </w:p>
        </w:tc>
        <w:tc>
          <w:tcPr>
            <w:tcW w:w="0" w:type="auto"/>
            <w:tcBorders>
              <w:tl2br w:val="nil"/>
              <w:tr2bl w:val="nil"/>
            </w:tcBorders>
            <w:shd w:val="clear" w:color="auto" w:fill="auto"/>
            <w:noWrap/>
            <w:tcMar>
              <w:top w:w="12" w:type="dxa"/>
              <w:left w:w="12" w:type="dxa"/>
              <w:right w:w="12" w:type="dxa"/>
            </w:tcMar>
            <w:vAlign w:val="center"/>
          </w:tcPr>
          <w:p w14:paraId="7719E2F4">
            <w:pPr>
              <w:keepNext w:val="0"/>
              <w:keepLines w:val="0"/>
              <w:pageBreakBefore w:val="0"/>
              <w:widowControl/>
              <w:suppressLineNumbers w:val="0"/>
              <w:kinsoku/>
              <w:wordWrap/>
              <w:overflowPunct/>
              <w:topLinePunct w:val="0"/>
              <w:autoSpaceDE/>
              <w:autoSpaceDN/>
              <w:bidi w:val="0"/>
              <w:adjustRightInd/>
              <w:snapToGrid w:val="0"/>
              <w:spacing w:line="320" w:lineRule="exact"/>
              <w:ind w:left="0" w:leftChars="0"/>
              <w:jc w:val="center"/>
              <w:textAlignment w:val="center"/>
              <w:rPr>
                <w:rFonts w:hint="eastAsia" w:ascii="宋体" w:hAnsi="宋体" w:eastAsia="宋体" w:cs="宋体"/>
                <w:i w:val="0"/>
                <w:color w:val="000000" w:themeColor="text1"/>
                <w:sz w:val="21"/>
                <w:szCs w:val="21"/>
                <w:u w:val="none"/>
                <w14:textFill>
                  <w14:solidFill>
                    <w14:schemeClr w14:val="tx1"/>
                  </w14:solidFill>
                </w14:textFill>
              </w:rPr>
            </w:pPr>
            <w:r>
              <w:rPr>
                <w:rFonts w:hint="eastAsia" w:ascii="宋体" w:hAnsi="宋体" w:eastAsia="宋体" w:cs="宋体"/>
                <w:i w:val="0"/>
                <w:color w:val="000000" w:themeColor="text1"/>
                <w:sz w:val="21"/>
                <w:szCs w:val="21"/>
                <w:u w:val="none"/>
                <w14:textFill>
                  <w14:solidFill>
                    <w14:schemeClr w14:val="tx1"/>
                  </w14:solidFill>
                </w14:textFill>
              </w:rPr>
              <w:t xml:space="preserve">87.47940130 </w:t>
            </w:r>
          </w:p>
        </w:tc>
        <w:tc>
          <w:tcPr>
            <w:tcW w:w="0" w:type="auto"/>
            <w:tcBorders>
              <w:tl2br w:val="nil"/>
              <w:tr2bl w:val="nil"/>
            </w:tcBorders>
            <w:shd w:val="clear" w:color="auto" w:fill="auto"/>
            <w:noWrap/>
            <w:tcMar>
              <w:top w:w="12" w:type="dxa"/>
              <w:left w:w="12" w:type="dxa"/>
              <w:right w:w="12" w:type="dxa"/>
            </w:tcMar>
            <w:vAlign w:val="center"/>
          </w:tcPr>
          <w:p w14:paraId="79C97DDC">
            <w:pPr>
              <w:keepNext w:val="0"/>
              <w:keepLines w:val="0"/>
              <w:pageBreakBefore w:val="0"/>
              <w:widowControl/>
              <w:suppressLineNumbers w:val="0"/>
              <w:kinsoku/>
              <w:wordWrap/>
              <w:overflowPunct/>
              <w:topLinePunct w:val="0"/>
              <w:autoSpaceDE/>
              <w:autoSpaceDN/>
              <w:bidi w:val="0"/>
              <w:adjustRightInd/>
              <w:snapToGrid w:val="0"/>
              <w:spacing w:line="320" w:lineRule="exact"/>
              <w:ind w:left="0" w:leftChars="0"/>
              <w:jc w:val="center"/>
              <w:textAlignment w:val="center"/>
              <w:rPr>
                <w:rFonts w:hint="eastAsia" w:ascii="宋体" w:hAnsi="宋体" w:eastAsia="宋体" w:cs="宋体"/>
                <w:i w:val="0"/>
                <w:color w:val="000000" w:themeColor="text1"/>
                <w:sz w:val="21"/>
                <w:szCs w:val="21"/>
                <w:u w:val="none"/>
                <w14:textFill>
                  <w14:solidFill>
                    <w14:schemeClr w14:val="tx1"/>
                  </w14:solidFill>
                </w14:textFill>
              </w:rPr>
            </w:pPr>
            <w:r>
              <w:rPr>
                <w:rFonts w:hint="eastAsia" w:ascii="宋体" w:hAnsi="宋体" w:eastAsia="宋体" w:cs="宋体"/>
                <w:i w:val="0"/>
                <w:color w:val="000000" w:themeColor="text1"/>
                <w:sz w:val="21"/>
                <w:szCs w:val="21"/>
                <w:u w:val="none"/>
                <w14:textFill>
                  <w14:solidFill>
                    <w14:schemeClr w14:val="tx1"/>
                  </w14:solidFill>
                </w14:textFill>
              </w:rPr>
              <w:t>43.67535490</w:t>
            </w:r>
          </w:p>
        </w:tc>
      </w:tr>
      <w:tr w14:paraId="5789EE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0" w:type="auto"/>
            <w:tcBorders>
              <w:tl2br w:val="nil"/>
              <w:tr2bl w:val="nil"/>
            </w:tcBorders>
            <w:shd w:val="clear" w:color="auto" w:fill="auto"/>
            <w:noWrap/>
            <w:tcMar>
              <w:top w:w="12" w:type="dxa"/>
              <w:left w:w="12" w:type="dxa"/>
              <w:right w:w="12" w:type="dxa"/>
            </w:tcMar>
            <w:vAlign w:val="center"/>
          </w:tcPr>
          <w:p w14:paraId="79E8EB3F">
            <w:pPr>
              <w:keepNext w:val="0"/>
              <w:keepLines w:val="0"/>
              <w:pageBreakBefore w:val="0"/>
              <w:widowControl/>
              <w:suppressLineNumbers w:val="0"/>
              <w:kinsoku/>
              <w:wordWrap/>
              <w:overflowPunct/>
              <w:topLinePunct w:val="0"/>
              <w:autoSpaceDE/>
              <w:autoSpaceDN/>
              <w:bidi w:val="0"/>
              <w:adjustRightInd/>
              <w:snapToGrid w:val="0"/>
              <w:spacing w:line="320" w:lineRule="exact"/>
              <w:ind w:left="0" w:leftChars="0"/>
              <w:jc w:val="center"/>
              <w:textAlignment w:val="center"/>
              <w:rPr>
                <w:rFonts w:hint="eastAsia" w:ascii="宋体" w:hAnsi="宋体" w:eastAsia="宋体" w:cs="宋体"/>
                <w:i w:val="0"/>
                <w:color w:val="000000" w:themeColor="text1"/>
                <w:sz w:val="21"/>
                <w:szCs w:val="21"/>
                <w:u w:val="none"/>
                <w14:textFill>
                  <w14:solidFill>
                    <w14:schemeClr w14:val="tx1"/>
                  </w14:solidFill>
                </w14:textFill>
              </w:rPr>
            </w:pPr>
            <w: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t>12</w:t>
            </w:r>
          </w:p>
        </w:tc>
        <w:tc>
          <w:tcPr>
            <w:tcW w:w="0" w:type="auto"/>
            <w:tcBorders>
              <w:tl2br w:val="nil"/>
              <w:tr2bl w:val="nil"/>
            </w:tcBorders>
            <w:shd w:val="clear" w:color="auto" w:fill="auto"/>
            <w:noWrap/>
            <w:tcMar>
              <w:top w:w="12" w:type="dxa"/>
              <w:left w:w="12" w:type="dxa"/>
              <w:right w:w="12" w:type="dxa"/>
            </w:tcMar>
            <w:vAlign w:val="center"/>
          </w:tcPr>
          <w:p w14:paraId="35A7CB4D">
            <w:pPr>
              <w:keepNext w:val="0"/>
              <w:keepLines w:val="0"/>
              <w:pageBreakBefore w:val="0"/>
              <w:widowControl/>
              <w:suppressLineNumbers w:val="0"/>
              <w:kinsoku/>
              <w:wordWrap/>
              <w:overflowPunct/>
              <w:topLinePunct w:val="0"/>
              <w:autoSpaceDE/>
              <w:autoSpaceDN/>
              <w:bidi w:val="0"/>
              <w:adjustRightInd/>
              <w:snapToGrid w:val="0"/>
              <w:spacing w:line="320" w:lineRule="exact"/>
              <w:ind w:left="0" w:leftChars="0"/>
              <w:jc w:val="center"/>
              <w:textAlignment w:val="center"/>
              <w:rPr>
                <w:rFonts w:hint="eastAsia" w:ascii="宋体" w:hAnsi="宋体" w:eastAsia="宋体" w:cs="宋体"/>
                <w:i w:val="0"/>
                <w:color w:val="000000" w:themeColor="text1"/>
                <w:sz w:val="21"/>
                <w:szCs w:val="21"/>
                <w:u w:val="none"/>
                <w14:textFill>
                  <w14:solidFill>
                    <w14:schemeClr w14:val="tx1"/>
                  </w14:solidFill>
                </w14:textFill>
              </w:rPr>
            </w:pPr>
            <w: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t>H12</w:t>
            </w:r>
          </w:p>
        </w:tc>
        <w:tc>
          <w:tcPr>
            <w:tcW w:w="0" w:type="auto"/>
            <w:tcBorders>
              <w:tl2br w:val="nil"/>
              <w:tr2bl w:val="nil"/>
            </w:tcBorders>
            <w:shd w:val="clear" w:color="auto" w:fill="auto"/>
            <w:noWrap/>
            <w:tcMar>
              <w:top w:w="12" w:type="dxa"/>
              <w:left w:w="12" w:type="dxa"/>
              <w:right w:w="12" w:type="dxa"/>
            </w:tcMar>
            <w:vAlign w:val="center"/>
          </w:tcPr>
          <w:p w14:paraId="6E009395">
            <w:pPr>
              <w:keepNext w:val="0"/>
              <w:keepLines w:val="0"/>
              <w:pageBreakBefore w:val="0"/>
              <w:widowControl/>
              <w:suppressLineNumbers w:val="0"/>
              <w:kinsoku/>
              <w:wordWrap/>
              <w:overflowPunct/>
              <w:topLinePunct w:val="0"/>
              <w:autoSpaceDE/>
              <w:autoSpaceDN/>
              <w:bidi w:val="0"/>
              <w:adjustRightInd/>
              <w:snapToGrid w:val="0"/>
              <w:spacing w:line="320" w:lineRule="exact"/>
              <w:ind w:left="0" w:leftChars="0"/>
              <w:jc w:val="center"/>
              <w:textAlignment w:val="center"/>
              <w:rPr>
                <w:rFonts w:hint="eastAsia" w:ascii="宋体" w:hAnsi="宋体" w:eastAsia="宋体" w:cs="宋体"/>
                <w:i w:val="0"/>
                <w:color w:val="000000" w:themeColor="text1"/>
                <w:sz w:val="21"/>
                <w:szCs w:val="21"/>
                <w:u w:val="none"/>
                <w14:textFill>
                  <w14:solidFill>
                    <w14:schemeClr w14:val="tx1"/>
                  </w14:solidFill>
                </w14:textFill>
              </w:rPr>
            </w:pPr>
            <w:r>
              <w:rPr>
                <w:rFonts w:hint="eastAsia" w:ascii="宋体" w:hAnsi="宋体" w:eastAsia="宋体" w:cs="宋体"/>
                <w:i w:val="0"/>
                <w:color w:val="000000" w:themeColor="text1"/>
                <w:sz w:val="21"/>
                <w:szCs w:val="21"/>
                <w:u w:val="none"/>
                <w14:textFill>
                  <w14:solidFill>
                    <w14:schemeClr w14:val="tx1"/>
                  </w14:solidFill>
                </w14:textFill>
              </w:rPr>
              <w:t xml:space="preserve">87.46351879 </w:t>
            </w:r>
          </w:p>
        </w:tc>
        <w:tc>
          <w:tcPr>
            <w:tcW w:w="0" w:type="auto"/>
            <w:tcBorders>
              <w:tl2br w:val="nil"/>
              <w:tr2bl w:val="nil"/>
            </w:tcBorders>
            <w:shd w:val="clear" w:color="auto" w:fill="auto"/>
            <w:noWrap/>
            <w:tcMar>
              <w:top w:w="12" w:type="dxa"/>
              <w:left w:w="12" w:type="dxa"/>
              <w:right w:w="12" w:type="dxa"/>
            </w:tcMar>
            <w:vAlign w:val="center"/>
          </w:tcPr>
          <w:p w14:paraId="65537B97">
            <w:pPr>
              <w:keepNext w:val="0"/>
              <w:keepLines w:val="0"/>
              <w:pageBreakBefore w:val="0"/>
              <w:widowControl/>
              <w:suppressLineNumbers w:val="0"/>
              <w:kinsoku/>
              <w:wordWrap/>
              <w:overflowPunct/>
              <w:topLinePunct w:val="0"/>
              <w:autoSpaceDE/>
              <w:autoSpaceDN/>
              <w:bidi w:val="0"/>
              <w:adjustRightInd/>
              <w:snapToGrid w:val="0"/>
              <w:spacing w:line="320" w:lineRule="exact"/>
              <w:ind w:left="0" w:leftChars="0"/>
              <w:jc w:val="center"/>
              <w:textAlignment w:val="center"/>
              <w:rPr>
                <w:rFonts w:hint="eastAsia" w:ascii="宋体" w:hAnsi="宋体" w:eastAsia="宋体" w:cs="宋体"/>
                <w:i w:val="0"/>
                <w:color w:val="000000" w:themeColor="text1"/>
                <w:sz w:val="21"/>
                <w:szCs w:val="21"/>
                <w:u w:val="none"/>
                <w14:textFill>
                  <w14:solidFill>
                    <w14:schemeClr w14:val="tx1"/>
                  </w14:solidFill>
                </w14:textFill>
              </w:rPr>
            </w:pPr>
            <w:r>
              <w:rPr>
                <w:rFonts w:hint="eastAsia" w:ascii="宋体" w:hAnsi="宋体" w:eastAsia="宋体" w:cs="宋体"/>
                <w:i w:val="0"/>
                <w:color w:val="000000" w:themeColor="text1"/>
                <w:sz w:val="21"/>
                <w:szCs w:val="21"/>
                <w:u w:val="none"/>
                <w14:textFill>
                  <w14:solidFill>
                    <w14:schemeClr w14:val="tx1"/>
                  </w14:solidFill>
                </w14:textFill>
              </w:rPr>
              <w:t>43.67215920</w:t>
            </w:r>
          </w:p>
        </w:tc>
      </w:tr>
      <w:tr w14:paraId="66E863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0" w:type="auto"/>
            <w:tcBorders>
              <w:tl2br w:val="nil"/>
              <w:tr2bl w:val="nil"/>
            </w:tcBorders>
            <w:shd w:val="clear" w:color="auto" w:fill="auto"/>
            <w:noWrap/>
            <w:tcMar>
              <w:top w:w="12" w:type="dxa"/>
              <w:left w:w="12" w:type="dxa"/>
              <w:right w:w="12" w:type="dxa"/>
            </w:tcMar>
            <w:vAlign w:val="center"/>
          </w:tcPr>
          <w:p w14:paraId="13D2B3E4">
            <w:pPr>
              <w:keepNext w:val="0"/>
              <w:keepLines w:val="0"/>
              <w:pageBreakBefore w:val="0"/>
              <w:widowControl/>
              <w:suppressLineNumbers w:val="0"/>
              <w:kinsoku/>
              <w:wordWrap/>
              <w:overflowPunct/>
              <w:topLinePunct w:val="0"/>
              <w:autoSpaceDE/>
              <w:autoSpaceDN/>
              <w:bidi w:val="0"/>
              <w:adjustRightInd/>
              <w:snapToGrid w:val="0"/>
              <w:spacing w:line="320" w:lineRule="exact"/>
              <w:ind w:left="0" w:leftChars="0"/>
              <w:jc w:val="center"/>
              <w:textAlignment w:val="center"/>
              <w:rPr>
                <w:rFonts w:hint="eastAsia" w:ascii="宋体" w:hAnsi="宋体" w:eastAsia="宋体" w:cs="宋体"/>
                <w:i w:val="0"/>
                <w:color w:val="000000" w:themeColor="text1"/>
                <w:sz w:val="21"/>
                <w:szCs w:val="21"/>
                <w:u w:val="none"/>
                <w14:textFill>
                  <w14:solidFill>
                    <w14:schemeClr w14:val="tx1"/>
                  </w14:solidFill>
                </w14:textFill>
              </w:rPr>
            </w:pPr>
            <w: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t>13</w:t>
            </w:r>
          </w:p>
        </w:tc>
        <w:tc>
          <w:tcPr>
            <w:tcW w:w="0" w:type="auto"/>
            <w:tcBorders>
              <w:tl2br w:val="nil"/>
              <w:tr2bl w:val="nil"/>
            </w:tcBorders>
            <w:shd w:val="clear" w:color="auto" w:fill="auto"/>
            <w:noWrap/>
            <w:tcMar>
              <w:top w:w="12" w:type="dxa"/>
              <w:left w:w="12" w:type="dxa"/>
              <w:right w:w="12" w:type="dxa"/>
            </w:tcMar>
            <w:vAlign w:val="center"/>
          </w:tcPr>
          <w:p w14:paraId="7492CDCD">
            <w:pPr>
              <w:keepNext w:val="0"/>
              <w:keepLines w:val="0"/>
              <w:pageBreakBefore w:val="0"/>
              <w:widowControl/>
              <w:suppressLineNumbers w:val="0"/>
              <w:kinsoku/>
              <w:wordWrap/>
              <w:overflowPunct/>
              <w:topLinePunct w:val="0"/>
              <w:autoSpaceDE/>
              <w:autoSpaceDN/>
              <w:bidi w:val="0"/>
              <w:adjustRightInd/>
              <w:snapToGrid w:val="0"/>
              <w:spacing w:line="320" w:lineRule="exact"/>
              <w:ind w:left="0" w:leftChars="0"/>
              <w:jc w:val="center"/>
              <w:textAlignment w:val="center"/>
              <w:rPr>
                <w:rFonts w:hint="eastAsia" w:ascii="宋体" w:hAnsi="宋体" w:eastAsia="宋体" w:cs="宋体"/>
                <w:i w:val="0"/>
                <w:color w:val="000000" w:themeColor="text1"/>
                <w:sz w:val="21"/>
                <w:szCs w:val="21"/>
                <w:u w:val="none"/>
                <w14:textFill>
                  <w14:solidFill>
                    <w14:schemeClr w14:val="tx1"/>
                  </w14:solidFill>
                </w14:textFill>
              </w:rPr>
            </w:pPr>
            <w: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t>H13</w:t>
            </w:r>
          </w:p>
        </w:tc>
        <w:tc>
          <w:tcPr>
            <w:tcW w:w="0" w:type="auto"/>
            <w:tcBorders>
              <w:tl2br w:val="nil"/>
              <w:tr2bl w:val="nil"/>
            </w:tcBorders>
            <w:shd w:val="clear" w:color="auto" w:fill="auto"/>
            <w:noWrap/>
            <w:tcMar>
              <w:top w:w="12" w:type="dxa"/>
              <w:left w:w="12" w:type="dxa"/>
              <w:right w:w="12" w:type="dxa"/>
            </w:tcMar>
            <w:vAlign w:val="center"/>
          </w:tcPr>
          <w:p w14:paraId="1311B6C5">
            <w:pPr>
              <w:keepNext w:val="0"/>
              <w:keepLines w:val="0"/>
              <w:pageBreakBefore w:val="0"/>
              <w:widowControl/>
              <w:suppressLineNumbers w:val="0"/>
              <w:kinsoku/>
              <w:wordWrap/>
              <w:overflowPunct/>
              <w:topLinePunct w:val="0"/>
              <w:autoSpaceDE/>
              <w:autoSpaceDN/>
              <w:bidi w:val="0"/>
              <w:adjustRightInd/>
              <w:snapToGrid w:val="0"/>
              <w:spacing w:line="320" w:lineRule="exact"/>
              <w:ind w:left="0" w:leftChars="0"/>
              <w:jc w:val="center"/>
              <w:textAlignment w:val="center"/>
              <w:rPr>
                <w:rFonts w:hint="eastAsia" w:ascii="宋体" w:hAnsi="宋体" w:eastAsia="宋体" w:cs="宋体"/>
                <w:i w:val="0"/>
                <w:color w:val="000000" w:themeColor="text1"/>
                <w:sz w:val="21"/>
                <w:szCs w:val="21"/>
                <w:u w:val="none"/>
                <w14:textFill>
                  <w14:solidFill>
                    <w14:schemeClr w14:val="tx1"/>
                  </w14:solidFill>
                </w14:textFill>
              </w:rPr>
            </w:pPr>
            <w:r>
              <w:rPr>
                <w:rFonts w:hint="eastAsia" w:ascii="宋体" w:hAnsi="宋体" w:eastAsia="宋体" w:cs="宋体"/>
                <w:i w:val="0"/>
                <w:color w:val="000000" w:themeColor="text1"/>
                <w:sz w:val="21"/>
                <w:szCs w:val="21"/>
                <w:u w:val="none"/>
                <w14:textFill>
                  <w14:solidFill>
                    <w14:schemeClr w14:val="tx1"/>
                  </w14:solidFill>
                </w14:textFill>
              </w:rPr>
              <w:t xml:space="preserve">87.47434953 </w:t>
            </w:r>
          </w:p>
        </w:tc>
        <w:tc>
          <w:tcPr>
            <w:tcW w:w="0" w:type="auto"/>
            <w:tcBorders>
              <w:tl2br w:val="nil"/>
              <w:tr2bl w:val="nil"/>
            </w:tcBorders>
            <w:shd w:val="clear" w:color="auto" w:fill="auto"/>
            <w:noWrap/>
            <w:tcMar>
              <w:top w:w="12" w:type="dxa"/>
              <w:left w:w="12" w:type="dxa"/>
              <w:right w:w="12" w:type="dxa"/>
            </w:tcMar>
            <w:vAlign w:val="center"/>
          </w:tcPr>
          <w:p w14:paraId="627784CD">
            <w:pPr>
              <w:keepNext w:val="0"/>
              <w:keepLines w:val="0"/>
              <w:pageBreakBefore w:val="0"/>
              <w:widowControl/>
              <w:suppressLineNumbers w:val="0"/>
              <w:kinsoku/>
              <w:wordWrap/>
              <w:overflowPunct/>
              <w:topLinePunct w:val="0"/>
              <w:autoSpaceDE/>
              <w:autoSpaceDN/>
              <w:bidi w:val="0"/>
              <w:adjustRightInd/>
              <w:snapToGrid w:val="0"/>
              <w:spacing w:line="320" w:lineRule="exact"/>
              <w:ind w:left="0" w:leftChars="0"/>
              <w:jc w:val="center"/>
              <w:textAlignment w:val="center"/>
              <w:rPr>
                <w:rFonts w:hint="eastAsia" w:ascii="宋体" w:hAnsi="宋体" w:eastAsia="宋体" w:cs="宋体"/>
                <w:i w:val="0"/>
                <w:color w:val="000000" w:themeColor="text1"/>
                <w:sz w:val="21"/>
                <w:szCs w:val="21"/>
                <w:u w:val="none"/>
                <w14:textFill>
                  <w14:solidFill>
                    <w14:schemeClr w14:val="tx1"/>
                  </w14:solidFill>
                </w14:textFill>
              </w:rPr>
            </w:pPr>
            <w:r>
              <w:rPr>
                <w:rFonts w:hint="eastAsia" w:ascii="宋体" w:hAnsi="宋体" w:eastAsia="宋体" w:cs="宋体"/>
                <w:i w:val="0"/>
                <w:color w:val="000000" w:themeColor="text1"/>
                <w:sz w:val="21"/>
                <w:szCs w:val="21"/>
                <w:u w:val="none"/>
                <w14:textFill>
                  <w14:solidFill>
                    <w14:schemeClr w14:val="tx1"/>
                  </w14:solidFill>
                </w14:textFill>
              </w:rPr>
              <w:t>43.66858243</w:t>
            </w:r>
          </w:p>
        </w:tc>
      </w:tr>
      <w:tr w14:paraId="55B57B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0" w:type="auto"/>
            <w:tcBorders>
              <w:tl2br w:val="nil"/>
              <w:tr2bl w:val="nil"/>
            </w:tcBorders>
            <w:shd w:val="clear" w:color="auto" w:fill="auto"/>
            <w:noWrap/>
            <w:tcMar>
              <w:top w:w="12" w:type="dxa"/>
              <w:left w:w="12" w:type="dxa"/>
              <w:right w:w="12" w:type="dxa"/>
            </w:tcMar>
            <w:vAlign w:val="center"/>
          </w:tcPr>
          <w:p w14:paraId="31DCF165">
            <w:pPr>
              <w:keepNext w:val="0"/>
              <w:keepLines w:val="0"/>
              <w:pageBreakBefore w:val="0"/>
              <w:widowControl/>
              <w:suppressLineNumbers w:val="0"/>
              <w:kinsoku/>
              <w:wordWrap/>
              <w:overflowPunct/>
              <w:topLinePunct w:val="0"/>
              <w:autoSpaceDE/>
              <w:autoSpaceDN/>
              <w:bidi w:val="0"/>
              <w:adjustRightInd/>
              <w:snapToGrid w:val="0"/>
              <w:spacing w:line="320" w:lineRule="exact"/>
              <w:ind w:left="0" w:leftChars="0"/>
              <w:jc w:val="center"/>
              <w:textAlignment w:val="center"/>
              <w:rPr>
                <w:rFonts w:hint="eastAsia" w:ascii="宋体" w:hAnsi="宋体" w:eastAsia="宋体" w:cs="宋体"/>
                <w:i w:val="0"/>
                <w:color w:val="000000" w:themeColor="text1"/>
                <w:sz w:val="21"/>
                <w:szCs w:val="21"/>
                <w:u w:val="none"/>
                <w14:textFill>
                  <w14:solidFill>
                    <w14:schemeClr w14:val="tx1"/>
                  </w14:solidFill>
                </w14:textFill>
              </w:rPr>
            </w:pPr>
            <w: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t>14</w:t>
            </w:r>
          </w:p>
        </w:tc>
        <w:tc>
          <w:tcPr>
            <w:tcW w:w="0" w:type="auto"/>
            <w:tcBorders>
              <w:tl2br w:val="nil"/>
              <w:tr2bl w:val="nil"/>
            </w:tcBorders>
            <w:shd w:val="clear" w:color="auto" w:fill="auto"/>
            <w:noWrap/>
            <w:tcMar>
              <w:top w:w="12" w:type="dxa"/>
              <w:left w:w="12" w:type="dxa"/>
              <w:right w:w="12" w:type="dxa"/>
            </w:tcMar>
            <w:vAlign w:val="center"/>
          </w:tcPr>
          <w:p w14:paraId="6590055D">
            <w:pPr>
              <w:keepNext w:val="0"/>
              <w:keepLines w:val="0"/>
              <w:pageBreakBefore w:val="0"/>
              <w:widowControl/>
              <w:suppressLineNumbers w:val="0"/>
              <w:kinsoku/>
              <w:wordWrap/>
              <w:overflowPunct/>
              <w:topLinePunct w:val="0"/>
              <w:autoSpaceDE/>
              <w:autoSpaceDN/>
              <w:bidi w:val="0"/>
              <w:adjustRightInd/>
              <w:snapToGrid w:val="0"/>
              <w:spacing w:line="320" w:lineRule="exact"/>
              <w:ind w:left="0" w:leftChars="0"/>
              <w:jc w:val="center"/>
              <w:textAlignment w:val="center"/>
              <w:rPr>
                <w:rFonts w:hint="eastAsia" w:ascii="宋体" w:hAnsi="宋体" w:eastAsia="宋体" w:cs="宋体"/>
                <w:i w:val="0"/>
                <w:color w:val="000000" w:themeColor="text1"/>
                <w:sz w:val="21"/>
                <w:szCs w:val="21"/>
                <w:u w:val="none"/>
                <w14:textFill>
                  <w14:solidFill>
                    <w14:schemeClr w14:val="tx1"/>
                  </w14:solidFill>
                </w14:textFill>
              </w:rPr>
            </w:pPr>
            <w: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t>H14</w:t>
            </w:r>
          </w:p>
        </w:tc>
        <w:tc>
          <w:tcPr>
            <w:tcW w:w="0" w:type="auto"/>
            <w:tcBorders>
              <w:tl2br w:val="nil"/>
              <w:tr2bl w:val="nil"/>
            </w:tcBorders>
            <w:shd w:val="clear" w:color="auto" w:fill="auto"/>
            <w:noWrap/>
            <w:tcMar>
              <w:top w:w="12" w:type="dxa"/>
              <w:left w:w="12" w:type="dxa"/>
              <w:right w:w="12" w:type="dxa"/>
            </w:tcMar>
            <w:vAlign w:val="center"/>
          </w:tcPr>
          <w:p w14:paraId="40641DC0">
            <w:pPr>
              <w:keepNext w:val="0"/>
              <w:keepLines w:val="0"/>
              <w:pageBreakBefore w:val="0"/>
              <w:widowControl/>
              <w:suppressLineNumbers w:val="0"/>
              <w:kinsoku/>
              <w:wordWrap/>
              <w:overflowPunct/>
              <w:topLinePunct w:val="0"/>
              <w:autoSpaceDE/>
              <w:autoSpaceDN/>
              <w:bidi w:val="0"/>
              <w:adjustRightInd/>
              <w:snapToGrid w:val="0"/>
              <w:spacing w:line="320" w:lineRule="exact"/>
              <w:ind w:left="0" w:leftChars="0"/>
              <w:jc w:val="center"/>
              <w:textAlignment w:val="center"/>
              <w:rPr>
                <w:rFonts w:hint="eastAsia" w:ascii="宋体" w:hAnsi="宋体" w:eastAsia="宋体" w:cs="宋体"/>
                <w:i w:val="0"/>
                <w:color w:val="000000" w:themeColor="text1"/>
                <w:sz w:val="21"/>
                <w:szCs w:val="21"/>
                <w:u w:val="none"/>
                <w14:textFill>
                  <w14:solidFill>
                    <w14:schemeClr w14:val="tx1"/>
                  </w14:solidFill>
                </w14:textFill>
              </w:rPr>
            </w:pPr>
            <w:r>
              <w:rPr>
                <w:rFonts w:hint="eastAsia" w:ascii="宋体" w:hAnsi="宋体" w:eastAsia="宋体" w:cs="宋体"/>
                <w:i w:val="0"/>
                <w:color w:val="000000" w:themeColor="text1"/>
                <w:sz w:val="21"/>
                <w:szCs w:val="21"/>
                <w:u w:val="none"/>
                <w14:textFill>
                  <w14:solidFill>
                    <w14:schemeClr w14:val="tx1"/>
                  </w14:solidFill>
                </w14:textFill>
              </w:rPr>
              <w:t xml:space="preserve">87.45129551 </w:t>
            </w:r>
          </w:p>
        </w:tc>
        <w:tc>
          <w:tcPr>
            <w:tcW w:w="0" w:type="auto"/>
            <w:tcBorders>
              <w:tl2br w:val="nil"/>
              <w:tr2bl w:val="nil"/>
            </w:tcBorders>
            <w:shd w:val="clear" w:color="auto" w:fill="auto"/>
            <w:noWrap/>
            <w:tcMar>
              <w:top w:w="12" w:type="dxa"/>
              <w:left w:w="12" w:type="dxa"/>
              <w:right w:w="12" w:type="dxa"/>
            </w:tcMar>
            <w:vAlign w:val="center"/>
          </w:tcPr>
          <w:p w14:paraId="7C4CF145">
            <w:pPr>
              <w:keepNext w:val="0"/>
              <w:keepLines w:val="0"/>
              <w:pageBreakBefore w:val="0"/>
              <w:widowControl/>
              <w:suppressLineNumbers w:val="0"/>
              <w:kinsoku/>
              <w:wordWrap/>
              <w:overflowPunct/>
              <w:topLinePunct w:val="0"/>
              <w:autoSpaceDE/>
              <w:autoSpaceDN/>
              <w:bidi w:val="0"/>
              <w:adjustRightInd/>
              <w:snapToGrid w:val="0"/>
              <w:spacing w:line="320" w:lineRule="exact"/>
              <w:ind w:left="0" w:leftChars="0"/>
              <w:jc w:val="center"/>
              <w:textAlignment w:val="center"/>
              <w:rPr>
                <w:rFonts w:hint="eastAsia" w:ascii="宋体" w:hAnsi="宋体" w:eastAsia="宋体" w:cs="宋体"/>
                <w:i w:val="0"/>
                <w:color w:val="000000" w:themeColor="text1"/>
                <w:sz w:val="21"/>
                <w:szCs w:val="21"/>
                <w:u w:val="none"/>
                <w14:textFill>
                  <w14:solidFill>
                    <w14:schemeClr w14:val="tx1"/>
                  </w14:solidFill>
                </w14:textFill>
              </w:rPr>
            </w:pPr>
            <w:r>
              <w:rPr>
                <w:rFonts w:hint="eastAsia" w:ascii="宋体" w:hAnsi="宋体" w:eastAsia="宋体" w:cs="宋体"/>
                <w:i w:val="0"/>
                <w:color w:val="000000" w:themeColor="text1"/>
                <w:sz w:val="21"/>
                <w:szCs w:val="21"/>
                <w:u w:val="none"/>
                <w14:textFill>
                  <w14:solidFill>
                    <w14:schemeClr w14:val="tx1"/>
                  </w14:solidFill>
                </w14:textFill>
              </w:rPr>
              <w:t>43.66435450</w:t>
            </w:r>
          </w:p>
        </w:tc>
      </w:tr>
      <w:tr w14:paraId="1F176E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0" w:type="auto"/>
            <w:tcBorders>
              <w:tl2br w:val="nil"/>
              <w:tr2bl w:val="nil"/>
            </w:tcBorders>
            <w:shd w:val="clear" w:color="auto" w:fill="auto"/>
            <w:noWrap/>
            <w:tcMar>
              <w:top w:w="12" w:type="dxa"/>
              <w:left w:w="12" w:type="dxa"/>
              <w:right w:w="12" w:type="dxa"/>
            </w:tcMar>
            <w:vAlign w:val="center"/>
          </w:tcPr>
          <w:p w14:paraId="293E9150">
            <w:pPr>
              <w:keepNext w:val="0"/>
              <w:keepLines w:val="0"/>
              <w:pageBreakBefore w:val="0"/>
              <w:widowControl/>
              <w:suppressLineNumbers w:val="0"/>
              <w:kinsoku/>
              <w:wordWrap/>
              <w:overflowPunct/>
              <w:topLinePunct w:val="0"/>
              <w:autoSpaceDE/>
              <w:autoSpaceDN/>
              <w:bidi w:val="0"/>
              <w:adjustRightInd/>
              <w:snapToGrid w:val="0"/>
              <w:spacing w:line="320" w:lineRule="exact"/>
              <w:ind w:left="0" w:leftChars="0"/>
              <w:jc w:val="center"/>
              <w:textAlignment w:val="center"/>
              <w:rPr>
                <w:rFonts w:hint="eastAsia" w:ascii="宋体" w:hAnsi="宋体" w:eastAsia="宋体" w:cs="宋体"/>
                <w:i w:val="0"/>
                <w:color w:val="000000" w:themeColor="text1"/>
                <w:sz w:val="21"/>
                <w:szCs w:val="21"/>
                <w:u w:val="none"/>
                <w14:textFill>
                  <w14:solidFill>
                    <w14:schemeClr w14:val="tx1"/>
                  </w14:solidFill>
                </w14:textFill>
              </w:rPr>
            </w:pPr>
            <w: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t>15</w:t>
            </w:r>
          </w:p>
        </w:tc>
        <w:tc>
          <w:tcPr>
            <w:tcW w:w="0" w:type="auto"/>
            <w:tcBorders>
              <w:tl2br w:val="nil"/>
              <w:tr2bl w:val="nil"/>
            </w:tcBorders>
            <w:shd w:val="clear" w:color="auto" w:fill="auto"/>
            <w:noWrap/>
            <w:tcMar>
              <w:top w:w="12" w:type="dxa"/>
              <w:left w:w="12" w:type="dxa"/>
              <w:right w:w="12" w:type="dxa"/>
            </w:tcMar>
            <w:vAlign w:val="center"/>
          </w:tcPr>
          <w:p w14:paraId="641E081F">
            <w:pPr>
              <w:keepNext w:val="0"/>
              <w:keepLines w:val="0"/>
              <w:pageBreakBefore w:val="0"/>
              <w:widowControl/>
              <w:suppressLineNumbers w:val="0"/>
              <w:kinsoku/>
              <w:wordWrap/>
              <w:overflowPunct/>
              <w:topLinePunct w:val="0"/>
              <w:autoSpaceDE/>
              <w:autoSpaceDN/>
              <w:bidi w:val="0"/>
              <w:adjustRightInd/>
              <w:snapToGrid w:val="0"/>
              <w:spacing w:line="320" w:lineRule="exact"/>
              <w:ind w:left="0" w:leftChars="0"/>
              <w:jc w:val="center"/>
              <w:textAlignment w:val="center"/>
              <w:rPr>
                <w:rFonts w:hint="eastAsia" w:ascii="宋体" w:hAnsi="宋体" w:eastAsia="宋体" w:cs="宋体"/>
                <w:i w:val="0"/>
                <w:color w:val="000000" w:themeColor="text1"/>
                <w:sz w:val="21"/>
                <w:szCs w:val="21"/>
                <w:u w:val="none"/>
                <w14:textFill>
                  <w14:solidFill>
                    <w14:schemeClr w14:val="tx1"/>
                  </w14:solidFill>
                </w14:textFill>
              </w:rPr>
            </w:pPr>
            <w: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t>H15</w:t>
            </w:r>
          </w:p>
        </w:tc>
        <w:tc>
          <w:tcPr>
            <w:tcW w:w="0" w:type="auto"/>
            <w:tcBorders>
              <w:tl2br w:val="nil"/>
              <w:tr2bl w:val="nil"/>
            </w:tcBorders>
            <w:shd w:val="clear" w:color="auto" w:fill="auto"/>
            <w:noWrap/>
            <w:tcMar>
              <w:top w:w="12" w:type="dxa"/>
              <w:left w:w="12" w:type="dxa"/>
              <w:right w:w="12" w:type="dxa"/>
            </w:tcMar>
            <w:vAlign w:val="center"/>
          </w:tcPr>
          <w:p w14:paraId="00C35B98">
            <w:pPr>
              <w:keepNext w:val="0"/>
              <w:keepLines w:val="0"/>
              <w:pageBreakBefore w:val="0"/>
              <w:widowControl/>
              <w:suppressLineNumbers w:val="0"/>
              <w:kinsoku/>
              <w:wordWrap/>
              <w:overflowPunct/>
              <w:topLinePunct w:val="0"/>
              <w:autoSpaceDE/>
              <w:autoSpaceDN/>
              <w:bidi w:val="0"/>
              <w:adjustRightInd/>
              <w:snapToGrid w:val="0"/>
              <w:spacing w:line="320" w:lineRule="exact"/>
              <w:ind w:left="0" w:leftChars="0"/>
              <w:jc w:val="center"/>
              <w:textAlignment w:val="center"/>
              <w:rPr>
                <w:rFonts w:hint="eastAsia" w:ascii="宋体" w:hAnsi="宋体" w:eastAsia="宋体" w:cs="宋体"/>
                <w:i w:val="0"/>
                <w:color w:val="000000" w:themeColor="text1"/>
                <w:sz w:val="21"/>
                <w:szCs w:val="21"/>
                <w:u w:val="none"/>
                <w14:textFill>
                  <w14:solidFill>
                    <w14:schemeClr w14:val="tx1"/>
                  </w14:solidFill>
                </w14:textFill>
              </w:rPr>
            </w:pPr>
            <w:r>
              <w:rPr>
                <w:rFonts w:hint="eastAsia" w:ascii="宋体" w:hAnsi="宋体" w:eastAsia="宋体" w:cs="宋体"/>
                <w:i w:val="0"/>
                <w:color w:val="000000" w:themeColor="text1"/>
                <w:sz w:val="21"/>
                <w:szCs w:val="21"/>
                <w:u w:val="none"/>
                <w14:textFill>
                  <w14:solidFill>
                    <w14:schemeClr w14:val="tx1"/>
                  </w14:solidFill>
                </w14:textFill>
              </w:rPr>
              <w:t xml:space="preserve">87.46600127 </w:t>
            </w:r>
          </w:p>
        </w:tc>
        <w:tc>
          <w:tcPr>
            <w:tcW w:w="0" w:type="auto"/>
            <w:tcBorders>
              <w:tl2br w:val="nil"/>
              <w:tr2bl w:val="nil"/>
            </w:tcBorders>
            <w:shd w:val="clear" w:color="auto" w:fill="auto"/>
            <w:noWrap/>
            <w:tcMar>
              <w:top w:w="12" w:type="dxa"/>
              <w:left w:w="12" w:type="dxa"/>
              <w:right w:w="12" w:type="dxa"/>
            </w:tcMar>
            <w:vAlign w:val="center"/>
          </w:tcPr>
          <w:p w14:paraId="51ED6F12">
            <w:pPr>
              <w:keepNext w:val="0"/>
              <w:keepLines w:val="0"/>
              <w:pageBreakBefore w:val="0"/>
              <w:widowControl/>
              <w:suppressLineNumbers w:val="0"/>
              <w:kinsoku/>
              <w:wordWrap/>
              <w:overflowPunct/>
              <w:topLinePunct w:val="0"/>
              <w:autoSpaceDE/>
              <w:autoSpaceDN/>
              <w:bidi w:val="0"/>
              <w:adjustRightInd/>
              <w:snapToGrid w:val="0"/>
              <w:spacing w:line="320" w:lineRule="exact"/>
              <w:ind w:left="0" w:leftChars="0"/>
              <w:jc w:val="center"/>
              <w:textAlignment w:val="center"/>
              <w:rPr>
                <w:rFonts w:hint="eastAsia" w:ascii="宋体" w:hAnsi="宋体" w:eastAsia="宋体" w:cs="宋体"/>
                <w:i w:val="0"/>
                <w:color w:val="000000" w:themeColor="text1"/>
                <w:sz w:val="21"/>
                <w:szCs w:val="21"/>
                <w:u w:val="none"/>
                <w14:textFill>
                  <w14:solidFill>
                    <w14:schemeClr w14:val="tx1"/>
                  </w14:solidFill>
                </w14:textFill>
              </w:rPr>
            </w:pPr>
            <w:r>
              <w:rPr>
                <w:rFonts w:hint="eastAsia" w:ascii="宋体" w:hAnsi="宋体" w:eastAsia="宋体" w:cs="宋体"/>
                <w:i w:val="0"/>
                <w:color w:val="000000" w:themeColor="text1"/>
                <w:sz w:val="21"/>
                <w:szCs w:val="21"/>
                <w:u w:val="none"/>
                <w14:textFill>
                  <w14:solidFill>
                    <w14:schemeClr w14:val="tx1"/>
                  </w14:solidFill>
                </w14:textFill>
              </w:rPr>
              <w:t>43.66228056</w:t>
            </w:r>
          </w:p>
        </w:tc>
      </w:tr>
      <w:tr w14:paraId="585DFC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0" w:type="auto"/>
            <w:tcBorders>
              <w:tl2br w:val="nil"/>
              <w:tr2bl w:val="nil"/>
            </w:tcBorders>
            <w:shd w:val="clear" w:color="auto" w:fill="auto"/>
            <w:noWrap/>
            <w:tcMar>
              <w:top w:w="12" w:type="dxa"/>
              <w:left w:w="12" w:type="dxa"/>
              <w:right w:w="12" w:type="dxa"/>
            </w:tcMar>
            <w:vAlign w:val="center"/>
          </w:tcPr>
          <w:p w14:paraId="4AC603A4">
            <w:pPr>
              <w:keepNext w:val="0"/>
              <w:keepLines w:val="0"/>
              <w:pageBreakBefore w:val="0"/>
              <w:widowControl/>
              <w:suppressLineNumbers w:val="0"/>
              <w:kinsoku/>
              <w:wordWrap/>
              <w:overflowPunct/>
              <w:topLinePunct w:val="0"/>
              <w:autoSpaceDE/>
              <w:autoSpaceDN/>
              <w:bidi w:val="0"/>
              <w:adjustRightInd/>
              <w:snapToGrid w:val="0"/>
              <w:spacing w:line="320" w:lineRule="exact"/>
              <w:ind w:left="0" w:leftChars="0"/>
              <w:jc w:val="center"/>
              <w:textAlignment w:val="center"/>
              <w:rPr>
                <w:rFonts w:hint="eastAsia" w:ascii="宋体" w:hAnsi="宋体" w:eastAsia="宋体" w:cs="宋体"/>
                <w:i w:val="0"/>
                <w:color w:val="000000" w:themeColor="text1"/>
                <w:sz w:val="21"/>
                <w:szCs w:val="21"/>
                <w:u w:val="none"/>
                <w14:textFill>
                  <w14:solidFill>
                    <w14:schemeClr w14:val="tx1"/>
                  </w14:solidFill>
                </w14:textFill>
              </w:rPr>
            </w:pPr>
            <w: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t>16</w:t>
            </w:r>
          </w:p>
        </w:tc>
        <w:tc>
          <w:tcPr>
            <w:tcW w:w="0" w:type="auto"/>
            <w:tcBorders>
              <w:tl2br w:val="nil"/>
              <w:tr2bl w:val="nil"/>
            </w:tcBorders>
            <w:shd w:val="clear" w:color="auto" w:fill="auto"/>
            <w:noWrap/>
            <w:tcMar>
              <w:top w:w="12" w:type="dxa"/>
              <w:left w:w="12" w:type="dxa"/>
              <w:right w:w="12" w:type="dxa"/>
            </w:tcMar>
            <w:vAlign w:val="center"/>
          </w:tcPr>
          <w:p w14:paraId="6B4E7F40">
            <w:pPr>
              <w:keepNext w:val="0"/>
              <w:keepLines w:val="0"/>
              <w:pageBreakBefore w:val="0"/>
              <w:widowControl/>
              <w:suppressLineNumbers w:val="0"/>
              <w:kinsoku/>
              <w:wordWrap/>
              <w:overflowPunct/>
              <w:topLinePunct w:val="0"/>
              <w:autoSpaceDE/>
              <w:autoSpaceDN/>
              <w:bidi w:val="0"/>
              <w:adjustRightInd/>
              <w:snapToGrid w:val="0"/>
              <w:spacing w:line="320" w:lineRule="exact"/>
              <w:ind w:left="0" w:leftChars="0"/>
              <w:jc w:val="center"/>
              <w:textAlignment w:val="center"/>
              <w:rPr>
                <w:rFonts w:hint="eastAsia" w:ascii="宋体" w:hAnsi="宋体" w:eastAsia="宋体" w:cs="宋体"/>
                <w:i w:val="0"/>
                <w:color w:val="000000" w:themeColor="text1"/>
                <w:sz w:val="21"/>
                <w:szCs w:val="21"/>
                <w:u w:val="none"/>
                <w14:textFill>
                  <w14:solidFill>
                    <w14:schemeClr w14:val="tx1"/>
                  </w14:solidFill>
                </w14:textFill>
              </w:rPr>
            </w:pPr>
            <w: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t>H16</w:t>
            </w:r>
          </w:p>
        </w:tc>
        <w:tc>
          <w:tcPr>
            <w:tcW w:w="0" w:type="auto"/>
            <w:tcBorders>
              <w:tl2br w:val="nil"/>
              <w:tr2bl w:val="nil"/>
            </w:tcBorders>
            <w:shd w:val="clear" w:color="auto" w:fill="auto"/>
            <w:noWrap/>
            <w:tcMar>
              <w:top w:w="12" w:type="dxa"/>
              <w:left w:w="12" w:type="dxa"/>
              <w:right w:w="12" w:type="dxa"/>
            </w:tcMar>
            <w:vAlign w:val="center"/>
          </w:tcPr>
          <w:p w14:paraId="6E3C8C88">
            <w:pPr>
              <w:keepNext w:val="0"/>
              <w:keepLines w:val="0"/>
              <w:pageBreakBefore w:val="0"/>
              <w:widowControl/>
              <w:suppressLineNumbers w:val="0"/>
              <w:kinsoku/>
              <w:wordWrap/>
              <w:overflowPunct/>
              <w:topLinePunct w:val="0"/>
              <w:autoSpaceDE/>
              <w:autoSpaceDN/>
              <w:bidi w:val="0"/>
              <w:adjustRightInd/>
              <w:snapToGrid w:val="0"/>
              <w:spacing w:line="320" w:lineRule="exact"/>
              <w:ind w:left="0" w:leftChars="0"/>
              <w:jc w:val="center"/>
              <w:textAlignment w:val="center"/>
              <w:rPr>
                <w:rFonts w:hint="eastAsia" w:ascii="宋体" w:hAnsi="宋体" w:eastAsia="宋体" w:cs="宋体"/>
                <w:i w:val="0"/>
                <w:color w:val="000000" w:themeColor="text1"/>
                <w:sz w:val="21"/>
                <w:szCs w:val="21"/>
                <w:u w:val="none"/>
                <w14:textFill>
                  <w14:solidFill>
                    <w14:schemeClr w14:val="tx1"/>
                  </w14:solidFill>
                </w14:textFill>
              </w:rPr>
            </w:pPr>
            <w:r>
              <w:rPr>
                <w:rFonts w:hint="eastAsia" w:ascii="宋体" w:hAnsi="宋体" w:eastAsia="宋体" w:cs="宋体"/>
                <w:i w:val="0"/>
                <w:color w:val="000000" w:themeColor="text1"/>
                <w:sz w:val="21"/>
                <w:szCs w:val="21"/>
                <w:u w:val="none"/>
                <w14:textFill>
                  <w14:solidFill>
                    <w14:schemeClr w14:val="tx1"/>
                  </w14:solidFill>
                </w14:textFill>
              </w:rPr>
              <w:t xml:space="preserve">87.48300990 </w:t>
            </w:r>
          </w:p>
        </w:tc>
        <w:tc>
          <w:tcPr>
            <w:tcW w:w="0" w:type="auto"/>
            <w:tcBorders>
              <w:tl2br w:val="nil"/>
              <w:tr2bl w:val="nil"/>
            </w:tcBorders>
            <w:shd w:val="clear" w:color="auto" w:fill="auto"/>
            <w:noWrap/>
            <w:tcMar>
              <w:top w:w="12" w:type="dxa"/>
              <w:left w:w="12" w:type="dxa"/>
              <w:right w:w="12" w:type="dxa"/>
            </w:tcMar>
            <w:vAlign w:val="center"/>
          </w:tcPr>
          <w:p w14:paraId="3362D064">
            <w:pPr>
              <w:keepNext w:val="0"/>
              <w:keepLines w:val="0"/>
              <w:pageBreakBefore w:val="0"/>
              <w:widowControl/>
              <w:suppressLineNumbers w:val="0"/>
              <w:kinsoku/>
              <w:wordWrap/>
              <w:overflowPunct/>
              <w:topLinePunct w:val="0"/>
              <w:autoSpaceDE/>
              <w:autoSpaceDN/>
              <w:bidi w:val="0"/>
              <w:adjustRightInd/>
              <w:snapToGrid w:val="0"/>
              <w:spacing w:line="320" w:lineRule="exact"/>
              <w:ind w:left="0" w:leftChars="0"/>
              <w:jc w:val="center"/>
              <w:textAlignment w:val="center"/>
              <w:rPr>
                <w:rFonts w:hint="eastAsia" w:ascii="宋体" w:hAnsi="宋体" w:eastAsia="宋体" w:cs="宋体"/>
                <w:i w:val="0"/>
                <w:color w:val="000000" w:themeColor="text1"/>
                <w:sz w:val="21"/>
                <w:szCs w:val="21"/>
                <w:u w:val="none"/>
                <w14:textFill>
                  <w14:solidFill>
                    <w14:schemeClr w14:val="tx1"/>
                  </w14:solidFill>
                </w14:textFill>
              </w:rPr>
            </w:pPr>
            <w:r>
              <w:rPr>
                <w:rFonts w:hint="eastAsia" w:ascii="宋体" w:hAnsi="宋体" w:eastAsia="宋体" w:cs="宋体"/>
                <w:i w:val="0"/>
                <w:color w:val="000000" w:themeColor="text1"/>
                <w:sz w:val="21"/>
                <w:szCs w:val="21"/>
                <w:u w:val="none"/>
                <w14:textFill>
                  <w14:solidFill>
                    <w14:schemeClr w14:val="tx1"/>
                  </w14:solidFill>
                </w14:textFill>
              </w:rPr>
              <w:t>43.66260820</w:t>
            </w:r>
          </w:p>
        </w:tc>
      </w:tr>
      <w:tr w14:paraId="602F67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0" w:type="auto"/>
            <w:tcBorders>
              <w:tl2br w:val="nil"/>
              <w:tr2bl w:val="nil"/>
            </w:tcBorders>
            <w:shd w:val="clear" w:color="auto" w:fill="auto"/>
            <w:noWrap/>
            <w:tcMar>
              <w:top w:w="12" w:type="dxa"/>
              <w:left w:w="12" w:type="dxa"/>
              <w:right w:w="12" w:type="dxa"/>
            </w:tcMar>
            <w:vAlign w:val="center"/>
          </w:tcPr>
          <w:p w14:paraId="79F663A9">
            <w:pPr>
              <w:keepNext w:val="0"/>
              <w:keepLines w:val="0"/>
              <w:pageBreakBefore w:val="0"/>
              <w:widowControl/>
              <w:suppressLineNumbers w:val="0"/>
              <w:kinsoku/>
              <w:wordWrap/>
              <w:overflowPunct/>
              <w:topLinePunct w:val="0"/>
              <w:autoSpaceDE/>
              <w:autoSpaceDN/>
              <w:bidi w:val="0"/>
              <w:adjustRightInd/>
              <w:snapToGrid w:val="0"/>
              <w:spacing w:line="320" w:lineRule="exact"/>
              <w:ind w:left="0" w:leftChars="0"/>
              <w:jc w:val="center"/>
              <w:textAlignment w:val="center"/>
              <w:rPr>
                <w:rFonts w:hint="eastAsia" w:ascii="宋体" w:hAnsi="宋体" w:eastAsia="宋体" w:cs="宋体"/>
                <w:i w:val="0"/>
                <w:color w:val="000000" w:themeColor="text1"/>
                <w:sz w:val="21"/>
                <w:szCs w:val="21"/>
                <w:u w:val="none"/>
                <w14:textFill>
                  <w14:solidFill>
                    <w14:schemeClr w14:val="tx1"/>
                  </w14:solidFill>
                </w14:textFill>
              </w:rPr>
            </w:pPr>
            <w: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t>17</w:t>
            </w:r>
          </w:p>
        </w:tc>
        <w:tc>
          <w:tcPr>
            <w:tcW w:w="0" w:type="auto"/>
            <w:tcBorders>
              <w:tl2br w:val="nil"/>
              <w:tr2bl w:val="nil"/>
            </w:tcBorders>
            <w:shd w:val="clear" w:color="auto" w:fill="auto"/>
            <w:noWrap/>
            <w:tcMar>
              <w:top w:w="12" w:type="dxa"/>
              <w:left w:w="12" w:type="dxa"/>
              <w:right w:w="12" w:type="dxa"/>
            </w:tcMar>
            <w:vAlign w:val="center"/>
          </w:tcPr>
          <w:p w14:paraId="78C70191">
            <w:pPr>
              <w:keepNext w:val="0"/>
              <w:keepLines w:val="0"/>
              <w:pageBreakBefore w:val="0"/>
              <w:widowControl/>
              <w:suppressLineNumbers w:val="0"/>
              <w:kinsoku/>
              <w:wordWrap/>
              <w:overflowPunct/>
              <w:topLinePunct w:val="0"/>
              <w:autoSpaceDE/>
              <w:autoSpaceDN/>
              <w:bidi w:val="0"/>
              <w:adjustRightInd/>
              <w:snapToGrid w:val="0"/>
              <w:spacing w:line="320" w:lineRule="exact"/>
              <w:ind w:left="0" w:leftChars="0"/>
              <w:jc w:val="center"/>
              <w:textAlignment w:val="center"/>
              <w:rPr>
                <w:rFonts w:hint="eastAsia" w:ascii="宋体" w:hAnsi="宋体" w:eastAsia="宋体" w:cs="宋体"/>
                <w:i w:val="0"/>
                <w:color w:val="000000" w:themeColor="text1"/>
                <w:sz w:val="21"/>
                <w:szCs w:val="21"/>
                <w:u w:val="none"/>
                <w14:textFill>
                  <w14:solidFill>
                    <w14:schemeClr w14:val="tx1"/>
                  </w14:solidFill>
                </w14:textFill>
              </w:rPr>
            </w:pPr>
            <w: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t>H17</w:t>
            </w:r>
          </w:p>
        </w:tc>
        <w:tc>
          <w:tcPr>
            <w:tcW w:w="0" w:type="auto"/>
            <w:tcBorders>
              <w:tl2br w:val="nil"/>
              <w:tr2bl w:val="nil"/>
            </w:tcBorders>
            <w:shd w:val="clear" w:color="auto" w:fill="auto"/>
            <w:noWrap/>
            <w:tcMar>
              <w:top w:w="12" w:type="dxa"/>
              <w:left w:w="12" w:type="dxa"/>
              <w:right w:w="12" w:type="dxa"/>
            </w:tcMar>
            <w:vAlign w:val="center"/>
          </w:tcPr>
          <w:p w14:paraId="70FC7DD4">
            <w:pPr>
              <w:keepNext w:val="0"/>
              <w:keepLines w:val="0"/>
              <w:pageBreakBefore w:val="0"/>
              <w:widowControl/>
              <w:suppressLineNumbers w:val="0"/>
              <w:kinsoku/>
              <w:wordWrap/>
              <w:overflowPunct/>
              <w:topLinePunct w:val="0"/>
              <w:autoSpaceDE/>
              <w:autoSpaceDN/>
              <w:bidi w:val="0"/>
              <w:adjustRightInd/>
              <w:snapToGrid w:val="0"/>
              <w:spacing w:line="320" w:lineRule="exact"/>
              <w:ind w:left="0" w:leftChars="0"/>
              <w:jc w:val="center"/>
              <w:textAlignment w:val="center"/>
              <w:rPr>
                <w:rFonts w:hint="eastAsia" w:ascii="宋体" w:hAnsi="宋体" w:eastAsia="宋体" w:cs="宋体"/>
                <w:i w:val="0"/>
                <w:color w:val="000000" w:themeColor="text1"/>
                <w:sz w:val="21"/>
                <w:szCs w:val="21"/>
                <w:u w:val="none"/>
                <w14:textFill>
                  <w14:solidFill>
                    <w14:schemeClr w14:val="tx1"/>
                  </w14:solidFill>
                </w14:textFill>
              </w:rPr>
            </w:pPr>
            <w:r>
              <w:rPr>
                <w:rFonts w:hint="eastAsia" w:ascii="宋体" w:hAnsi="宋体" w:eastAsia="宋体" w:cs="宋体"/>
                <w:i w:val="0"/>
                <w:color w:val="000000" w:themeColor="text1"/>
                <w:sz w:val="21"/>
                <w:szCs w:val="21"/>
                <w:u w:val="none"/>
                <w14:textFill>
                  <w14:solidFill>
                    <w14:schemeClr w14:val="tx1"/>
                  </w14:solidFill>
                </w14:textFill>
              </w:rPr>
              <w:t xml:space="preserve">87.49282309 </w:t>
            </w:r>
          </w:p>
        </w:tc>
        <w:tc>
          <w:tcPr>
            <w:tcW w:w="0" w:type="auto"/>
            <w:tcBorders>
              <w:tl2br w:val="nil"/>
              <w:tr2bl w:val="nil"/>
            </w:tcBorders>
            <w:shd w:val="clear" w:color="auto" w:fill="auto"/>
            <w:noWrap/>
            <w:tcMar>
              <w:top w:w="12" w:type="dxa"/>
              <w:left w:w="12" w:type="dxa"/>
              <w:right w:w="12" w:type="dxa"/>
            </w:tcMar>
            <w:vAlign w:val="center"/>
          </w:tcPr>
          <w:p w14:paraId="509A7B9A">
            <w:pPr>
              <w:keepNext w:val="0"/>
              <w:keepLines w:val="0"/>
              <w:pageBreakBefore w:val="0"/>
              <w:widowControl/>
              <w:suppressLineNumbers w:val="0"/>
              <w:kinsoku/>
              <w:wordWrap/>
              <w:overflowPunct/>
              <w:topLinePunct w:val="0"/>
              <w:autoSpaceDE/>
              <w:autoSpaceDN/>
              <w:bidi w:val="0"/>
              <w:adjustRightInd/>
              <w:snapToGrid w:val="0"/>
              <w:spacing w:line="320" w:lineRule="exact"/>
              <w:ind w:left="0" w:leftChars="0"/>
              <w:jc w:val="center"/>
              <w:textAlignment w:val="center"/>
              <w:rPr>
                <w:rFonts w:hint="eastAsia" w:ascii="宋体" w:hAnsi="宋体" w:eastAsia="宋体" w:cs="宋体"/>
                <w:i w:val="0"/>
                <w:color w:val="000000" w:themeColor="text1"/>
                <w:sz w:val="21"/>
                <w:szCs w:val="21"/>
                <w:u w:val="none"/>
                <w14:textFill>
                  <w14:solidFill>
                    <w14:schemeClr w14:val="tx1"/>
                  </w14:solidFill>
                </w14:textFill>
              </w:rPr>
            </w:pPr>
            <w:r>
              <w:rPr>
                <w:rFonts w:hint="eastAsia" w:ascii="宋体" w:hAnsi="宋体" w:eastAsia="宋体" w:cs="宋体"/>
                <w:i w:val="0"/>
                <w:color w:val="000000" w:themeColor="text1"/>
                <w:sz w:val="21"/>
                <w:szCs w:val="21"/>
                <w:u w:val="none"/>
                <w14:textFill>
                  <w14:solidFill>
                    <w14:schemeClr w14:val="tx1"/>
                  </w14:solidFill>
                </w14:textFill>
              </w:rPr>
              <w:t>43.66594926</w:t>
            </w:r>
          </w:p>
        </w:tc>
      </w:tr>
      <w:tr w14:paraId="12FDF0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0" w:type="auto"/>
            <w:tcBorders>
              <w:tl2br w:val="nil"/>
              <w:tr2bl w:val="nil"/>
            </w:tcBorders>
            <w:shd w:val="clear" w:color="auto" w:fill="auto"/>
            <w:noWrap/>
            <w:tcMar>
              <w:top w:w="12" w:type="dxa"/>
              <w:left w:w="12" w:type="dxa"/>
              <w:right w:w="12" w:type="dxa"/>
            </w:tcMar>
            <w:vAlign w:val="center"/>
          </w:tcPr>
          <w:p w14:paraId="76C7F8DC">
            <w:pPr>
              <w:keepNext w:val="0"/>
              <w:keepLines w:val="0"/>
              <w:pageBreakBefore w:val="0"/>
              <w:widowControl/>
              <w:suppressLineNumbers w:val="0"/>
              <w:kinsoku/>
              <w:wordWrap/>
              <w:overflowPunct/>
              <w:topLinePunct w:val="0"/>
              <w:autoSpaceDE/>
              <w:autoSpaceDN/>
              <w:bidi w:val="0"/>
              <w:adjustRightInd/>
              <w:snapToGrid w:val="0"/>
              <w:spacing w:line="320" w:lineRule="exact"/>
              <w:ind w:left="0" w:leftChars="0"/>
              <w:jc w:val="center"/>
              <w:textAlignment w:val="center"/>
              <w:rPr>
                <w:rFonts w:hint="eastAsia" w:ascii="宋体" w:hAnsi="宋体" w:eastAsia="宋体" w:cs="宋体"/>
                <w:i w:val="0"/>
                <w:color w:val="000000" w:themeColor="text1"/>
                <w:sz w:val="21"/>
                <w:szCs w:val="21"/>
                <w:u w:val="none"/>
                <w14:textFill>
                  <w14:solidFill>
                    <w14:schemeClr w14:val="tx1"/>
                  </w14:solidFill>
                </w14:textFill>
              </w:rPr>
            </w:pPr>
            <w: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t>18</w:t>
            </w:r>
          </w:p>
        </w:tc>
        <w:tc>
          <w:tcPr>
            <w:tcW w:w="0" w:type="auto"/>
            <w:tcBorders>
              <w:tl2br w:val="nil"/>
              <w:tr2bl w:val="nil"/>
            </w:tcBorders>
            <w:shd w:val="clear" w:color="auto" w:fill="auto"/>
            <w:noWrap/>
            <w:tcMar>
              <w:top w:w="12" w:type="dxa"/>
              <w:left w:w="12" w:type="dxa"/>
              <w:right w:w="12" w:type="dxa"/>
            </w:tcMar>
            <w:vAlign w:val="center"/>
          </w:tcPr>
          <w:p w14:paraId="7CE8ECB2">
            <w:pPr>
              <w:keepNext w:val="0"/>
              <w:keepLines w:val="0"/>
              <w:pageBreakBefore w:val="0"/>
              <w:widowControl/>
              <w:suppressLineNumbers w:val="0"/>
              <w:kinsoku/>
              <w:wordWrap/>
              <w:overflowPunct/>
              <w:topLinePunct w:val="0"/>
              <w:autoSpaceDE/>
              <w:autoSpaceDN/>
              <w:bidi w:val="0"/>
              <w:adjustRightInd/>
              <w:snapToGrid w:val="0"/>
              <w:spacing w:line="320" w:lineRule="exact"/>
              <w:ind w:left="0" w:leftChars="0"/>
              <w:jc w:val="center"/>
              <w:textAlignment w:val="center"/>
              <w:rPr>
                <w:rFonts w:hint="eastAsia" w:ascii="宋体" w:hAnsi="宋体" w:eastAsia="宋体" w:cs="宋体"/>
                <w:i w:val="0"/>
                <w:color w:val="000000" w:themeColor="text1"/>
                <w:sz w:val="21"/>
                <w:szCs w:val="21"/>
                <w:u w:val="none"/>
                <w14:textFill>
                  <w14:solidFill>
                    <w14:schemeClr w14:val="tx1"/>
                  </w14:solidFill>
                </w14:textFill>
              </w:rPr>
            </w:pPr>
            <w: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t>H18</w:t>
            </w:r>
          </w:p>
        </w:tc>
        <w:tc>
          <w:tcPr>
            <w:tcW w:w="0" w:type="auto"/>
            <w:tcBorders>
              <w:tl2br w:val="nil"/>
              <w:tr2bl w:val="nil"/>
            </w:tcBorders>
            <w:shd w:val="clear" w:color="auto" w:fill="auto"/>
            <w:noWrap/>
            <w:tcMar>
              <w:top w:w="12" w:type="dxa"/>
              <w:left w:w="12" w:type="dxa"/>
              <w:right w:w="12" w:type="dxa"/>
            </w:tcMar>
            <w:vAlign w:val="center"/>
          </w:tcPr>
          <w:p w14:paraId="6639ABD3">
            <w:pPr>
              <w:keepNext w:val="0"/>
              <w:keepLines w:val="0"/>
              <w:pageBreakBefore w:val="0"/>
              <w:widowControl/>
              <w:suppressLineNumbers w:val="0"/>
              <w:kinsoku/>
              <w:wordWrap/>
              <w:overflowPunct/>
              <w:topLinePunct w:val="0"/>
              <w:autoSpaceDE/>
              <w:autoSpaceDN/>
              <w:bidi w:val="0"/>
              <w:adjustRightInd/>
              <w:snapToGrid w:val="0"/>
              <w:spacing w:line="320" w:lineRule="exact"/>
              <w:ind w:left="0" w:leftChars="0"/>
              <w:jc w:val="center"/>
              <w:textAlignment w:val="center"/>
              <w:rPr>
                <w:rFonts w:hint="eastAsia" w:ascii="宋体" w:hAnsi="宋体" w:eastAsia="宋体" w:cs="宋体"/>
                <w:i w:val="0"/>
                <w:color w:val="000000" w:themeColor="text1"/>
                <w:sz w:val="21"/>
                <w:szCs w:val="21"/>
                <w:u w:val="none"/>
                <w14:textFill>
                  <w14:solidFill>
                    <w14:schemeClr w14:val="tx1"/>
                  </w14:solidFill>
                </w14:textFill>
              </w:rPr>
            </w:pPr>
            <w:r>
              <w:rPr>
                <w:rFonts w:hint="eastAsia" w:ascii="宋体" w:hAnsi="宋体" w:eastAsia="宋体" w:cs="宋体"/>
                <w:i w:val="0"/>
                <w:color w:val="000000" w:themeColor="text1"/>
                <w:sz w:val="21"/>
                <w:szCs w:val="21"/>
                <w:u w:val="none"/>
                <w14:textFill>
                  <w14:solidFill>
                    <w14:schemeClr w14:val="tx1"/>
                  </w14:solidFill>
                </w14:textFill>
              </w:rPr>
              <w:t xml:space="preserve">87.50158140 </w:t>
            </w:r>
          </w:p>
        </w:tc>
        <w:tc>
          <w:tcPr>
            <w:tcW w:w="0" w:type="auto"/>
            <w:tcBorders>
              <w:tl2br w:val="nil"/>
              <w:tr2bl w:val="nil"/>
            </w:tcBorders>
            <w:shd w:val="clear" w:color="auto" w:fill="auto"/>
            <w:noWrap/>
            <w:tcMar>
              <w:top w:w="12" w:type="dxa"/>
              <w:left w:w="12" w:type="dxa"/>
              <w:right w:w="12" w:type="dxa"/>
            </w:tcMar>
            <w:vAlign w:val="center"/>
          </w:tcPr>
          <w:p w14:paraId="58984953">
            <w:pPr>
              <w:keepNext w:val="0"/>
              <w:keepLines w:val="0"/>
              <w:pageBreakBefore w:val="0"/>
              <w:widowControl/>
              <w:suppressLineNumbers w:val="0"/>
              <w:kinsoku/>
              <w:wordWrap/>
              <w:overflowPunct/>
              <w:topLinePunct w:val="0"/>
              <w:autoSpaceDE/>
              <w:autoSpaceDN/>
              <w:bidi w:val="0"/>
              <w:adjustRightInd/>
              <w:snapToGrid w:val="0"/>
              <w:spacing w:line="320" w:lineRule="exact"/>
              <w:ind w:left="0" w:leftChars="0"/>
              <w:jc w:val="center"/>
              <w:textAlignment w:val="center"/>
              <w:rPr>
                <w:rFonts w:hint="eastAsia" w:ascii="宋体" w:hAnsi="宋体" w:eastAsia="宋体" w:cs="宋体"/>
                <w:i w:val="0"/>
                <w:color w:val="000000" w:themeColor="text1"/>
                <w:sz w:val="21"/>
                <w:szCs w:val="21"/>
                <w:u w:val="none"/>
                <w14:textFill>
                  <w14:solidFill>
                    <w14:schemeClr w14:val="tx1"/>
                  </w14:solidFill>
                </w14:textFill>
              </w:rPr>
            </w:pPr>
            <w:r>
              <w:rPr>
                <w:rFonts w:hint="eastAsia" w:ascii="宋体" w:hAnsi="宋体" w:eastAsia="宋体" w:cs="宋体"/>
                <w:i w:val="0"/>
                <w:color w:val="000000" w:themeColor="text1"/>
                <w:sz w:val="21"/>
                <w:szCs w:val="21"/>
                <w:u w:val="none"/>
                <w14:textFill>
                  <w14:solidFill>
                    <w14:schemeClr w14:val="tx1"/>
                  </w14:solidFill>
                </w14:textFill>
              </w:rPr>
              <w:t>43.66901680</w:t>
            </w:r>
          </w:p>
        </w:tc>
      </w:tr>
      <w:tr w14:paraId="262B8D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0" w:type="auto"/>
            <w:tcBorders>
              <w:tl2br w:val="nil"/>
              <w:tr2bl w:val="nil"/>
            </w:tcBorders>
            <w:shd w:val="clear" w:color="auto" w:fill="auto"/>
            <w:noWrap/>
            <w:tcMar>
              <w:top w:w="12" w:type="dxa"/>
              <w:left w:w="12" w:type="dxa"/>
              <w:right w:w="12" w:type="dxa"/>
            </w:tcMar>
            <w:vAlign w:val="center"/>
          </w:tcPr>
          <w:p w14:paraId="40265CFC">
            <w:pPr>
              <w:keepNext w:val="0"/>
              <w:keepLines w:val="0"/>
              <w:pageBreakBefore w:val="0"/>
              <w:widowControl/>
              <w:suppressLineNumbers w:val="0"/>
              <w:kinsoku/>
              <w:wordWrap/>
              <w:overflowPunct/>
              <w:topLinePunct w:val="0"/>
              <w:autoSpaceDE/>
              <w:autoSpaceDN/>
              <w:bidi w:val="0"/>
              <w:adjustRightInd/>
              <w:snapToGrid w:val="0"/>
              <w:spacing w:line="320" w:lineRule="exact"/>
              <w:ind w:left="0" w:leftChars="0"/>
              <w:jc w:val="center"/>
              <w:textAlignment w:val="center"/>
              <w:rPr>
                <w:rFonts w:hint="eastAsia" w:ascii="宋体" w:hAnsi="宋体" w:eastAsia="宋体" w:cs="宋体"/>
                <w:i w:val="0"/>
                <w:color w:val="000000" w:themeColor="text1"/>
                <w:sz w:val="21"/>
                <w:szCs w:val="21"/>
                <w:u w:val="none"/>
                <w14:textFill>
                  <w14:solidFill>
                    <w14:schemeClr w14:val="tx1"/>
                  </w14:solidFill>
                </w14:textFill>
              </w:rPr>
            </w:pPr>
            <w: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t>19</w:t>
            </w:r>
          </w:p>
        </w:tc>
        <w:tc>
          <w:tcPr>
            <w:tcW w:w="0" w:type="auto"/>
            <w:tcBorders>
              <w:tl2br w:val="nil"/>
              <w:tr2bl w:val="nil"/>
            </w:tcBorders>
            <w:shd w:val="clear" w:color="auto" w:fill="auto"/>
            <w:noWrap/>
            <w:tcMar>
              <w:top w:w="12" w:type="dxa"/>
              <w:left w:w="12" w:type="dxa"/>
              <w:right w:w="12" w:type="dxa"/>
            </w:tcMar>
            <w:vAlign w:val="center"/>
          </w:tcPr>
          <w:p w14:paraId="53DCD291">
            <w:pPr>
              <w:keepNext w:val="0"/>
              <w:keepLines w:val="0"/>
              <w:pageBreakBefore w:val="0"/>
              <w:widowControl/>
              <w:suppressLineNumbers w:val="0"/>
              <w:kinsoku/>
              <w:wordWrap/>
              <w:overflowPunct/>
              <w:topLinePunct w:val="0"/>
              <w:autoSpaceDE/>
              <w:autoSpaceDN/>
              <w:bidi w:val="0"/>
              <w:adjustRightInd/>
              <w:snapToGrid w:val="0"/>
              <w:spacing w:line="320" w:lineRule="exact"/>
              <w:ind w:left="0" w:leftChars="0"/>
              <w:jc w:val="center"/>
              <w:textAlignment w:val="center"/>
              <w:rPr>
                <w:rFonts w:hint="eastAsia" w:ascii="宋体" w:hAnsi="宋体" w:eastAsia="宋体" w:cs="宋体"/>
                <w:i w:val="0"/>
                <w:color w:val="000000" w:themeColor="text1"/>
                <w:sz w:val="21"/>
                <w:szCs w:val="21"/>
                <w:u w:val="none"/>
                <w14:textFill>
                  <w14:solidFill>
                    <w14:schemeClr w14:val="tx1"/>
                  </w14:solidFill>
                </w14:textFill>
              </w:rPr>
            </w:pPr>
            <w: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t>H19</w:t>
            </w:r>
          </w:p>
        </w:tc>
        <w:tc>
          <w:tcPr>
            <w:tcW w:w="0" w:type="auto"/>
            <w:tcBorders>
              <w:tl2br w:val="nil"/>
              <w:tr2bl w:val="nil"/>
            </w:tcBorders>
            <w:shd w:val="clear" w:color="auto" w:fill="auto"/>
            <w:noWrap/>
            <w:tcMar>
              <w:top w:w="12" w:type="dxa"/>
              <w:left w:w="12" w:type="dxa"/>
              <w:right w:w="12" w:type="dxa"/>
            </w:tcMar>
            <w:vAlign w:val="center"/>
          </w:tcPr>
          <w:p w14:paraId="7D5CD282">
            <w:pPr>
              <w:keepNext w:val="0"/>
              <w:keepLines w:val="0"/>
              <w:pageBreakBefore w:val="0"/>
              <w:widowControl/>
              <w:suppressLineNumbers w:val="0"/>
              <w:kinsoku/>
              <w:wordWrap/>
              <w:overflowPunct/>
              <w:topLinePunct w:val="0"/>
              <w:autoSpaceDE/>
              <w:autoSpaceDN/>
              <w:bidi w:val="0"/>
              <w:adjustRightInd/>
              <w:snapToGrid w:val="0"/>
              <w:spacing w:line="320" w:lineRule="exact"/>
              <w:ind w:left="0" w:leftChars="0"/>
              <w:jc w:val="center"/>
              <w:textAlignment w:val="center"/>
              <w:rPr>
                <w:rFonts w:hint="eastAsia" w:ascii="宋体" w:hAnsi="宋体" w:eastAsia="宋体" w:cs="宋体"/>
                <w:i w:val="0"/>
                <w:color w:val="000000" w:themeColor="text1"/>
                <w:sz w:val="21"/>
                <w:szCs w:val="21"/>
                <w:u w:val="none"/>
                <w14:textFill>
                  <w14:solidFill>
                    <w14:schemeClr w14:val="tx1"/>
                  </w14:solidFill>
                </w14:textFill>
              </w:rPr>
            </w:pPr>
            <w:r>
              <w:rPr>
                <w:rFonts w:hint="eastAsia" w:ascii="宋体" w:hAnsi="宋体" w:eastAsia="宋体" w:cs="宋体"/>
                <w:i w:val="0"/>
                <w:color w:val="000000" w:themeColor="text1"/>
                <w:sz w:val="21"/>
                <w:szCs w:val="21"/>
                <w:u w:val="none"/>
                <w14:textFill>
                  <w14:solidFill>
                    <w14:schemeClr w14:val="tx1"/>
                  </w14:solidFill>
                </w14:textFill>
              </w:rPr>
              <w:t xml:space="preserve">87.51152081 </w:t>
            </w:r>
          </w:p>
        </w:tc>
        <w:tc>
          <w:tcPr>
            <w:tcW w:w="0" w:type="auto"/>
            <w:tcBorders>
              <w:tl2br w:val="nil"/>
              <w:tr2bl w:val="nil"/>
            </w:tcBorders>
            <w:shd w:val="clear" w:color="auto" w:fill="auto"/>
            <w:noWrap/>
            <w:tcMar>
              <w:top w:w="12" w:type="dxa"/>
              <w:left w:w="12" w:type="dxa"/>
              <w:right w:w="12" w:type="dxa"/>
            </w:tcMar>
            <w:vAlign w:val="center"/>
          </w:tcPr>
          <w:p w14:paraId="2FFF8E14">
            <w:pPr>
              <w:keepNext w:val="0"/>
              <w:keepLines w:val="0"/>
              <w:pageBreakBefore w:val="0"/>
              <w:widowControl/>
              <w:suppressLineNumbers w:val="0"/>
              <w:kinsoku/>
              <w:wordWrap/>
              <w:overflowPunct/>
              <w:topLinePunct w:val="0"/>
              <w:autoSpaceDE/>
              <w:autoSpaceDN/>
              <w:bidi w:val="0"/>
              <w:adjustRightInd/>
              <w:snapToGrid w:val="0"/>
              <w:spacing w:line="320" w:lineRule="exact"/>
              <w:ind w:left="0" w:leftChars="0"/>
              <w:jc w:val="center"/>
              <w:textAlignment w:val="center"/>
              <w:rPr>
                <w:rFonts w:hint="eastAsia" w:ascii="宋体" w:hAnsi="宋体" w:eastAsia="宋体" w:cs="宋体"/>
                <w:i w:val="0"/>
                <w:color w:val="000000" w:themeColor="text1"/>
                <w:sz w:val="21"/>
                <w:szCs w:val="21"/>
                <w:u w:val="none"/>
                <w14:textFill>
                  <w14:solidFill>
                    <w14:schemeClr w14:val="tx1"/>
                  </w14:solidFill>
                </w14:textFill>
              </w:rPr>
            </w:pPr>
            <w:r>
              <w:rPr>
                <w:rFonts w:hint="eastAsia" w:ascii="宋体" w:hAnsi="宋体" w:eastAsia="宋体" w:cs="宋体"/>
                <w:i w:val="0"/>
                <w:color w:val="000000" w:themeColor="text1"/>
                <w:sz w:val="21"/>
                <w:szCs w:val="21"/>
                <w:u w:val="none"/>
                <w14:textFill>
                  <w14:solidFill>
                    <w14:schemeClr w14:val="tx1"/>
                  </w14:solidFill>
                </w14:textFill>
              </w:rPr>
              <w:t>43.67182730</w:t>
            </w:r>
          </w:p>
        </w:tc>
      </w:tr>
      <w:tr w14:paraId="6CF945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0" w:type="auto"/>
            <w:tcBorders>
              <w:tl2br w:val="nil"/>
              <w:tr2bl w:val="nil"/>
            </w:tcBorders>
            <w:shd w:val="clear" w:color="auto" w:fill="auto"/>
            <w:noWrap/>
            <w:tcMar>
              <w:top w:w="12" w:type="dxa"/>
              <w:left w:w="12" w:type="dxa"/>
              <w:right w:w="12" w:type="dxa"/>
            </w:tcMar>
            <w:vAlign w:val="center"/>
          </w:tcPr>
          <w:p w14:paraId="156506FA">
            <w:pPr>
              <w:keepNext w:val="0"/>
              <w:keepLines w:val="0"/>
              <w:pageBreakBefore w:val="0"/>
              <w:widowControl/>
              <w:suppressLineNumbers w:val="0"/>
              <w:kinsoku/>
              <w:wordWrap/>
              <w:overflowPunct/>
              <w:topLinePunct w:val="0"/>
              <w:autoSpaceDE/>
              <w:autoSpaceDN/>
              <w:bidi w:val="0"/>
              <w:adjustRightInd/>
              <w:snapToGrid w:val="0"/>
              <w:spacing w:line="320" w:lineRule="exact"/>
              <w:ind w:left="0" w:leftChars="0"/>
              <w:jc w:val="center"/>
              <w:textAlignment w:val="center"/>
              <w:rPr>
                <w:rFonts w:hint="eastAsia" w:ascii="宋体" w:hAnsi="宋体" w:eastAsia="宋体" w:cs="宋体"/>
                <w:i w:val="0"/>
                <w:color w:val="000000" w:themeColor="text1"/>
                <w:sz w:val="21"/>
                <w:szCs w:val="21"/>
                <w:u w:val="none"/>
                <w14:textFill>
                  <w14:solidFill>
                    <w14:schemeClr w14:val="tx1"/>
                  </w14:solidFill>
                </w14:textFill>
              </w:rPr>
            </w:pPr>
            <w: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t>20</w:t>
            </w:r>
          </w:p>
        </w:tc>
        <w:tc>
          <w:tcPr>
            <w:tcW w:w="0" w:type="auto"/>
            <w:tcBorders>
              <w:tl2br w:val="nil"/>
              <w:tr2bl w:val="nil"/>
            </w:tcBorders>
            <w:shd w:val="clear" w:color="auto" w:fill="auto"/>
            <w:noWrap/>
            <w:tcMar>
              <w:top w:w="12" w:type="dxa"/>
              <w:left w:w="12" w:type="dxa"/>
              <w:right w:w="12" w:type="dxa"/>
            </w:tcMar>
            <w:vAlign w:val="center"/>
          </w:tcPr>
          <w:p w14:paraId="14BCCC72">
            <w:pPr>
              <w:keepNext w:val="0"/>
              <w:keepLines w:val="0"/>
              <w:pageBreakBefore w:val="0"/>
              <w:widowControl/>
              <w:suppressLineNumbers w:val="0"/>
              <w:kinsoku/>
              <w:wordWrap/>
              <w:overflowPunct/>
              <w:topLinePunct w:val="0"/>
              <w:autoSpaceDE/>
              <w:autoSpaceDN/>
              <w:bidi w:val="0"/>
              <w:adjustRightInd/>
              <w:snapToGrid w:val="0"/>
              <w:spacing w:line="320" w:lineRule="exact"/>
              <w:ind w:left="0" w:leftChars="0"/>
              <w:jc w:val="center"/>
              <w:textAlignment w:val="center"/>
              <w:rPr>
                <w:rFonts w:hint="eastAsia" w:ascii="宋体" w:hAnsi="宋体" w:eastAsia="宋体" w:cs="宋体"/>
                <w:i w:val="0"/>
                <w:color w:val="000000" w:themeColor="text1"/>
                <w:sz w:val="21"/>
                <w:szCs w:val="21"/>
                <w:u w:val="none"/>
                <w14:textFill>
                  <w14:solidFill>
                    <w14:schemeClr w14:val="tx1"/>
                  </w14:solidFill>
                </w14:textFill>
              </w:rPr>
            </w:pPr>
            <w: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t>H20</w:t>
            </w:r>
          </w:p>
        </w:tc>
        <w:tc>
          <w:tcPr>
            <w:tcW w:w="0" w:type="auto"/>
            <w:tcBorders>
              <w:tl2br w:val="nil"/>
              <w:tr2bl w:val="nil"/>
            </w:tcBorders>
            <w:shd w:val="clear" w:color="auto" w:fill="auto"/>
            <w:noWrap/>
            <w:tcMar>
              <w:top w:w="12" w:type="dxa"/>
              <w:left w:w="12" w:type="dxa"/>
              <w:right w:w="12" w:type="dxa"/>
            </w:tcMar>
            <w:vAlign w:val="center"/>
          </w:tcPr>
          <w:p w14:paraId="3C243743">
            <w:pPr>
              <w:keepNext w:val="0"/>
              <w:keepLines w:val="0"/>
              <w:pageBreakBefore w:val="0"/>
              <w:widowControl/>
              <w:suppressLineNumbers w:val="0"/>
              <w:kinsoku/>
              <w:wordWrap/>
              <w:overflowPunct/>
              <w:topLinePunct w:val="0"/>
              <w:autoSpaceDE/>
              <w:autoSpaceDN/>
              <w:bidi w:val="0"/>
              <w:adjustRightInd/>
              <w:snapToGrid w:val="0"/>
              <w:spacing w:line="320" w:lineRule="exact"/>
              <w:ind w:left="0" w:leftChars="0"/>
              <w:jc w:val="center"/>
              <w:textAlignment w:val="center"/>
              <w:rPr>
                <w:rFonts w:hint="eastAsia" w:ascii="宋体" w:hAnsi="宋体" w:eastAsia="宋体" w:cs="宋体"/>
                <w:i w:val="0"/>
                <w:color w:val="000000" w:themeColor="text1"/>
                <w:sz w:val="21"/>
                <w:szCs w:val="21"/>
                <w:u w:val="none"/>
                <w14:textFill>
                  <w14:solidFill>
                    <w14:schemeClr w14:val="tx1"/>
                  </w14:solidFill>
                </w14:textFill>
              </w:rPr>
            </w:pPr>
            <w:r>
              <w:rPr>
                <w:rFonts w:hint="eastAsia" w:ascii="宋体" w:hAnsi="宋体" w:eastAsia="宋体" w:cs="宋体"/>
                <w:i w:val="0"/>
                <w:color w:val="000000" w:themeColor="text1"/>
                <w:sz w:val="21"/>
                <w:szCs w:val="21"/>
                <w:u w:val="none"/>
                <w14:textFill>
                  <w14:solidFill>
                    <w14:schemeClr w14:val="tx1"/>
                  </w14:solidFill>
                </w14:textFill>
              </w:rPr>
              <w:t xml:space="preserve">87.51933200 </w:t>
            </w:r>
          </w:p>
        </w:tc>
        <w:tc>
          <w:tcPr>
            <w:tcW w:w="0" w:type="auto"/>
            <w:tcBorders>
              <w:tl2br w:val="nil"/>
              <w:tr2bl w:val="nil"/>
            </w:tcBorders>
            <w:shd w:val="clear" w:color="auto" w:fill="auto"/>
            <w:noWrap/>
            <w:tcMar>
              <w:top w:w="12" w:type="dxa"/>
              <w:left w:w="12" w:type="dxa"/>
              <w:right w:w="12" w:type="dxa"/>
            </w:tcMar>
            <w:vAlign w:val="center"/>
          </w:tcPr>
          <w:p w14:paraId="7AE81DB2">
            <w:pPr>
              <w:keepNext w:val="0"/>
              <w:keepLines w:val="0"/>
              <w:pageBreakBefore w:val="0"/>
              <w:widowControl/>
              <w:suppressLineNumbers w:val="0"/>
              <w:kinsoku/>
              <w:wordWrap/>
              <w:overflowPunct/>
              <w:topLinePunct w:val="0"/>
              <w:autoSpaceDE/>
              <w:autoSpaceDN/>
              <w:bidi w:val="0"/>
              <w:adjustRightInd/>
              <w:snapToGrid w:val="0"/>
              <w:spacing w:line="320" w:lineRule="exact"/>
              <w:ind w:left="0" w:leftChars="0"/>
              <w:jc w:val="center"/>
              <w:textAlignment w:val="center"/>
              <w:rPr>
                <w:rFonts w:hint="eastAsia" w:ascii="宋体" w:hAnsi="宋体" w:eastAsia="宋体" w:cs="宋体"/>
                <w:i w:val="0"/>
                <w:color w:val="000000" w:themeColor="text1"/>
                <w:sz w:val="21"/>
                <w:szCs w:val="21"/>
                <w:u w:val="none"/>
                <w14:textFill>
                  <w14:solidFill>
                    <w14:schemeClr w14:val="tx1"/>
                  </w14:solidFill>
                </w14:textFill>
              </w:rPr>
            </w:pPr>
            <w:r>
              <w:rPr>
                <w:rFonts w:hint="eastAsia" w:ascii="宋体" w:hAnsi="宋体" w:eastAsia="宋体" w:cs="宋体"/>
                <w:i w:val="0"/>
                <w:color w:val="000000" w:themeColor="text1"/>
                <w:sz w:val="21"/>
                <w:szCs w:val="21"/>
                <w:u w:val="none"/>
                <w14:textFill>
                  <w14:solidFill>
                    <w14:schemeClr w14:val="tx1"/>
                  </w14:solidFill>
                </w14:textFill>
              </w:rPr>
              <w:t>43.67540710</w:t>
            </w:r>
          </w:p>
        </w:tc>
      </w:tr>
    </w:tbl>
    <w:p w14:paraId="1A48C11E">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pPr>
    </w:p>
    <w:p w14:paraId="325A917C">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pPr>
    </w:p>
    <w:p w14:paraId="52CB51CB">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pPr>
    </w:p>
    <w:p w14:paraId="526C7BA0">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cs="Times New Roman" w:eastAsiaTheme="minorEastAsia"/>
          <w:b w:val="0"/>
          <w:bCs w:val="0"/>
          <w:snapToGrid w:val="0"/>
          <w:color w:val="FF0000"/>
          <w:sz w:val="24"/>
          <w:highlight w:val="none"/>
          <w:lang w:val="en-US" w:eastAsia="zh-CN"/>
        </w:rPr>
      </w:pPr>
      <w:r>
        <w:rPr>
          <w:rFonts w:hint="default"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t>建设性质：</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新建。</w:t>
      </w:r>
    </w:p>
    <w:p w14:paraId="4DF7833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2" w:firstLineChars="200"/>
        <w:textAlignment w:val="auto"/>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t>建设内容与规模：</w:t>
      </w:r>
      <w:r>
        <w:rPr>
          <w:rFonts w:hint="default" w:ascii="Times New Roman" w:hAnsi="Times New Roman" w:cs="Times New Roman" w:eastAsiaTheme="minorEastAsia"/>
          <w:b w:val="0"/>
          <w:bCs w:val="0"/>
          <w:snapToGrid w:val="0"/>
          <w:color w:val="000000" w:themeColor="text1"/>
          <w:sz w:val="24"/>
          <w:highlight w:val="none"/>
          <w:lang w:val="en-US" w:eastAsia="zh-CN"/>
          <w14:textFill>
            <w14:solidFill>
              <w14:schemeClr w14:val="tx1"/>
            </w14:solidFill>
          </w14:textFill>
        </w:rPr>
        <w:t>本项目</w:t>
      </w:r>
      <w:r>
        <w:rPr>
          <w:rFonts w:hint="eastAsia" w:ascii="Times New Roman" w:hAnsi="Times New Roman" w:cs="Times New Roman" w:eastAsiaTheme="minorEastAsia"/>
          <w:b w:val="0"/>
          <w:bCs w:val="0"/>
          <w:snapToGrid w:val="0"/>
          <w:color w:val="000000" w:themeColor="text1"/>
          <w:sz w:val="24"/>
          <w:highlight w:val="none"/>
          <w:lang w:val="en-US" w:eastAsia="zh-CN"/>
          <w14:textFill>
            <w14:solidFill>
              <w14:schemeClr w14:val="tx1"/>
            </w14:solidFill>
          </w14:textFill>
        </w:rPr>
        <w:t>风电装机规模为15</w:t>
      </w:r>
      <w:r>
        <w:rPr>
          <w:rFonts w:hint="default" w:ascii="Times New Roman" w:hAnsi="Times New Roman" w:cs="Times New Roman" w:eastAsiaTheme="minorEastAsia"/>
          <w:b w:val="0"/>
          <w:bCs w:val="0"/>
          <w:snapToGrid w:val="0"/>
          <w:color w:val="000000" w:themeColor="text1"/>
          <w:sz w:val="24"/>
          <w:highlight w:val="none"/>
          <w:lang w:val="en-US" w:eastAsia="zh-CN"/>
          <w14:textFill>
            <w14:solidFill>
              <w14:schemeClr w14:val="tx1"/>
            </w14:solidFill>
          </w14:textFill>
        </w:rPr>
        <w:t>万千瓦</w:t>
      </w:r>
      <w:r>
        <w:rPr>
          <w:rFonts w:hint="eastAsia" w:ascii="Times New Roman" w:hAnsi="Times New Roman" w:cs="Times New Roman" w:eastAsiaTheme="minorEastAsia"/>
          <w:b w:val="0"/>
          <w:bCs w:val="0"/>
          <w:snapToGrid w:val="0"/>
          <w:color w:val="000000" w:themeColor="text1"/>
          <w:sz w:val="24"/>
          <w:highlight w:val="none"/>
          <w:lang w:val="en-US" w:eastAsia="zh-CN"/>
          <w14:textFill>
            <w14:solidFill>
              <w14:schemeClr w14:val="tx1"/>
            </w14:solidFill>
          </w14:textFill>
        </w:rPr>
        <w:t>，拟建设</w:t>
      </w:r>
      <w:r>
        <w:rPr>
          <w:rFonts w:hint="eastAsia" w:cs="Times New Roman" w:eastAsiaTheme="minorEastAsia"/>
          <w:b w:val="0"/>
          <w:bCs w:val="0"/>
          <w:snapToGrid w:val="0"/>
          <w:color w:val="000000" w:themeColor="text1"/>
          <w:sz w:val="24"/>
          <w:highlight w:val="none"/>
          <w:lang w:val="en-US" w:eastAsia="zh-CN"/>
          <w14:textFill>
            <w14:solidFill>
              <w14:schemeClr w14:val="tx1"/>
            </w14:solidFill>
          </w14:textFill>
        </w:rPr>
        <w:t>20</w:t>
      </w:r>
      <w:r>
        <w:rPr>
          <w:rFonts w:hint="eastAsia" w:ascii="Times New Roman" w:hAnsi="Times New Roman" w:cs="Times New Roman" w:eastAsiaTheme="minorEastAsia"/>
          <w:b w:val="0"/>
          <w:bCs w:val="0"/>
          <w:snapToGrid w:val="0"/>
          <w:color w:val="000000" w:themeColor="text1"/>
          <w:sz w:val="24"/>
          <w:highlight w:val="none"/>
          <w:lang w:val="en-US" w:eastAsia="zh-CN"/>
          <w14:textFill>
            <w14:solidFill>
              <w14:schemeClr w14:val="tx1"/>
            </w14:solidFill>
          </w14:textFill>
        </w:rPr>
        <w:t>台单机容量为7150kW的风力发电机组，</w:t>
      </w:r>
      <w:r>
        <w:rPr>
          <w:rFonts w:hint="default" w:ascii="Times New Roman" w:hAnsi="Times New Roman" w:cs="Times New Roman" w:eastAsiaTheme="minorEastAsia"/>
          <w:b w:val="0"/>
          <w:bCs w:val="0"/>
          <w:snapToGrid w:val="0"/>
          <w:color w:val="000000" w:themeColor="text1"/>
          <w:sz w:val="24"/>
          <w:highlight w:val="none"/>
          <w:lang w:val="en-US" w:eastAsia="zh-CN"/>
          <w14:textFill>
            <w14:solidFill>
              <w14:schemeClr w14:val="tx1"/>
            </w14:solidFill>
          </w14:textFill>
        </w:rPr>
        <w:t>配套建设1座110kV升压站，</w:t>
      </w:r>
      <w:r>
        <w:rPr>
          <w:rFonts w:hint="eastAsia" w:ascii="Times New Roman" w:hAnsi="Times New Roman" w:cs="Times New Roman" w:eastAsiaTheme="minorEastAsia"/>
          <w:b w:val="0"/>
          <w:bCs w:val="0"/>
          <w:snapToGrid w:val="0"/>
          <w:color w:val="000000" w:themeColor="text1"/>
          <w:sz w:val="24"/>
          <w:highlight w:val="none"/>
          <w:lang w:val="en-US" w:eastAsia="zh-CN"/>
          <w14:textFill>
            <w14:solidFill>
              <w14:schemeClr w14:val="tx1"/>
            </w14:solidFill>
          </w14:textFill>
        </w:rPr>
        <w:t>以1回110kV线路接至燕南220kV变，送出线路长约8km</w:t>
      </w:r>
      <w:r>
        <w:rPr>
          <w:rFonts w:hint="default" w:ascii="Times New Roman" w:hAnsi="Times New Roman" w:cs="Times New Roman" w:eastAsiaTheme="minorEastAsia"/>
          <w:b w:val="0"/>
          <w:bCs w:val="0"/>
          <w:snapToGrid w:val="0"/>
          <w:color w:val="000000" w:themeColor="text1"/>
          <w:sz w:val="24"/>
          <w:highlight w:val="none"/>
          <w:lang w:val="en-US" w:eastAsia="zh-CN"/>
          <w14:textFill>
            <w14:solidFill>
              <w14:schemeClr w14:val="tx1"/>
            </w14:solidFill>
          </w14:textFill>
        </w:rPr>
        <w:t>（</w:t>
      </w:r>
      <w:r>
        <w:rPr>
          <w:rFonts w:hint="eastAsia" w:ascii="Times New Roman" w:hAnsi="Times New Roman" w:cs="Times New Roman" w:eastAsiaTheme="minorEastAsia"/>
          <w:b w:val="0"/>
          <w:bCs w:val="0"/>
          <w:snapToGrid w:val="0"/>
          <w:color w:val="000000" w:themeColor="text1"/>
          <w:sz w:val="24"/>
          <w:highlight w:val="none"/>
          <w:lang w:val="en-US" w:eastAsia="zh-CN"/>
          <w14:textFill>
            <w14:solidFill>
              <w14:schemeClr w14:val="tx1"/>
            </w14:solidFill>
          </w14:textFill>
        </w:rPr>
        <w:t>110</w:t>
      </w:r>
      <w:r>
        <w:rPr>
          <w:rFonts w:hint="default" w:ascii="Times New Roman" w:hAnsi="Times New Roman" w:cs="Times New Roman" w:eastAsiaTheme="minorEastAsia"/>
          <w:b w:val="0"/>
          <w:bCs w:val="0"/>
          <w:snapToGrid w:val="0"/>
          <w:color w:val="000000" w:themeColor="text1"/>
          <w:sz w:val="24"/>
          <w:highlight w:val="none"/>
          <w:lang w:val="en-US" w:eastAsia="zh-CN"/>
          <w14:textFill>
            <w14:solidFill>
              <w14:schemeClr w14:val="tx1"/>
            </w14:solidFill>
          </w14:textFill>
        </w:rPr>
        <w:t>kV</w:t>
      </w:r>
      <w:r>
        <w:rPr>
          <w:rFonts w:hint="eastAsia" w:ascii="Times New Roman" w:hAnsi="Times New Roman" w:cs="Times New Roman" w:eastAsiaTheme="minorEastAsia"/>
          <w:b w:val="0"/>
          <w:bCs w:val="0"/>
          <w:snapToGrid w:val="0"/>
          <w:color w:val="000000" w:themeColor="text1"/>
          <w:sz w:val="24"/>
          <w:highlight w:val="none"/>
          <w:lang w:val="en-US" w:eastAsia="zh-CN"/>
          <w14:textFill>
            <w14:solidFill>
              <w14:schemeClr w14:val="tx1"/>
            </w14:solidFill>
          </w14:textFill>
        </w:rPr>
        <w:t>升压站及送出线路工程不在本次评价范围内，另行环评</w:t>
      </w:r>
      <w:r>
        <w:rPr>
          <w:rFonts w:hint="default" w:ascii="Times New Roman" w:hAnsi="Times New Roman" w:cs="Times New Roman" w:eastAsiaTheme="minorEastAsia"/>
          <w:b w:val="0"/>
          <w:bCs w:val="0"/>
          <w:snapToGrid w:val="0"/>
          <w:color w:val="000000" w:themeColor="text1"/>
          <w:sz w:val="24"/>
          <w:highlight w:val="none"/>
          <w:lang w:val="en-US" w:eastAsia="zh-CN"/>
          <w14:textFill>
            <w14:solidFill>
              <w14:schemeClr w14:val="tx1"/>
            </w14:solidFill>
          </w14:textFill>
        </w:rPr>
        <w:t>）</w:t>
      </w:r>
      <w:r>
        <w:rPr>
          <w:rFonts w:hint="eastAsia" w:ascii="Times New Roman" w:hAnsi="Times New Roman" w:cs="Times New Roman" w:eastAsiaTheme="minorEastAsia"/>
          <w:b w:val="0"/>
          <w:bCs w:val="0"/>
          <w:snapToGrid w:val="0"/>
          <w:color w:val="000000" w:themeColor="text1"/>
          <w:sz w:val="24"/>
          <w:highlight w:val="none"/>
          <w:lang w:val="en-US" w:eastAsia="zh-CN"/>
          <w14:textFill>
            <w14:solidFill>
              <w14:schemeClr w14:val="tx1"/>
            </w14:solidFill>
          </w14:textFill>
        </w:rPr>
        <w:t>。</w:t>
      </w:r>
    </w:p>
    <w:p w14:paraId="72F33C7D">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t>建设项目总投资及环保投资：</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建设项目总投资</w:t>
      </w:r>
      <w:r>
        <w:rPr>
          <w:rFonts w:hint="eastAsia" w:ascii="宋体" w:hAnsi="宋体" w:eastAsia="宋体"/>
          <w:color w:val="000000" w:themeColor="text1"/>
          <w:sz w:val="24"/>
          <w:lang w:val="en-US" w:eastAsia="zh-CN"/>
          <w14:textFill>
            <w14:solidFill>
              <w14:schemeClr w14:val="tx1"/>
            </w14:solidFill>
          </w14:textFill>
        </w:rPr>
        <w:t>56898</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万元，环保投资共计</w:t>
      </w:r>
      <w:r>
        <w:rPr>
          <w:rFonts w:hint="eastAsia" w:ascii="Times New Roman" w:hAnsi="Times New Roman" w:cs="Times New Roman" w:eastAsiaTheme="minorEastAsia"/>
          <w:color w:val="000000" w:themeColor="text1"/>
          <w:sz w:val="24"/>
          <w:highlight w:val="none"/>
          <w:lang w:val="en-US" w:eastAsia="zh-CN"/>
          <w14:textFill>
            <w14:solidFill>
              <w14:schemeClr w14:val="tx1"/>
            </w14:solidFill>
          </w14:textFill>
        </w:rPr>
        <w:t>910</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万元，占项目总投资的</w:t>
      </w:r>
      <w:r>
        <w:rPr>
          <w:rFonts w:hint="eastAsia" w:ascii="Times New Roman" w:hAnsi="Times New Roman" w:cs="Times New Roman" w:eastAsiaTheme="minorEastAsia"/>
          <w:color w:val="000000" w:themeColor="text1"/>
          <w:sz w:val="24"/>
          <w:highlight w:val="none"/>
          <w:lang w:val="en-US" w:eastAsia="zh-CN"/>
          <w14:textFill>
            <w14:solidFill>
              <w14:schemeClr w14:val="tx1"/>
            </w14:solidFill>
          </w14:textFill>
        </w:rPr>
        <w:t>1.6%</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w:t>
      </w:r>
    </w:p>
    <w:p w14:paraId="1EDA9A1E">
      <w:pPr>
        <w:bidi w:val="0"/>
        <w:spacing w:line="240" w:lineRule="auto"/>
        <w:jc w:val="center"/>
        <w:rPr>
          <w:rFonts w:hint="default" w:ascii="Times New Roman" w:hAnsi="Times New Roman" w:cs="Times New Roman" w:eastAsiaTheme="minorEastAsia"/>
          <w:b/>
          <w:bCs/>
          <w:color w:val="FF0000"/>
          <w:highlight w:val="none"/>
        </w:rPr>
      </w:pPr>
    </w:p>
    <w:p w14:paraId="41F837AC">
      <w:pPr>
        <w:pStyle w:val="19"/>
        <w:rPr>
          <w:rFonts w:hint="default" w:ascii="Times New Roman" w:hAnsi="Times New Roman" w:cs="Times New Roman" w:eastAsiaTheme="minorEastAsia"/>
          <w:b/>
          <w:bCs/>
          <w:color w:val="FF0000"/>
          <w:highlight w:val="none"/>
          <w:lang w:eastAsia="zh-CN"/>
        </w:rPr>
      </w:pPr>
    </w:p>
    <w:p w14:paraId="0A031D56">
      <w:pPr>
        <w:rPr>
          <w:rFonts w:hint="default" w:ascii="Times New Roman" w:hAnsi="Times New Roman" w:cs="Times New Roman" w:eastAsiaTheme="minorEastAsia"/>
          <w:b/>
          <w:bCs/>
          <w:color w:val="FF0000"/>
          <w:highlight w:val="none"/>
          <w:lang w:eastAsia="zh-CN"/>
        </w:rPr>
      </w:pPr>
    </w:p>
    <w:p w14:paraId="478C47DD">
      <w:pPr>
        <w:pStyle w:val="19"/>
        <w:rPr>
          <w:rFonts w:hint="default" w:ascii="Times New Roman" w:hAnsi="Times New Roman" w:cs="Times New Roman" w:eastAsiaTheme="minorEastAsia"/>
          <w:b/>
          <w:bCs/>
          <w:color w:val="FF0000"/>
          <w:highlight w:val="none"/>
          <w:lang w:eastAsia="zh-CN"/>
        </w:rPr>
        <w:sectPr>
          <w:headerReference r:id="rId11" w:type="default"/>
          <w:pgSz w:w="11906" w:h="16838"/>
          <w:pgMar w:top="1417" w:right="1418" w:bottom="1417" w:left="1418" w:header="1134" w:footer="992" w:gutter="0"/>
          <w:pgBorders>
            <w:top w:val="none" w:sz="0" w:space="0"/>
            <w:left w:val="none" w:sz="0" w:space="0"/>
            <w:bottom w:val="none" w:sz="0" w:space="0"/>
            <w:right w:val="none" w:sz="0" w:space="0"/>
          </w:pgBorders>
          <w:pgNumType w:fmt="decimal"/>
          <w:cols w:space="720" w:num="1"/>
          <w:rtlGutter w:val="0"/>
          <w:docGrid w:type="lines" w:linePitch="312" w:charSpace="0"/>
        </w:sectPr>
      </w:pPr>
    </w:p>
    <w:tbl>
      <w:tblPr>
        <w:tblStyle w:val="76"/>
        <w:tblW w:w="185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286"/>
        <w:gridCol w:w="9286"/>
      </w:tblGrid>
      <w:tr w14:paraId="209241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286" w:type="dxa"/>
            <w:vAlign w:val="top"/>
          </w:tcPr>
          <w:p w14:paraId="4566BE6A">
            <w:pPr>
              <w:adjustRightInd w:val="0"/>
              <w:snapToGrid w:val="0"/>
              <w:spacing w:line="360" w:lineRule="auto"/>
              <w:ind w:left="0" w:leftChars="0" w:firstLine="0" w:firstLineChars="0"/>
              <w:jc w:val="center"/>
              <w:rPr>
                <w:rFonts w:hint="default" w:ascii="Times New Roman" w:hAnsi="Times New Roman" w:cs="Times New Roman" w:eastAsiaTheme="minorEastAsia"/>
                <w:color w:val="FF0000"/>
                <w:sz w:val="28"/>
                <w:highlight w:val="none"/>
                <w:vertAlign w:val="baseline"/>
                <w:lang w:eastAsia="zh-CN"/>
              </w:rPr>
            </w:pPr>
            <w:r>
              <w:rPr>
                <w:rFonts w:hint="default" w:ascii="Times New Roman" w:hAnsi="Times New Roman" w:cs="Times New Roman" w:eastAsiaTheme="minorEastAsia"/>
                <w:color w:val="FF0000"/>
                <w:sz w:val="28"/>
                <w:highlight w:val="none"/>
              </w:rPr>
              <mc:AlternateContent>
                <mc:Choice Requires="wps">
                  <w:drawing>
                    <wp:anchor distT="0" distB="0" distL="114300" distR="114300" simplePos="0" relativeHeight="251662336" behindDoc="0" locked="0" layoutInCell="1" allowOverlap="1">
                      <wp:simplePos x="0" y="0"/>
                      <wp:positionH relativeFrom="column">
                        <wp:posOffset>2494280</wp:posOffset>
                      </wp:positionH>
                      <wp:positionV relativeFrom="paragraph">
                        <wp:posOffset>3894455</wp:posOffset>
                      </wp:positionV>
                      <wp:extent cx="1576070" cy="414655"/>
                      <wp:effectExtent l="530225" t="5080" r="12065" b="1134745"/>
                      <wp:wrapNone/>
                      <wp:docPr id="1" name="自选图形 248"/>
                      <wp:cNvGraphicFramePr/>
                      <a:graphic xmlns:a="http://schemas.openxmlformats.org/drawingml/2006/main">
                        <a:graphicData uri="http://schemas.microsoft.com/office/word/2010/wordprocessingShape">
                          <wps:wsp>
                            <wps:cNvSpPr/>
                            <wps:spPr>
                              <a:xfrm>
                                <a:off x="0" y="0"/>
                                <a:ext cx="1576070" cy="414655"/>
                              </a:xfrm>
                              <a:prstGeom prst="wedgeRectCallout">
                                <a:avLst>
                                  <a:gd name="adj1" fmla="val -82013"/>
                                  <a:gd name="adj2" fmla="val 314012"/>
                                </a:avLst>
                              </a:prstGeom>
                              <a:solidFill>
                                <a:srgbClr val="FFFFFF"/>
                              </a:solidFill>
                              <a:ln w="9525" cap="flat" cmpd="sng">
                                <a:solidFill>
                                  <a:srgbClr val="FF0000"/>
                                </a:solidFill>
                                <a:prstDash val="solid"/>
                                <a:miter/>
                                <a:headEnd type="none" w="med" len="med"/>
                                <a:tailEnd type="none" w="med" len="med"/>
                              </a:ln>
                            </wps:spPr>
                            <wps:txbx>
                              <w:txbxContent>
                                <w:p w14:paraId="32B5889D">
                                  <w:pPr>
                                    <w:keepNext w:val="0"/>
                                    <w:keepLines w:val="0"/>
                                    <w:pageBreakBefore w:val="0"/>
                                    <w:widowControl w:val="0"/>
                                    <w:kinsoku/>
                                    <w:wordWrap/>
                                    <w:overflowPunct/>
                                    <w:topLinePunct w:val="0"/>
                                    <w:autoSpaceDE/>
                                    <w:autoSpaceDN/>
                                    <w:bidi w:val="0"/>
                                    <w:adjustRightInd/>
                                    <w:snapToGrid/>
                                    <w:ind w:left="0" w:leftChars="0"/>
                                    <w:jc w:val="both"/>
                                    <w:textAlignment w:val="auto"/>
                                    <w:rPr>
                                      <w:rFonts w:hint="default" w:ascii="宋体" w:hAnsi="宋体" w:eastAsia="宋体" w:cs="宋体"/>
                                      <w:color w:val="FF0000"/>
                                      <w:lang w:val="en-US" w:eastAsia="zh-CN"/>
                                    </w:rPr>
                                  </w:pPr>
                                  <w:r>
                                    <w:rPr>
                                      <w:rFonts w:hint="eastAsia" w:cs="宋体"/>
                                      <w:color w:val="FF0000"/>
                                      <w:lang w:val="en-US" w:eastAsia="zh-CN"/>
                                    </w:rPr>
                                    <w:t>本项目拟建区域</w:t>
                                  </w:r>
                                </w:p>
                              </w:txbxContent>
                            </wps:txbx>
                            <wps:bodyPr vert="horz" wrap="square" anchor="t" anchorCtr="0" upright="1"/>
                          </wps:wsp>
                        </a:graphicData>
                      </a:graphic>
                    </wp:anchor>
                  </w:drawing>
                </mc:Choice>
                <mc:Fallback>
                  <w:pict>
                    <v:shape id="自选图形 248" o:spid="_x0000_s1026" o:spt="61" type="#_x0000_t61" style="position:absolute;left:0pt;margin-left:196.4pt;margin-top:306.65pt;height:32.65pt;width:124.1pt;z-index:251662336;mso-width-relative:page;mso-height-relative:page;" fillcolor="#FFFFFF" filled="t" stroked="t" coordsize="21600,21600" o:gfxdata="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D&#10;quQz2wAAAAsBAAAPAAAAAAAAAAEAIAAAACIAAABkcnMvZG93bnJldi54bWxQSwECFAAUAAAACACH&#10;TuJAAO2vUFoCAADDBAAADgAAAAAAAAABACAAAAAqAQAAZHJzL2Uyb0RvYy54bWxQSwUGAAAAAAYA&#10;BgBZAQAA9gUAAAAA&#10;" adj="-6915,78627">
                      <v:fill on="t" focussize="0,0"/>
                      <v:stroke color="#FF0000" joinstyle="miter"/>
                      <v:imagedata o:title=""/>
                      <o:lock v:ext="edit" aspectratio="f"/>
                      <v:textbox>
                        <w:txbxContent>
                          <w:p w14:paraId="32B5889D">
                            <w:pPr>
                              <w:keepNext w:val="0"/>
                              <w:keepLines w:val="0"/>
                              <w:pageBreakBefore w:val="0"/>
                              <w:widowControl w:val="0"/>
                              <w:kinsoku/>
                              <w:wordWrap/>
                              <w:overflowPunct/>
                              <w:topLinePunct w:val="0"/>
                              <w:autoSpaceDE/>
                              <w:autoSpaceDN/>
                              <w:bidi w:val="0"/>
                              <w:adjustRightInd/>
                              <w:snapToGrid/>
                              <w:ind w:left="0" w:leftChars="0"/>
                              <w:jc w:val="both"/>
                              <w:textAlignment w:val="auto"/>
                              <w:rPr>
                                <w:rFonts w:hint="default" w:ascii="宋体" w:hAnsi="宋体" w:eastAsia="宋体" w:cs="宋体"/>
                                <w:color w:val="FF0000"/>
                                <w:lang w:val="en-US" w:eastAsia="zh-CN"/>
                              </w:rPr>
                            </w:pPr>
                            <w:r>
                              <w:rPr>
                                <w:rFonts w:hint="eastAsia" w:cs="宋体"/>
                                <w:color w:val="FF0000"/>
                                <w:lang w:val="en-US" w:eastAsia="zh-CN"/>
                              </w:rPr>
                              <w:t>本项目拟建区域</w:t>
                            </w:r>
                          </w:p>
                        </w:txbxContent>
                      </v:textbox>
                    </v:shape>
                  </w:pict>
                </mc:Fallback>
              </mc:AlternateContent>
            </w:r>
            <w:r>
              <w:rPr>
                <w:rFonts w:hint="default" w:ascii="Times New Roman" w:hAnsi="Times New Roman" w:cs="Times New Roman" w:eastAsiaTheme="minorEastAsia"/>
                <w:color w:val="FF0000"/>
                <w:sz w:val="28"/>
                <w:highlight w:val="none"/>
              </w:rPr>
              <mc:AlternateContent>
                <mc:Choice Requires="wps">
                  <w:drawing>
                    <wp:anchor distT="0" distB="0" distL="114300" distR="114300" simplePos="0" relativeHeight="251664384" behindDoc="0" locked="0" layoutInCell="1" allowOverlap="1">
                      <wp:simplePos x="0" y="0"/>
                      <wp:positionH relativeFrom="column">
                        <wp:posOffset>1879600</wp:posOffset>
                      </wp:positionH>
                      <wp:positionV relativeFrom="paragraph">
                        <wp:posOffset>5372735</wp:posOffset>
                      </wp:positionV>
                      <wp:extent cx="119380" cy="75565"/>
                      <wp:effectExtent l="12700" t="12700" r="20320" b="26035"/>
                      <wp:wrapNone/>
                      <wp:docPr id="85" name="圆角矩形 85"/>
                      <wp:cNvGraphicFramePr/>
                      <a:graphic xmlns:a="http://schemas.openxmlformats.org/drawingml/2006/main">
                        <a:graphicData uri="http://schemas.microsoft.com/office/word/2010/wordprocessingShape">
                          <wps:wsp>
                            <wps:cNvSpPr/>
                            <wps:spPr>
                              <a:xfrm>
                                <a:off x="3869055" y="6612890"/>
                                <a:ext cx="119380" cy="75565"/>
                              </a:xfrm>
                              <a:prstGeom prst="roundRect">
                                <a:avLst/>
                              </a:prstGeom>
                              <a:solidFill>
                                <a:srgbClr val="FF0000"/>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48pt;margin-top:423.05pt;height:5.95pt;width:9.4pt;z-index:251664384;v-text-anchor:middle;mso-width-relative:page;mso-height-relative:page;" fillcolor="#FF0000" filled="t" stroked="t" coordsize="21600,21600" arcsize="0.166666666666667" o:gfxdata="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CGOvrfaAAAACwEAAA8AAAAA&#10;AAAAAQAgAAAAIgAAAGRycy9kb3ducmV2LnhtbFBLAQIUABQAAAAIAIdO4kD8VUfohAIAAPQEAAAO&#10;AAAAAAAAAAEAIAAAACkBAABkcnMvZTJvRG9jLnhtbFBLBQYAAAAABgAGAFkBAAAfBgAAAAA=&#10;">
                      <v:fill on="t" focussize="0,0"/>
                      <v:stroke weight="2pt" color="#000000 [3213]" joinstyle="round"/>
                      <v:imagedata o:title=""/>
                      <o:lock v:ext="edit" aspectratio="f"/>
                    </v:roundrect>
                  </w:pict>
                </mc:Fallback>
              </mc:AlternateContent>
            </w:r>
            <w:r>
              <w:rPr>
                <w:rFonts w:hint="default" w:ascii="Times New Roman" w:hAnsi="Times New Roman" w:cs="Times New Roman" w:eastAsiaTheme="minorEastAsia"/>
                <w:color w:val="FF0000"/>
                <w:sz w:val="28"/>
                <w:highlight w:val="none"/>
                <w:vertAlign w:val="baseline"/>
                <w:lang w:val="en-US" w:eastAsia="zh-CN"/>
              </w:rPr>
              <w:drawing>
                <wp:anchor distT="0" distB="0" distL="114300" distR="114300" simplePos="0" relativeHeight="251667456" behindDoc="0" locked="0" layoutInCell="1" allowOverlap="1">
                  <wp:simplePos x="0" y="0"/>
                  <wp:positionH relativeFrom="column">
                    <wp:posOffset>2473325</wp:posOffset>
                  </wp:positionH>
                  <wp:positionV relativeFrom="paragraph">
                    <wp:posOffset>7990205</wp:posOffset>
                  </wp:positionV>
                  <wp:extent cx="958215" cy="297180"/>
                  <wp:effectExtent l="0" t="0" r="13335" b="7620"/>
                  <wp:wrapNone/>
                  <wp:docPr id="163" name="图片 163" descr="1727063340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descr="1727063340340"/>
                          <pic:cNvPicPr>
                            <a:picLocks noChangeAspect="1"/>
                          </pic:cNvPicPr>
                        </pic:nvPicPr>
                        <pic:blipFill>
                          <a:blip r:embed="rId25"/>
                          <a:stretch>
                            <a:fillRect/>
                          </a:stretch>
                        </pic:blipFill>
                        <pic:spPr>
                          <a:xfrm>
                            <a:off x="0" y="0"/>
                            <a:ext cx="958215" cy="297180"/>
                          </a:xfrm>
                          <a:prstGeom prst="rect">
                            <a:avLst/>
                          </a:prstGeom>
                        </pic:spPr>
                      </pic:pic>
                    </a:graphicData>
                  </a:graphic>
                </wp:anchor>
              </w:drawing>
            </w:r>
            <w:r>
              <w:rPr>
                <w:rFonts w:hint="default" w:ascii="Times New Roman" w:hAnsi="Times New Roman" w:cs="Times New Roman" w:eastAsiaTheme="minorEastAsia"/>
                <w:b/>
                <w:color w:val="FF0000"/>
                <w:sz w:val="24"/>
                <w:highlight w:val="none"/>
              </w:rPr>
              <w:drawing>
                <wp:anchor distT="0" distB="0" distL="114300" distR="114300" simplePos="0" relativeHeight="251663360" behindDoc="0" locked="0" layoutInCell="1" allowOverlap="1">
                  <wp:simplePos x="0" y="0"/>
                  <wp:positionH relativeFrom="column">
                    <wp:posOffset>4956175</wp:posOffset>
                  </wp:positionH>
                  <wp:positionV relativeFrom="paragraph">
                    <wp:posOffset>235585</wp:posOffset>
                  </wp:positionV>
                  <wp:extent cx="480695" cy="810260"/>
                  <wp:effectExtent l="0" t="0" r="14605" b="8890"/>
                  <wp:wrapNone/>
                  <wp:docPr id="4" name="图片 29" descr="指北针（透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9" descr="指北针（透明）"/>
                          <pic:cNvPicPr>
                            <a:picLocks noChangeAspect="1"/>
                          </pic:cNvPicPr>
                        </pic:nvPicPr>
                        <pic:blipFill>
                          <a:blip r:embed="rId26">
                            <a:clrChange>
                              <a:clrFrom>
                                <a:srgbClr val="FFFFFF"/>
                              </a:clrFrom>
                              <a:clrTo>
                                <a:srgbClr val="FFFFFF">
                                  <a:alpha val="0"/>
                                </a:srgbClr>
                              </a:clrTo>
                            </a:clrChange>
                          </a:blip>
                          <a:stretch>
                            <a:fillRect/>
                          </a:stretch>
                        </pic:blipFill>
                        <pic:spPr>
                          <a:xfrm>
                            <a:off x="0" y="0"/>
                            <a:ext cx="480695" cy="810260"/>
                          </a:xfrm>
                          <a:prstGeom prst="rect">
                            <a:avLst/>
                          </a:prstGeom>
                          <a:solidFill>
                            <a:srgbClr val="FFFFFF"/>
                          </a:solidFill>
                          <a:ln>
                            <a:noFill/>
                          </a:ln>
                        </pic:spPr>
                      </pic:pic>
                    </a:graphicData>
                  </a:graphic>
                </wp:anchor>
              </w:drawing>
            </w:r>
            <w:r>
              <w:rPr>
                <w:rFonts w:hint="default" w:ascii="Times New Roman" w:hAnsi="Times New Roman" w:cs="Times New Roman" w:eastAsiaTheme="minorEastAsia"/>
                <w:color w:val="FF0000"/>
                <w:sz w:val="28"/>
                <w:highlight w:val="none"/>
                <w:vertAlign w:val="baseline"/>
                <w:lang w:eastAsia="zh-CN"/>
              </w:rPr>
              <w:drawing>
                <wp:inline distT="0" distB="0" distL="114300" distR="114300">
                  <wp:extent cx="5611495" cy="8402955"/>
                  <wp:effectExtent l="0" t="0" r="8255" b="17145"/>
                  <wp:docPr id="89" name="图片 285" descr="乌鲁木齐市政区(普染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85" descr="乌鲁木齐市政区(普染版)"/>
                          <pic:cNvPicPr>
                            <a:picLocks noChangeAspect="1"/>
                          </pic:cNvPicPr>
                        </pic:nvPicPr>
                        <pic:blipFill>
                          <a:blip r:embed="rId27"/>
                          <a:srcRect l="3077" t="1790" r="6494" b="3178"/>
                          <a:stretch>
                            <a:fillRect/>
                          </a:stretch>
                        </pic:blipFill>
                        <pic:spPr>
                          <a:xfrm>
                            <a:off x="0" y="0"/>
                            <a:ext cx="5611495" cy="8402955"/>
                          </a:xfrm>
                          <a:prstGeom prst="rect">
                            <a:avLst/>
                          </a:prstGeom>
                          <a:noFill/>
                          <a:ln>
                            <a:noFill/>
                          </a:ln>
                        </pic:spPr>
                      </pic:pic>
                    </a:graphicData>
                  </a:graphic>
                </wp:inline>
              </w:drawing>
            </w:r>
          </w:p>
        </w:tc>
        <w:tc>
          <w:tcPr>
            <w:tcW w:w="9286" w:type="dxa"/>
            <w:vAlign w:val="top"/>
          </w:tcPr>
          <w:p w14:paraId="2F77066C">
            <w:pPr>
              <w:adjustRightInd w:val="0"/>
              <w:snapToGrid w:val="0"/>
              <w:spacing w:line="360" w:lineRule="auto"/>
              <w:ind w:left="0" w:leftChars="0" w:firstLine="0" w:firstLineChars="0"/>
              <w:jc w:val="center"/>
              <w:rPr>
                <w:rFonts w:hint="default" w:ascii="Times New Roman" w:hAnsi="Times New Roman" w:cs="Times New Roman" w:eastAsiaTheme="minorEastAsia"/>
                <w:color w:val="FF0000"/>
                <w:sz w:val="28"/>
                <w:highlight w:val="none"/>
              </w:rPr>
            </w:pPr>
          </w:p>
        </w:tc>
      </w:tr>
      <w:tr w14:paraId="410943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286" w:type="dxa"/>
            <w:vAlign w:val="top"/>
          </w:tcPr>
          <w:p w14:paraId="535309C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inorEastAsia"/>
                <w:color w:val="FF0000"/>
                <w:sz w:val="28"/>
                <w:highlight w:val="none"/>
                <w:vertAlign w:val="baseline"/>
                <w:lang w:val="en-US" w:eastAsia="zh-CN"/>
              </w:rPr>
            </w:pPr>
            <w:r>
              <w:rPr>
                <w:rFonts w:hint="default" w:ascii="Times New Roman" w:hAnsi="Times New Roman" w:cs="Times New Roman" w:eastAsiaTheme="minorEastAsia"/>
                <w:b/>
                <w:color w:val="000000" w:themeColor="text1"/>
                <w:sz w:val="24"/>
                <w:highlight w:val="none"/>
                <w:lang w:val="en-US" w:eastAsia="zh-CN"/>
                <w14:textFill>
                  <w14:solidFill>
                    <w14:schemeClr w14:val="tx1"/>
                  </w14:solidFill>
                </w14:textFill>
              </w:rPr>
              <w:t>图3.1-1    本项目地理位置</w:t>
            </w:r>
            <w:r>
              <w:rPr>
                <w:rFonts w:hint="eastAsia" w:cs="Times New Roman" w:eastAsiaTheme="minorEastAsia"/>
                <w:b/>
                <w:color w:val="000000" w:themeColor="text1"/>
                <w:sz w:val="24"/>
                <w:highlight w:val="none"/>
                <w:lang w:val="en-US" w:eastAsia="zh-CN"/>
                <w14:textFill>
                  <w14:solidFill>
                    <w14:schemeClr w14:val="tx1"/>
                  </w14:solidFill>
                </w14:textFill>
              </w:rPr>
              <w:t>示意</w:t>
            </w:r>
            <w:r>
              <w:rPr>
                <w:rFonts w:hint="default" w:ascii="Times New Roman" w:hAnsi="Times New Roman" w:cs="Times New Roman" w:eastAsiaTheme="minorEastAsia"/>
                <w:b/>
                <w:color w:val="000000" w:themeColor="text1"/>
                <w:sz w:val="24"/>
                <w:highlight w:val="none"/>
                <w:lang w:val="en-US" w:eastAsia="zh-CN"/>
                <w14:textFill>
                  <w14:solidFill>
                    <w14:schemeClr w14:val="tx1"/>
                  </w14:solidFill>
                </w14:textFill>
              </w:rPr>
              <w:t>图</w:t>
            </w:r>
          </w:p>
        </w:tc>
        <w:tc>
          <w:tcPr>
            <w:tcW w:w="9286" w:type="dxa"/>
            <w:vAlign w:val="top"/>
          </w:tcPr>
          <w:p w14:paraId="138169D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inorEastAsia"/>
                <w:b/>
                <w:color w:val="FF0000"/>
                <w:sz w:val="24"/>
                <w:highlight w:val="none"/>
                <w:lang w:val="en-US" w:eastAsia="zh-CN"/>
              </w:rPr>
            </w:pPr>
          </w:p>
        </w:tc>
      </w:tr>
    </w:tbl>
    <w:p w14:paraId="2DA07023">
      <w:pPr>
        <w:rPr>
          <w:rFonts w:hint="default" w:ascii="Times New Roman" w:hAnsi="Times New Roman" w:cs="Times New Roman" w:eastAsiaTheme="minorEastAsia"/>
          <w:b/>
          <w:color w:val="FF0000"/>
          <w:sz w:val="24"/>
          <w:highlight w:val="none"/>
          <w:lang w:val="en-US" w:eastAsia="zh-CN"/>
        </w:rPr>
      </w:pPr>
      <w:r>
        <w:rPr>
          <w:rFonts w:hint="default" w:ascii="Times New Roman" w:hAnsi="Times New Roman" w:cs="Times New Roman" w:eastAsiaTheme="minorEastAsia"/>
          <w:b/>
          <w:color w:val="FF0000"/>
          <w:sz w:val="24"/>
          <w:highlight w:val="none"/>
          <w:lang w:val="en-US" w:eastAsia="zh-CN"/>
        </w:rPr>
        <w:br w:type="page"/>
      </w:r>
    </w:p>
    <w:p w14:paraId="438E9F84">
      <w:pPr>
        <w:pStyle w:val="19"/>
        <w:rPr>
          <w:rFonts w:hint="default" w:ascii="Times New Roman" w:hAnsi="Times New Roman" w:cs="Times New Roman" w:eastAsiaTheme="minorEastAsia"/>
          <w:color w:val="FF0000"/>
          <w:highlight w:val="none"/>
          <w:lang w:val="en-US" w:eastAsia="zh-CN"/>
        </w:rPr>
        <w:sectPr>
          <w:pgSz w:w="11906" w:h="16838"/>
          <w:pgMar w:top="1417" w:right="1418" w:bottom="1417" w:left="1418" w:header="1077" w:footer="992" w:gutter="0"/>
          <w:pgBorders>
            <w:top w:val="none" w:sz="0" w:space="0"/>
            <w:left w:val="none" w:sz="0" w:space="0"/>
            <w:bottom w:val="none" w:sz="0" w:space="0"/>
            <w:right w:val="none" w:sz="0" w:space="0"/>
          </w:pgBorders>
          <w:pgNumType w:fmt="decimal"/>
          <w:cols w:space="720" w:num="1"/>
          <w:rtlGutter w:val="0"/>
          <w:docGrid w:type="lines" w:linePitch="312" w:charSpace="0"/>
        </w:sectPr>
      </w:pPr>
    </w:p>
    <w:p w14:paraId="286B83B0">
      <w:pPr>
        <w:pStyle w:val="11"/>
        <w:keepNext/>
        <w:keepLines/>
        <w:pageBreakBefore w:val="0"/>
        <w:widowControl w:val="0"/>
        <w:kinsoku/>
        <w:wordWrap/>
        <w:overflowPunct/>
        <w:topLinePunct w:val="0"/>
        <w:autoSpaceDE/>
        <w:autoSpaceDN/>
        <w:bidi w:val="0"/>
        <w:adjustRightInd/>
        <w:snapToGrid/>
        <w:ind w:left="0"/>
        <w:textAlignment w:val="auto"/>
        <w:outlineLvl w:val="2"/>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bookmarkStart w:id="228" w:name="_Toc11664"/>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 xml:space="preserve">3.1.2 </w:t>
      </w:r>
      <w:bookmarkEnd w:id="228"/>
      <w:r>
        <w:rPr>
          <w:rFonts w:hint="eastAsia" w:cs="Times New Roman" w:eastAsiaTheme="minorEastAsia"/>
          <w:color w:val="000000" w:themeColor="text1"/>
          <w:highlight w:val="none"/>
          <w:lang w:val="en-US" w:eastAsia="zh-CN"/>
          <w14:textFill>
            <w14:solidFill>
              <w14:schemeClr w14:val="tx1"/>
            </w14:solidFill>
          </w14:textFill>
        </w:rPr>
        <w:t>工程组成</w:t>
      </w:r>
    </w:p>
    <w:p w14:paraId="0A2DC13F">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FF0000"/>
          <w:sz w:val="24"/>
          <w:highlight w:val="none"/>
          <w:lang w:val="en-US" w:eastAsia="zh-CN"/>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风电场区建设内容主要包括风电机组及箱变、进场道路、公用工程、环保工程等；风电场区项目组成内容见表3.1-</w:t>
      </w:r>
      <w:r>
        <w:rPr>
          <w:rFonts w:hint="eastAsia" w:cs="Times New Roman" w:eastAsiaTheme="minorEastAsia"/>
          <w:snapToGrid w:val="0"/>
          <w:color w:val="000000" w:themeColor="text1"/>
          <w:sz w:val="24"/>
          <w:highlight w:val="none"/>
          <w:lang w:val="en-US" w:eastAsia="zh-CN"/>
          <w14:textFill>
            <w14:solidFill>
              <w14:schemeClr w14:val="tx1"/>
            </w14:solidFill>
          </w14:textFill>
        </w:rPr>
        <w:t>2</w:t>
      </w:r>
      <w:r>
        <w:rPr>
          <w:rFonts w:hint="default" w:ascii="Times New Roman" w:hAnsi="Times New Roman" w:cs="Times New Roman" w:eastAsiaTheme="minorEastAsia"/>
          <w:snapToGrid w:val="0"/>
          <w:color w:val="FF0000"/>
          <w:sz w:val="24"/>
          <w:highlight w:val="none"/>
          <w:lang w:val="en-US" w:eastAsia="zh-CN"/>
        </w:rPr>
        <w:t>。</w:t>
      </w:r>
      <w:bookmarkStart w:id="229" w:name="OLE_LINK32"/>
      <w:bookmarkStart w:id="230" w:name="_Toc340737484"/>
      <w:bookmarkStart w:id="231" w:name="_Toc340737488"/>
      <w:bookmarkStart w:id="232" w:name="_Toc313005866"/>
      <w:bookmarkStart w:id="233" w:name="_Toc294859097"/>
      <w:bookmarkStart w:id="234" w:name="_Toc285183743"/>
    </w:p>
    <w:p w14:paraId="58973CB8">
      <w:pPr>
        <w:pStyle w:val="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eastAsiaTheme="minorEastAsia"/>
          <w:b/>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b/>
          <w:color w:val="000000" w:themeColor="text1"/>
          <w:kern w:val="0"/>
          <w:sz w:val="24"/>
          <w:highlight w:val="none"/>
          <w:lang w:val="en-US" w:eastAsia="zh-CN"/>
          <w14:textFill>
            <w14:solidFill>
              <w14:schemeClr w14:val="tx1"/>
            </w14:solidFill>
          </w14:textFill>
        </w:rPr>
        <w:t>表3.1-</w:t>
      </w:r>
      <w:r>
        <w:rPr>
          <w:rFonts w:hint="eastAsia" w:cs="Times New Roman" w:eastAsiaTheme="minorEastAsia"/>
          <w:b/>
          <w:color w:val="000000" w:themeColor="text1"/>
          <w:kern w:val="0"/>
          <w:sz w:val="24"/>
          <w:highlight w:val="none"/>
          <w:lang w:val="en-US" w:eastAsia="zh-CN"/>
          <w14:textFill>
            <w14:solidFill>
              <w14:schemeClr w14:val="tx1"/>
            </w14:solidFill>
          </w14:textFill>
        </w:rPr>
        <w:t>2</w:t>
      </w:r>
      <w:r>
        <w:rPr>
          <w:rFonts w:hint="default" w:ascii="Times New Roman" w:hAnsi="Times New Roman" w:cs="Times New Roman" w:eastAsiaTheme="minorEastAsia"/>
          <w:b/>
          <w:color w:val="000000" w:themeColor="text1"/>
          <w:kern w:val="0"/>
          <w:sz w:val="24"/>
          <w:highlight w:val="none"/>
          <w:lang w:val="en-US" w:eastAsia="zh-CN"/>
          <w14:textFill>
            <w14:solidFill>
              <w14:schemeClr w14:val="tx1"/>
            </w14:solidFill>
          </w14:textFill>
        </w:rPr>
        <w:t xml:space="preserve">    风电场区项目组成一览表</w:t>
      </w:r>
    </w:p>
    <w:tbl>
      <w:tblPr>
        <w:tblStyle w:val="76"/>
        <w:tblW w:w="9280"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682"/>
        <w:gridCol w:w="1105"/>
        <w:gridCol w:w="7493"/>
      </w:tblGrid>
      <w:tr w14:paraId="4C845BA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tblHeader/>
          <w:jc w:val="center"/>
        </w:trPr>
        <w:tc>
          <w:tcPr>
            <w:tcW w:w="1787" w:type="dxa"/>
            <w:gridSpan w:val="2"/>
            <w:tcBorders>
              <w:tl2br w:val="nil"/>
              <w:tr2bl w:val="nil"/>
            </w:tcBorders>
            <w:vAlign w:val="center"/>
          </w:tcPr>
          <w:p w14:paraId="357E117A">
            <w:pPr>
              <w:pStyle w:val="8"/>
              <w:keepNext w:val="0"/>
              <w:keepLines w:val="0"/>
              <w:pageBreakBefore w:val="0"/>
              <w:widowControl w:val="0"/>
              <w:kinsoku/>
              <w:wordWrap w:val="0"/>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val="0"/>
                <w:bCs/>
                <w:color w:val="000000" w:themeColor="text1"/>
                <w:sz w:val="21"/>
                <w:szCs w:val="21"/>
                <w:highlight w:val="none"/>
                <w:vertAlign w:val="baseline"/>
                <w:lang w:val="en-US" w:eastAsia="zh-CN"/>
                <w14:textFill>
                  <w14:solidFill>
                    <w14:schemeClr w14:val="tx1"/>
                  </w14:solidFill>
                </w14:textFill>
              </w:rPr>
              <w:t>项目名称</w:t>
            </w:r>
          </w:p>
        </w:tc>
        <w:tc>
          <w:tcPr>
            <w:tcW w:w="7493" w:type="dxa"/>
            <w:tcBorders>
              <w:tl2br w:val="nil"/>
              <w:tr2bl w:val="nil"/>
            </w:tcBorders>
            <w:vAlign w:val="center"/>
          </w:tcPr>
          <w:p w14:paraId="14A648CF">
            <w:pPr>
              <w:pStyle w:val="8"/>
              <w:keepNext w:val="0"/>
              <w:keepLines w:val="0"/>
              <w:pageBreakBefore w:val="0"/>
              <w:widowControl w:val="0"/>
              <w:kinsoku/>
              <w:wordWrap w:val="0"/>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val="0"/>
                <w:bCs/>
                <w:color w:val="000000" w:themeColor="text1"/>
                <w:sz w:val="21"/>
                <w:szCs w:val="21"/>
                <w:highlight w:val="none"/>
                <w:vertAlign w:val="baseline"/>
                <w:lang w:val="en-US" w:eastAsia="zh-CN"/>
                <w14:textFill>
                  <w14:solidFill>
                    <w14:schemeClr w14:val="tx1"/>
                  </w14:solidFill>
                </w14:textFill>
              </w:rPr>
              <w:t>主要内容</w:t>
            </w:r>
          </w:p>
        </w:tc>
      </w:tr>
      <w:tr w14:paraId="0D9F706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82" w:type="dxa"/>
            <w:vMerge w:val="restart"/>
            <w:tcBorders>
              <w:tl2br w:val="nil"/>
              <w:tr2bl w:val="nil"/>
            </w:tcBorders>
            <w:vAlign w:val="center"/>
          </w:tcPr>
          <w:p w14:paraId="33C33FC6">
            <w:pPr>
              <w:pStyle w:val="8"/>
              <w:keepNext w:val="0"/>
              <w:keepLines w:val="0"/>
              <w:pageBreakBefore w:val="0"/>
              <w:widowControl w:val="0"/>
              <w:kinsoku/>
              <w:wordWrap w:val="0"/>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b w:val="0"/>
                <w:bCs/>
                <w:snapToGrid w:val="0"/>
                <w:color w:val="FF0000"/>
                <w:sz w:val="21"/>
                <w:szCs w:val="21"/>
                <w:highlight w:val="none"/>
                <w:lang w:val="en-US" w:eastAsia="zh-CN"/>
              </w:rPr>
            </w:pPr>
          </w:p>
          <w:p w14:paraId="6BDDF0D7">
            <w:pPr>
              <w:pStyle w:val="8"/>
              <w:keepNext w:val="0"/>
              <w:keepLines w:val="0"/>
              <w:pageBreakBefore w:val="0"/>
              <w:widowControl w:val="0"/>
              <w:kinsoku/>
              <w:wordWrap w:val="0"/>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b w:val="0"/>
                <w:bCs/>
                <w:snapToGrid w:val="0"/>
                <w:color w:val="FF0000"/>
                <w:sz w:val="21"/>
                <w:szCs w:val="21"/>
                <w:highlight w:val="none"/>
                <w:lang w:val="en-US" w:eastAsia="zh-CN"/>
              </w:rPr>
            </w:pPr>
          </w:p>
          <w:p w14:paraId="75091838">
            <w:pPr>
              <w:pStyle w:val="8"/>
              <w:keepNext w:val="0"/>
              <w:keepLines w:val="0"/>
              <w:pageBreakBefore w:val="0"/>
              <w:widowControl w:val="0"/>
              <w:kinsoku/>
              <w:wordWrap w:val="0"/>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b w:val="0"/>
                <w:bCs/>
                <w:snapToGrid w:val="0"/>
                <w:color w:val="FF0000"/>
                <w:sz w:val="21"/>
                <w:szCs w:val="21"/>
                <w:highlight w:val="none"/>
                <w:lang w:val="en-US" w:eastAsia="zh-CN"/>
              </w:rPr>
            </w:pPr>
          </w:p>
          <w:p w14:paraId="180E7F86">
            <w:pPr>
              <w:pStyle w:val="8"/>
              <w:keepNext w:val="0"/>
              <w:keepLines w:val="0"/>
              <w:pageBreakBefore w:val="0"/>
              <w:widowControl w:val="0"/>
              <w:kinsoku/>
              <w:wordWrap w:val="0"/>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b w:val="0"/>
                <w:bCs/>
                <w:snapToGrid w:val="0"/>
                <w:color w:val="FF0000"/>
                <w:sz w:val="21"/>
                <w:szCs w:val="21"/>
                <w:highlight w:val="none"/>
                <w:lang w:val="en-US" w:eastAsia="zh-CN"/>
              </w:rPr>
            </w:pPr>
          </w:p>
          <w:p w14:paraId="7D57046A">
            <w:pPr>
              <w:pStyle w:val="8"/>
              <w:keepNext w:val="0"/>
              <w:keepLines w:val="0"/>
              <w:pageBreakBefore w:val="0"/>
              <w:widowControl w:val="0"/>
              <w:kinsoku/>
              <w:wordWrap w:val="0"/>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b w:val="0"/>
                <w:bCs/>
                <w:snapToGrid w:val="0"/>
                <w:color w:val="FF0000"/>
                <w:sz w:val="21"/>
                <w:szCs w:val="21"/>
                <w:highlight w:val="none"/>
                <w:lang w:val="en-US" w:eastAsia="zh-CN"/>
              </w:rPr>
            </w:pPr>
          </w:p>
          <w:p w14:paraId="72423824">
            <w:pPr>
              <w:pStyle w:val="8"/>
              <w:keepNext w:val="0"/>
              <w:keepLines w:val="0"/>
              <w:pageBreakBefore w:val="0"/>
              <w:widowControl w:val="0"/>
              <w:kinsoku/>
              <w:wordWrap w:val="0"/>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b w:val="0"/>
                <w:bCs/>
                <w:snapToGrid w:val="0"/>
                <w:color w:val="FF0000"/>
                <w:sz w:val="21"/>
                <w:szCs w:val="21"/>
                <w:highlight w:val="none"/>
                <w:lang w:val="en-US" w:eastAsia="zh-CN"/>
              </w:rPr>
            </w:pPr>
          </w:p>
          <w:p w14:paraId="2B93A80E">
            <w:pPr>
              <w:pStyle w:val="8"/>
              <w:keepNext w:val="0"/>
              <w:keepLines w:val="0"/>
              <w:pageBreakBefore w:val="0"/>
              <w:widowControl w:val="0"/>
              <w:kinsoku/>
              <w:wordWrap w:val="0"/>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b w:val="0"/>
                <w:bCs/>
                <w:snapToGrid w:val="0"/>
                <w:color w:val="FF0000"/>
                <w:sz w:val="21"/>
                <w:szCs w:val="21"/>
                <w:highlight w:val="none"/>
                <w:lang w:val="en-US" w:eastAsia="zh-CN"/>
              </w:rPr>
            </w:pPr>
          </w:p>
          <w:p w14:paraId="5668985A">
            <w:pPr>
              <w:pStyle w:val="8"/>
              <w:keepNext w:val="0"/>
              <w:keepLines w:val="0"/>
              <w:pageBreakBefore w:val="0"/>
              <w:widowControl w:val="0"/>
              <w:kinsoku/>
              <w:wordWrap w:val="0"/>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b w:val="0"/>
                <w:bCs/>
                <w:snapToGrid w:val="0"/>
                <w:color w:val="FF0000"/>
                <w:sz w:val="21"/>
                <w:szCs w:val="21"/>
                <w:highlight w:val="none"/>
                <w:lang w:val="en-US" w:eastAsia="zh-CN"/>
              </w:rPr>
            </w:pPr>
          </w:p>
          <w:p w14:paraId="6456E377">
            <w:pPr>
              <w:pStyle w:val="8"/>
              <w:keepNext w:val="0"/>
              <w:keepLines w:val="0"/>
              <w:pageBreakBefore w:val="0"/>
              <w:widowControl w:val="0"/>
              <w:kinsoku/>
              <w:wordWrap w:val="0"/>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b w:val="0"/>
                <w:bCs/>
                <w:snapToGrid w:val="0"/>
                <w:color w:val="FF0000"/>
                <w:sz w:val="21"/>
                <w:szCs w:val="21"/>
                <w:highlight w:val="none"/>
                <w:lang w:val="en-US" w:eastAsia="zh-CN"/>
              </w:rPr>
            </w:pPr>
          </w:p>
          <w:p w14:paraId="6BC733BC">
            <w:pPr>
              <w:pStyle w:val="8"/>
              <w:keepNext w:val="0"/>
              <w:keepLines w:val="0"/>
              <w:pageBreakBefore w:val="0"/>
              <w:widowControl w:val="0"/>
              <w:kinsoku/>
              <w:wordWrap w:val="0"/>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b w:val="0"/>
                <w:bCs/>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snapToGrid w:val="0"/>
                <w:color w:val="000000" w:themeColor="text1"/>
                <w:sz w:val="21"/>
                <w:szCs w:val="21"/>
                <w:highlight w:val="none"/>
                <w:lang w:val="en-US" w:eastAsia="zh-CN"/>
                <w14:textFill>
                  <w14:solidFill>
                    <w14:schemeClr w14:val="tx1"/>
                  </w14:solidFill>
                </w14:textFill>
              </w:rPr>
              <w:t>主体工程</w:t>
            </w:r>
          </w:p>
          <w:p w14:paraId="116250BA">
            <w:pPr>
              <w:pStyle w:val="8"/>
              <w:keepNext w:val="0"/>
              <w:keepLines w:val="0"/>
              <w:pageBreakBefore w:val="0"/>
              <w:widowControl w:val="0"/>
              <w:kinsoku/>
              <w:wordWrap w:val="0"/>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b w:val="0"/>
                <w:bCs/>
                <w:color w:val="FF0000"/>
                <w:sz w:val="21"/>
                <w:szCs w:val="21"/>
                <w:highlight w:val="none"/>
                <w:vertAlign w:val="baseline"/>
                <w:lang w:val="en-US" w:eastAsia="zh-CN"/>
              </w:rPr>
            </w:pPr>
          </w:p>
        </w:tc>
        <w:tc>
          <w:tcPr>
            <w:tcW w:w="1105" w:type="dxa"/>
            <w:tcBorders>
              <w:tl2br w:val="nil"/>
              <w:tr2bl w:val="nil"/>
            </w:tcBorders>
            <w:vAlign w:val="center"/>
          </w:tcPr>
          <w:p w14:paraId="28037F7B">
            <w:pPr>
              <w:pStyle w:val="8"/>
              <w:keepNext w:val="0"/>
              <w:keepLines w:val="0"/>
              <w:pageBreakBefore w:val="0"/>
              <w:widowControl w:val="0"/>
              <w:kinsoku/>
              <w:wordWrap w:val="0"/>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b w:val="0"/>
                <w:bCs/>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snapToGrid w:val="0"/>
                <w:color w:val="000000" w:themeColor="text1"/>
                <w:sz w:val="21"/>
                <w:szCs w:val="21"/>
                <w:highlight w:val="none"/>
                <w:lang w:val="en-US" w:eastAsia="zh-CN"/>
                <w14:textFill>
                  <w14:solidFill>
                    <w14:schemeClr w14:val="tx1"/>
                  </w14:solidFill>
                </w14:textFill>
              </w:rPr>
              <w:t>风机</w:t>
            </w:r>
          </w:p>
        </w:tc>
        <w:tc>
          <w:tcPr>
            <w:tcW w:w="7493" w:type="dxa"/>
            <w:tcBorders>
              <w:tl2br w:val="nil"/>
              <w:tr2bl w:val="nil"/>
            </w:tcBorders>
            <w:vAlign w:val="center"/>
          </w:tcPr>
          <w:p w14:paraId="53D1BE18">
            <w:pPr>
              <w:pStyle w:val="8"/>
              <w:keepNext w:val="0"/>
              <w:keepLines w:val="0"/>
              <w:pageBreakBefore w:val="0"/>
              <w:widowControl w:val="0"/>
              <w:kinsoku/>
              <w:wordWrap w:val="0"/>
              <w:overflowPunct/>
              <w:topLinePunct w:val="0"/>
              <w:autoSpaceDE/>
              <w:autoSpaceDN/>
              <w:bidi w:val="0"/>
              <w:adjustRightInd w:val="0"/>
              <w:snapToGrid w:val="0"/>
              <w:spacing w:after="0" w:line="320" w:lineRule="exact"/>
              <w:ind w:left="0" w:leftChars="0" w:firstLine="0" w:firstLineChars="0"/>
              <w:jc w:val="left"/>
              <w:textAlignment w:val="auto"/>
              <w:rPr>
                <w:rFonts w:hint="default" w:ascii="Times New Roman" w:hAnsi="Times New Roman" w:cs="Times New Roman" w:eastAsiaTheme="minorEastAsia"/>
                <w:b w:val="0"/>
                <w:bCs/>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snapToGrid w:val="0"/>
                <w:color w:val="000000" w:themeColor="text1"/>
                <w:sz w:val="21"/>
                <w:szCs w:val="21"/>
                <w:highlight w:val="none"/>
                <w:lang w:val="en-US" w:eastAsia="zh-CN"/>
                <w14:textFill>
                  <w14:solidFill>
                    <w14:schemeClr w14:val="tx1"/>
                  </w14:solidFill>
                </w14:textFill>
              </w:rPr>
              <w:t>新建</w:t>
            </w:r>
            <w:r>
              <w:rPr>
                <w:rFonts w:hint="eastAsia" w:cs="Times New Roman" w:eastAsiaTheme="minorEastAsia"/>
                <w:b w:val="0"/>
                <w:bCs/>
                <w:snapToGrid w:val="0"/>
                <w:color w:val="000000" w:themeColor="text1"/>
                <w:sz w:val="21"/>
                <w:szCs w:val="21"/>
                <w:highlight w:val="none"/>
                <w:lang w:val="en-US" w:eastAsia="zh-CN"/>
                <w14:textFill>
                  <w14:solidFill>
                    <w14:schemeClr w14:val="tx1"/>
                  </w14:solidFill>
                </w14:textFill>
              </w:rPr>
              <w:t>20</w:t>
            </w:r>
            <w:r>
              <w:rPr>
                <w:rFonts w:hint="default" w:ascii="Times New Roman" w:hAnsi="Times New Roman" w:cs="Times New Roman" w:eastAsiaTheme="minorEastAsia"/>
                <w:b w:val="0"/>
                <w:bCs/>
                <w:snapToGrid w:val="0"/>
                <w:color w:val="000000" w:themeColor="text1"/>
                <w:sz w:val="21"/>
                <w:szCs w:val="21"/>
                <w:highlight w:val="none"/>
                <w:lang w:val="en-US" w:eastAsia="zh-CN"/>
                <w14:textFill>
                  <w14:solidFill>
                    <w14:schemeClr w14:val="tx1"/>
                  </w14:solidFill>
                </w14:textFill>
              </w:rPr>
              <w:t>台单机容量</w:t>
            </w:r>
            <w:r>
              <w:rPr>
                <w:rFonts w:hint="eastAsia" w:cs="Times New Roman" w:eastAsiaTheme="minorEastAsia"/>
                <w:b w:val="0"/>
                <w:bCs/>
                <w:snapToGrid w:val="0"/>
                <w:color w:val="000000" w:themeColor="text1"/>
                <w:sz w:val="21"/>
                <w:szCs w:val="21"/>
                <w:highlight w:val="none"/>
                <w:lang w:val="en-US" w:eastAsia="zh-CN"/>
                <w14:textFill>
                  <w14:solidFill>
                    <w14:schemeClr w14:val="tx1"/>
                  </w14:solidFill>
                </w14:textFill>
              </w:rPr>
              <w:t>7.15M</w:t>
            </w:r>
            <w:r>
              <w:rPr>
                <w:rFonts w:hint="default" w:ascii="Times New Roman" w:hAnsi="Times New Roman" w:cs="Times New Roman" w:eastAsiaTheme="minorEastAsia"/>
                <w:b w:val="0"/>
                <w:bCs/>
                <w:snapToGrid w:val="0"/>
                <w:color w:val="000000" w:themeColor="text1"/>
                <w:sz w:val="21"/>
                <w:szCs w:val="21"/>
                <w:highlight w:val="none"/>
                <w:lang w:val="en-US" w:eastAsia="zh-CN"/>
                <w14:textFill>
                  <w14:solidFill>
                    <w14:schemeClr w14:val="tx1"/>
                  </w14:solidFill>
                </w14:textFill>
              </w:rPr>
              <w:t>W的风电机组，总装机容量为1</w:t>
            </w:r>
            <w:r>
              <w:rPr>
                <w:rFonts w:hint="eastAsia" w:cs="Times New Roman" w:eastAsiaTheme="minorEastAsia"/>
                <w:b w:val="0"/>
                <w:bCs/>
                <w:snapToGrid w:val="0"/>
                <w:color w:val="000000" w:themeColor="text1"/>
                <w:sz w:val="21"/>
                <w:szCs w:val="21"/>
                <w:highlight w:val="none"/>
                <w:lang w:val="en-US" w:eastAsia="zh-CN"/>
                <w14:textFill>
                  <w14:solidFill>
                    <w14:schemeClr w14:val="tx1"/>
                  </w14:solidFill>
                </w14:textFill>
              </w:rPr>
              <w:t>5</w:t>
            </w:r>
            <w:r>
              <w:rPr>
                <w:rFonts w:hint="default" w:ascii="Times New Roman" w:hAnsi="Times New Roman" w:cs="Times New Roman" w:eastAsiaTheme="minorEastAsia"/>
                <w:b w:val="0"/>
                <w:bCs/>
                <w:snapToGrid w:val="0"/>
                <w:color w:val="000000" w:themeColor="text1"/>
                <w:sz w:val="21"/>
                <w:szCs w:val="21"/>
                <w:highlight w:val="none"/>
                <w:lang w:val="en-US" w:eastAsia="zh-CN"/>
                <w14:textFill>
                  <w14:solidFill>
                    <w14:schemeClr w14:val="tx1"/>
                  </w14:solidFill>
                </w14:textFill>
              </w:rPr>
              <w:t>0MW。本项目全部采用永磁风机。</w:t>
            </w:r>
          </w:p>
        </w:tc>
      </w:tr>
      <w:tr w14:paraId="3C451AF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82" w:type="dxa"/>
            <w:vMerge w:val="continue"/>
            <w:tcBorders>
              <w:tl2br w:val="nil"/>
              <w:tr2bl w:val="nil"/>
            </w:tcBorders>
            <w:vAlign w:val="center"/>
          </w:tcPr>
          <w:p w14:paraId="18400F6D">
            <w:pPr>
              <w:pStyle w:val="8"/>
              <w:keepNext w:val="0"/>
              <w:keepLines w:val="0"/>
              <w:pageBreakBefore w:val="0"/>
              <w:widowControl w:val="0"/>
              <w:kinsoku/>
              <w:wordWrap w:val="0"/>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b w:val="0"/>
                <w:bCs/>
                <w:snapToGrid w:val="0"/>
                <w:color w:val="FF0000"/>
                <w:sz w:val="21"/>
                <w:szCs w:val="21"/>
                <w:highlight w:val="none"/>
                <w:lang w:val="en-US" w:eastAsia="zh-CN"/>
              </w:rPr>
            </w:pPr>
          </w:p>
        </w:tc>
        <w:tc>
          <w:tcPr>
            <w:tcW w:w="1105" w:type="dxa"/>
            <w:tcBorders>
              <w:tl2br w:val="nil"/>
              <w:tr2bl w:val="nil"/>
            </w:tcBorders>
            <w:vAlign w:val="center"/>
          </w:tcPr>
          <w:p w14:paraId="663A3E35">
            <w:pPr>
              <w:pStyle w:val="8"/>
              <w:keepNext w:val="0"/>
              <w:keepLines w:val="0"/>
              <w:pageBreakBefore w:val="0"/>
              <w:widowControl w:val="0"/>
              <w:kinsoku/>
              <w:wordWrap w:val="0"/>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b w:val="0"/>
                <w:bCs/>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snapToGrid w:val="0"/>
                <w:color w:val="000000" w:themeColor="text1"/>
                <w:sz w:val="21"/>
                <w:szCs w:val="21"/>
                <w:highlight w:val="none"/>
                <w:lang w:val="en-US" w:eastAsia="zh-CN"/>
                <w14:textFill>
                  <w14:solidFill>
                    <w14:schemeClr w14:val="tx1"/>
                  </w14:solidFill>
                </w14:textFill>
              </w:rPr>
              <w:t>箱式变</w:t>
            </w:r>
          </w:p>
          <w:p w14:paraId="6A818E38">
            <w:pPr>
              <w:pStyle w:val="8"/>
              <w:keepNext w:val="0"/>
              <w:keepLines w:val="0"/>
              <w:pageBreakBefore w:val="0"/>
              <w:widowControl w:val="0"/>
              <w:kinsoku/>
              <w:wordWrap w:val="0"/>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b w:val="0"/>
                <w:bCs/>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snapToGrid w:val="0"/>
                <w:color w:val="000000" w:themeColor="text1"/>
                <w:sz w:val="21"/>
                <w:szCs w:val="21"/>
                <w:highlight w:val="none"/>
                <w:lang w:val="en-US" w:eastAsia="zh-CN"/>
                <w14:textFill>
                  <w14:solidFill>
                    <w14:schemeClr w14:val="tx1"/>
                  </w14:solidFill>
                </w14:textFill>
              </w:rPr>
              <w:t>压器</w:t>
            </w:r>
          </w:p>
        </w:tc>
        <w:tc>
          <w:tcPr>
            <w:tcW w:w="7493" w:type="dxa"/>
            <w:tcBorders>
              <w:tl2br w:val="nil"/>
              <w:tr2bl w:val="nil"/>
            </w:tcBorders>
            <w:vAlign w:val="center"/>
          </w:tcPr>
          <w:p w14:paraId="462B503A">
            <w:pPr>
              <w:keepNext w:val="0"/>
              <w:keepLines w:val="0"/>
              <w:pageBreakBefore w:val="0"/>
              <w:kinsoku/>
              <w:topLinePunct w:val="0"/>
              <w:autoSpaceDE/>
              <w:autoSpaceDN/>
              <w:bidi w:val="0"/>
              <w:snapToGrid w:val="0"/>
              <w:spacing w:line="320" w:lineRule="exact"/>
              <w:ind w:left="0" w:leftChars="0" w:firstLine="0" w:firstLineChars="0"/>
              <w:jc w:val="left"/>
              <w:textAlignment w:val="auto"/>
              <w:rPr>
                <w:rFonts w:hint="default" w:ascii="Times New Roman" w:hAnsi="Times New Roman" w:cs="Times New Roman" w:eastAsiaTheme="minorEastAsia"/>
                <w:b w:val="0"/>
                <w:bCs/>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snapToGrid w:val="0"/>
                <w:color w:val="000000" w:themeColor="text1"/>
                <w:sz w:val="21"/>
                <w:szCs w:val="21"/>
                <w:highlight w:val="none"/>
                <w:lang w:val="en-US" w:eastAsia="zh-CN"/>
                <w14:textFill>
                  <w14:solidFill>
                    <w14:schemeClr w14:val="tx1"/>
                  </w14:solidFill>
                </w14:textFill>
              </w:rPr>
              <w:t>每台风机配备一台35kV箱式变压器，共设</w:t>
            </w:r>
            <w:r>
              <w:rPr>
                <w:rFonts w:hint="eastAsia" w:cs="Times New Roman" w:eastAsiaTheme="minorEastAsia"/>
                <w:b w:val="0"/>
                <w:bCs/>
                <w:snapToGrid w:val="0"/>
                <w:color w:val="000000" w:themeColor="text1"/>
                <w:sz w:val="21"/>
                <w:szCs w:val="21"/>
                <w:highlight w:val="none"/>
                <w:lang w:val="en-US" w:eastAsia="zh-CN"/>
                <w14:textFill>
                  <w14:solidFill>
                    <w14:schemeClr w14:val="tx1"/>
                  </w14:solidFill>
                </w14:textFill>
              </w:rPr>
              <w:t>20</w:t>
            </w:r>
            <w:r>
              <w:rPr>
                <w:rFonts w:hint="default" w:ascii="Times New Roman" w:hAnsi="Times New Roman" w:cs="Times New Roman" w:eastAsiaTheme="minorEastAsia"/>
                <w:b w:val="0"/>
                <w:bCs/>
                <w:snapToGrid w:val="0"/>
                <w:color w:val="000000" w:themeColor="text1"/>
                <w:sz w:val="21"/>
                <w:szCs w:val="21"/>
                <w:highlight w:val="none"/>
                <w:lang w:val="en-US" w:eastAsia="zh-CN"/>
                <w14:textFill>
                  <w14:solidFill>
                    <w14:schemeClr w14:val="tx1"/>
                  </w14:solidFill>
                </w14:textFill>
              </w:rPr>
              <w:t>台；箱式变压器</w:t>
            </w:r>
            <w:r>
              <w:rPr>
                <w:rFonts w:hint="eastAsia" w:ascii="Times New Roman" w:hAnsi="Times New Roman" w:cs="Times New Roman" w:eastAsiaTheme="minorEastAsia"/>
                <w:b w:val="0"/>
                <w:bCs/>
                <w:snapToGrid w:val="0"/>
                <w:color w:val="000000" w:themeColor="text1"/>
                <w:sz w:val="21"/>
                <w:szCs w:val="21"/>
                <w:highlight w:val="none"/>
                <w:lang w:val="en-US" w:eastAsia="zh-CN"/>
                <w14:textFill>
                  <w14:solidFill>
                    <w14:schemeClr w14:val="tx1"/>
                  </w14:solidFill>
                </w14:textFill>
              </w:rPr>
              <w:t>为</w:t>
            </w:r>
            <w:r>
              <w:rPr>
                <w:rFonts w:hint="default" w:ascii="Times New Roman" w:hAnsi="Times New Roman" w:cs="Times New Roman" w:eastAsiaTheme="minorEastAsia"/>
                <w:b w:val="0"/>
                <w:bCs/>
                <w:snapToGrid w:val="0"/>
                <w:color w:val="000000" w:themeColor="text1"/>
                <w:sz w:val="21"/>
                <w:szCs w:val="21"/>
                <w:highlight w:val="none"/>
                <w:lang w:val="en-US" w:eastAsia="zh-CN"/>
                <w14:textFill>
                  <w14:solidFill>
                    <w14:schemeClr w14:val="tx1"/>
                  </w14:solidFill>
                </w14:textFill>
              </w:rPr>
              <w:t>干式变压器</w:t>
            </w:r>
            <w:r>
              <w:rPr>
                <w:rFonts w:hint="eastAsia" w:ascii="Times New Roman" w:hAnsi="Times New Roman" w:cs="Times New Roman" w:eastAsiaTheme="minorEastAsia"/>
                <w:b w:val="0"/>
                <w:bCs/>
                <w:snapToGrid w:val="0"/>
                <w:color w:val="000000" w:themeColor="text1"/>
                <w:sz w:val="21"/>
                <w:szCs w:val="21"/>
                <w:highlight w:val="none"/>
                <w:lang w:val="en-US" w:eastAsia="zh-CN"/>
                <w14:textFill>
                  <w14:solidFill>
                    <w14:schemeClr w14:val="tx1"/>
                  </w14:solidFill>
                </w14:textFill>
              </w:rPr>
              <w:t>，型号为S18-7900KVA,电压比为36.5±2×2.5%/1.14kV，Dyn-11 接线方式，低压侧电流为4001A。</w:t>
            </w:r>
          </w:p>
        </w:tc>
      </w:tr>
      <w:tr w14:paraId="3FAA5E4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82" w:type="dxa"/>
            <w:vMerge w:val="continue"/>
            <w:tcBorders>
              <w:tl2br w:val="nil"/>
              <w:tr2bl w:val="nil"/>
            </w:tcBorders>
            <w:vAlign w:val="center"/>
          </w:tcPr>
          <w:p w14:paraId="7C6D7350">
            <w:pPr>
              <w:pStyle w:val="8"/>
              <w:keepNext w:val="0"/>
              <w:keepLines w:val="0"/>
              <w:pageBreakBefore w:val="0"/>
              <w:widowControl w:val="0"/>
              <w:kinsoku/>
              <w:wordWrap w:val="0"/>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b w:val="0"/>
                <w:bCs/>
                <w:snapToGrid w:val="0"/>
                <w:color w:val="FF0000"/>
                <w:sz w:val="21"/>
                <w:szCs w:val="21"/>
                <w:highlight w:val="none"/>
                <w:lang w:val="en-US" w:eastAsia="zh-CN"/>
              </w:rPr>
            </w:pPr>
          </w:p>
        </w:tc>
        <w:tc>
          <w:tcPr>
            <w:tcW w:w="1105" w:type="dxa"/>
            <w:tcBorders>
              <w:tl2br w:val="nil"/>
              <w:tr2bl w:val="nil"/>
            </w:tcBorders>
            <w:vAlign w:val="center"/>
          </w:tcPr>
          <w:p w14:paraId="3544B850">
            <w:pPr>
              <w:keepNext w:val="0"/>
              <w:keepLines w:val="0"/>
              <w:pageBreakBefore w:val="0"/>
              <w:widowControl/>
              <w:suppressLineNumbers w:val="0"/>
              <w:kinsoku/>
              <w:wordWrap w:val="0"/>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eastAsiaTheme="minorEastAsia"/>
                <w:b w:val="0"/>
                <w:bCs/>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val="0"/>
                <w:bCs/>
                <w:color w:val="000000" w:themeColor="text1"/>
                <w:kern w:val="2"/>
                <w:sz w:val="21"/>
                <w:szCs w:val="21"/>
                <w:highlight w:val="none"/>
                <w:vertAlign w:val="baseline"/>
                <w:lang w:val="en-US" w:eastAsia="zh-CN"/>
                <w14:textFill>
                  <w14:solidFill>
                    <w14:schemeClr w14:val="tx1"/>
                  </w14:solidFill>
                </w14:textFill>
              </w:rPr>
              <w:t>集电</w:t>
            </w:r>
          </w:p>
          <w:p w14:paraId="283DA4D2">
            <w:pPr>
              <w:keepNext w:val="0"/>
              <w:keepLines w:val="0"/>
              <w:pageBreakBefore w:val="0"/>
              <w:widowControl/>
              <w:suppressLineNumbers w:val="0"/>
              <w:kinsoku/>
              <w:wordWrap w:val="0"/>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eastAsiaTheme="minorEastAsia"/>
                <w:b w:val="0"/>
                <w:bCs/>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color w:val="000000" w:themeColor="text1"/>
                <w:kern w:val="2"/>
                <w:sz w:val="21"/>
                <w:szCs w:val="21"/>
                <w:highlight w:val="none"/>
                <w:vertAlign w:val="baseline"/>
                <w:lang w:val="en-US" w:eastAsia="zh-CN"/>
                <w14:textFill>
                  <w14:solidFill>
                    <w14:schemeClr w14:val="tx1"/>
                  </w14:solidFill>
                </w14:textFill>
              </w:rPr>
              <w:t>线路</w:t>
            </w:r>
          </w:p>
        </w:tc>
        <w:tc>
          <w:tcPr>
            <w:tcW w:w="7493" w:type="dxa"/>
            <w:tcBorders>
              <w:tl2br w:val="nil"/>
              <w:tr2bl w:val="nil"/>
            </w:tcBorders>
            <w:vAlign w:val="center"/>
          </w:tcPr>
          <w:p w14:paraId="41F0E2D1">
            <w:pPr>
              <w:keepNext w:val="0"/>
              <w:keepLines w:val="0"/>
              <w:pageBreakBefore w:val="0"/>
              <w:kinsoku/>
              <w:topLinePunct w:val="0"/>
              <w:autoSpaceDE/>
              <w:autoSpaceDN/>
              <w:bidi w:val="0"/>
              <w:snapToGrid w:val="0"/>
              <w:spacing w:line="320" w:lineRule="exact"/>
              <w:ind w:left="0" w:leftChars="0" w:firstLine="0" w:firstLineChars="0"/>
              <w:jc w:val="left"/>
              <w:textAlignment w:val="auto"/>
              <w:rPr>
                <w:rFonts w:hint="default" w:ascii="Times New Roman" w:hAnsi="Times New Roman" w:cs="Times New Roman" w:eastAsiaTheme="minorEastAsia"/>
                <w:b w:val="0"/>
                <w:bCs/>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color w:val="000000" w:themeColor="text1"/>
                <w:kern w:val="2"/>
                <w:sz w:val="21"/>
                <w:szCs w:val="21"/>
                <w:highlight w:val="none"/>
                <w:vertAlign w:val="baseline"/>
                <w:lang w:val="en-US" w:eastAsia="zh-CN"/>
                <w14:textFill>
                  <w14:solidFill>
                    <w14:schemeClr w14:val="tx1"/>
                  </w14:solidFill>
                </w14:textFill>
              </w:rPr>
              <w:t>本项目新建</w:t>
            </w:r>
            <w:r>
              <w:rPr>
                <w:rFonts w:hint="eastAsia" w:cs="Times New Roman" w:eastAsiaTheme="minorEastAsia"/>
                <w:b w:val="0"/>
                <w:bCs/>
                <w:color w:val="000000" w:themeColor="text1"/>
                <w:kern w:val="2"/>
                <w:sz w:val="21"/>
                <w:szCs w:val="21"/>
                <w:highlight w:val="none"/>
                <w:vertAlign w:val="baseline"/>
                <w:lang w:val="en-US" w:eastAsia="zh-CN"/>
                <w14:textFill>
                  <w14:solidFill>
                    <w14:schemeClr w14:val="tx1"/>
                  </w14:solidFill>
                </w14:textFill>
              </w:rPr>
              <w:t>20</w:t>
            </w:r>
            <w:r>
              <w:rPr>
                <w:rFonts w:hint="default" w:ascii="Times New Roman" w:hAnsi="Times New Roman" w:cs="Times New Roman" w:eastAsiaTheme="minorEastAsia"/>
                <w:b w:val="0"/>
                <w:bCs/>
                <w:color w:val="000000" w:themeColor="text1"/>
                <w:kern w:val="2"/>
                <w:sz w:val="21"/>
                <w:szCs w:val="21"/>
                <w:highlight w:val="none"/>
                <w:vertAlign w:val="baseline"/>
                <w:lang w:val="en-US" w:eastAsia="zh-CN"/>
                <w14:textFill>
                  <w14:solidFill>
                    <w14:schemeClr w14:val="tx1"/>
                  </w14:solidFill>
                </w14:textFill>
              </w:rPr>
              <w:t>台</w:t>
            </w:r>
            <w:r>
              <w:rPr>
                <w:rFonts w:hint="eastAsia" w:ascii="Times New Roman" w:hAnsi="Times New Roman" w:cs="Times New Roman" w:eastAsiaTheme="minorEastAsia"/>
                <w:b w:val="0"/>
                <w:bCs/>
                <w:color w:val="000000" w:themeColor="text1"/>
                <w:kern w:val="2"/>
                <w:sz w:val="21"/>
                <w:szCs w:val="21"/>
                <w:highlight w:val="none"/>
                <w:vertAlign w:val="baseline"/>
                <w:lang w:val="en-US" w:eastAsia="zh-CN"/>
                <w14:textFill>
                  <w14:solidFill>
                    <w14:schemeClr w14:val="tx1"/>
                  </w14:solidFill>
                </w14:textFill>
              </w:rPr>
              <w:t>7.15</w:t>
            </w:r>
            <w:r>
              <w:rPr>
                <w:rFonts w:hint="default" w:ascii="Times New Roman" w:hAnsi="Times New Roman" w:cs="Times New Roman" w:eastAsiaTheme="minorEastAsia"/>
                <w:b w:val="0"/>
                <w:bCs/>
                <w:color w:val="000000" w:themeColor="text1"/>
                <w:kern w:val="2"/>
                <w:sz w:val="21"/>
                <w:szCs w:val="21"/>
                <w:highlight w:val="none"/>
                <w:vertAlign w:val="baseline"/>
                <w:lang w:val="en-US" w:eastAsia="zh-CN"/>
                <w14:textFill>
                  <w14:solidFill>
                    <w14:schemeClr w14:val="tx1"/>
                  </w14:solidFill>
                </w14:textFill>
              </w:rPr>
              <w:t>MW风机，</w:t>
            </w:r>
            <w:r>
              <w:rPr>
                <w:rFonts w:hint="eastAsia" w:ascii="Times New Roman" w:hAnsi="Times New Roman" w:cs="Times New Roman" w:eastAsiaTheme="minorEastAsia"/>
                <w:b w:val="0"/>
                <w:bCs/>
                <w:color w:val="000000" w:themeColor="text1"/>
                <w:kern w:val="2"/>
                <w:sz w:val="21"/>
                <w:szCs w:val="21"/>
                <w:highlight w:val="none"/>
                <w:vertAlign w:val="baseline"/>
                <w:lang w:val="en-US" w:eastAsia="zh-CN"/>
                <w14:textFill>
                  <w14:solidFill>
                    <w14:schemeClr w14:val="tx1"/>
                  </w14:solidFill>
                </w14:textFill>
              </w:rPr>
              <w:t>自各风机箱变高压侧起经由6回主线，最终经电缆接入至新建110kV升压站35kV配电柜止，电压等级35kV。</w:t>
            </w:r>
            <w:r>
              <w:rPr>
                <w:rFonts w:hint="default" w:ascii="Times New Roman" w:hAnsi="Times New Roman" w:cs="Times New Roman" w:eastAsiaTheme="minorEastAsia"/>
                <w:b w:val="0"/>
                <w:bCs/>
                <w:color w:val="000000" w:themeColor="text1"/>
                <w:kern w:val="2"/>
                <w:sz w:val="21"/>
                <w:szCs w:val="21"/>
                <w:highlight w:val="none"/>
                <w:vertAlign w:val="baseline"/>
                <w:lang w:val="en-US" w:eastAsia="zh-CN"/>
                <w14:textFill>
                  <w14:solidFill>
                    <w14:schemeClr w14:val="tx1"/>
                  </w14:solidFill>
                </w14:textFill>
              </w:rPr>
              <w:t>线路主要采用架空架设方式，架空线路总长</w:t>
            </w:r>
            <w:r>
              <w:rPr>
                <w:rFonts w:hint="eastAsia" w:ascii="Times New Roman" w:hAnsi="Times New Roman" w:cs="Times New Roman" w:eastAsiaTheme="minorEastAsia"/>
                <w:b w:val="0"/>
                <w:bCs/>
                <w:color w:val="000000" w:themeColor="text1"/>
                <w:kern w:val="2"/>
                <w:sz w:val="21"/>
                <w:szCs w:val="21"/>
                <w:highlight w:val="none"/>
                <w:vertAlign w:val="baseline"/>
                <w:lang w:val="en-US" w:eastAsia="zh-CN"/>
                <w14:textFill>
                  <w14:solidFill>
                    <w14:schemeClr w14:val="tx1"/>
                  </w14:solidFill>
                </w14:textFill>
              </w:rPr>
              <w:t>26.1</w:t>
            </w:r>
            <w:r>
              <w:rPr>
                <w:rFonts w:hint="default" w:ascii="Times New Roman" w:hAnsi="Times New Roman" w:cs="Times New Roman" w:eastAsiaTheme="minorEastAsia"/>
                <w:b w:val="0"/>
                <w:bCs/>
                <w:color w:val="000000" w:themeColor="text1"/>
                <w:kern w:val="2"/>
                <w:sz w:val="21"/>
                <w:szCs w:val="21"/>
                <w:highlight w:val="none"/>
                <w:vertAlign w:val="baseline"/>
                <w:lang w:val="en-US" w:eastAsia="zh-CN"/>
                <w14:textFill>
                  <w14:solidFill>
                    <w14:schemeClr w14:val="tx1"/>
                  </w14:solidFill>
                </w14:textFill>
              </w:rPr>
              <w:t>km</w:t>
            </w:r>
            <w:r>
              <w:rPr>
                <w:rFonts w:hint="eastAsia" w:ascii="Times New Roman" w:hAnsi="Times New Roman" w:cs="Times New Roman" w:eastAsiaTheme="minorEastAsia"/>
                <w:b w:val="0"/>
                <w:bCs/>
                <w:color w:val="000000" w:themeColor="text1"/>
                <w:kern w:val="2"/>
                <w:sz w:val="21"/>
                <w:szCs w:val="21"/>
                <w:highlight w:val="none"/>
                <w:vertAlign w:val="baseline"/>
                <w:lang w:val="en-US" w:eastAsia="zh-CN"/>
                <w14:textFill>
                  <w14:solidFill>
                    <w14:schemeClr w14:val="tx1"/>
                  </w14:solidFill>
                </w14:textFill>
              </w:rPr>
              <w:t>，全线单、双回路混合架设，其中单回路22.2km，双回路3.9km，</w:t>
            </w:r>
            <w:r>
              <w:rPr>
                <w:rFonts w:hint="default" w:ascii="Times New Roman" w:hAnsi="Times New Roman" w:cs="Times New Roman" w:eastAsiaTheme="minorEastAsia"/>
                <w:b w:val="0"/>
                <w:bCs/>
                <w:color w:val="000000" w:themeColor="text1"/>
                <w:kern w:val="2"/>
                <w:sz w:val="21"/>
                <w:szCs w:val="21"/>
                <w:highlight w:val="none"/>
                <w:vertAlign w:val="baseline"/>
                <w:lang w:val="en-US" w:eastAsia="zh-CN"/>
                <w14:textFill>
                  <w14:solidFill>
                    <w14:schemeClr w14:val="tx1"/>
                  </w14:solidFill>
                </w14:textFill>
              </w:rPr>
              <w:t>采用JL/G1A-</w:t>
            </w:r>
            <w:r>
              <w:rPr>
                <w:rFonts w:hint="eastAsia" w:ascii="Times New Roman" w:hAnsi="Times New Roman" w:cs="Times New Roman" w:eastAsiaTheme="minorEastAsia"/>
                <w:b w:val="0"/>
                <w:bCs/>
                <w:color w:val="000000" w:themeColor="text1"/>
                <w:kern w:val="2"/>
                <w:sz w:val="21"/>
                <w:szCs w:val="21"/>
                <w:highlight w:val="none"/>
                <w:vertAlign w:val="baseline"/>
                <w:lang w:val="en-US" w:eastAsia="zh-CN"/>
                <w14:textFill>
                  <w14:solidFill>
                    <w14:schemeClr w14:val="tx1"/>
                  </w14:solidFill>
                </w14:textFill>
              </w:rPr>
              <w:t>240</w:t>
            </w:r>
            <w:r>
              <w:rPr>
                <w:rFonts w:hint="default" w:ascii="Times New Roman" w:hAnsi="Times New Roman" w:cs="Times New Roman" w:eastAsiaTheme="minorEastAsia"/>
                <w:b w:val="0"/>
                <w:bCs/>
                <w:color w:val="000000" w:themeColor="text1"/>
                <w:kern w:val="2"/>
                <w:sz w:val="21"/>
                <w:szCs w:val="21"/>
                <w:highlight w:val="none"/>
                <w:vertAlign w:val="baseline"/>
                <w:lang w:val="en-US" w:eastAsia="zh-CN"/>
                <w14:textFill>
                  <w14:solidFill>
                    <w14:schemeClr w14:val="tx1"/>
                  </w14:solidFill>
                </w14:textFill>
              </w:rPr>
              <w:t>/</w:t>
            </w:r>
            <w:r>
              <w:rPr>
                <w:rFonts w:hint="eastAsia" w:ascii="Times New Roman" w:hAnsi="Times New Roman" w:cs="Times New Roman" w:eastAsiaTheme="minorEastAsia"/>
                <w:b w:val="0"/>
                <w:bCs/>
                <w:color w:val="000000" w:themeColor="text1"/>
                <w:kern w:val="2"/>
                <w:sz w:val="21"/>
                <w:szCs w:val="21"/>
                <w:highlight w:val="none"/>
                <w:vertAlign w:val="baseline"/>
                <w:lang w:val="en-US" w:eastAsia="zh-CN"/>
                <w14:textFill>
                  <w14:solidFill>
                    <w14:schemeClr w14:val="tx1"/>
                  </w14:solidFill>
                </w14:textFill>
              </w:rPr>
              <w:t>3</w:t>
            </w:r>
            <w:r>
              <w:rPr>
                <w:rFonts w:hint="default" w:ascii="Times New Roman" w:hAnsi="Times New Roman" w:cs="Times New Roman" w:eastAsiaTheme="minorEastAsia"/>
                <w:b w:val="0"/>
                <w:bCs/>
                <w:color w:val="000000" w:themeColor="text1"/>
                <w:kern w:val="2"/>
                <w:sz w:val="21"/>
                <w:szCs w:val="21"/>
                <w:highlight w:val="none"/>
                <w:vertAlign w:val="baseline"/>
                <w:lang w:val="en-US" w:eastAsia="zh-CN"/>
                <w14:textFill>
                  <w14:solidFill>
                    <w14:schemeClr w14:val="tx1"/>
                  </w14:solidFill>
                </w14:textFill>
              </w:rPr>
              <w:t>0导线</w:t>
            </w:r>
            <w:r>
              <w:rPr>
                <w:rFonts w:hint="eastAsia" w:ascii="Times New Roman" w:hAnsi="Times New Roman" w:cs="Times New Roman" w:eastAsiaTheme="minorEastAsia"/>
                <w:b w:val="0"/>
                <w:bCs/>
                <w:color w:val="000000" w:themeColor="text1"/>
                <w:kern w:val="2"/>
                <w:sz w:val="21"/>
                <w:szCs w:val="21"/>
                <w:highlight w:val="none"/>
                <w:vertAlign w:val="baseline"/>
                <w:lang w:val="en-US" w:eastAsia="zh-CN"/>
                <w14:textFill>
                  <w14:solidFill>
                    <w14:schemeClr w14:val="tx1"/>
                  </w14:solidFill>
                </w14:textFill>
              </w:rPr>
              <w:t>，全线架设单地线，单回路段采用OPGW（32芯）复合光缆，双回路段采用OPGW（64芯）复合光缆。</w:t>
            </w:r>
            <w:r>
              <w:rPr>
                <w:rFonts w:hint="default" w:ascii="Times New Roman" w:hAnsi="Times New Roman" w:cs="Times New Roman" w:eastAsiaTheme="minorEastAsia"/>
                <w:b w:val="0"/>
                <w:bCs/>
                <w:color w:val="000000" w:themeColor="text1"/>
                <w:kern w:val="2"/>
                <w:sz w:val="21"/>
                <w:szCs w:val="21"/>
                <w:highlight w:val="none"/>
                <w:vertAlign w:val="baseline"/>
                <w:lang w:val="en-US" w:eastAsia="zh-CN"/>
                <w14:textFill>
                  <w14:solidFill>
                    <w14:schemeClr w14:val="tx1"/>
                  </w14:solidFill>
                </w14:textFill>
              </w:rPr>
              <w:t>集电线路接入</w:t>
            </w:r>
            <w:r>
              <w:rPr>
                <w:rFonts w:hint="eastAsia" w:ascii="Times New Roman" w:hAnsi="Times New Roman" w:cs="Times New Roman" w:eastAsiaTheme="minorEastAsia"/>
                <w:b w:val="0"/>
                <w:bCs/>
                <w:color w:val="000000" w:themeColor="text1"/>
                <w:kern w:val="2"/>
                <w:sz w:val="21"/>
                <w:szCs w:val="21"/>
                <w:highlight w:val="none"/>
                <w:vertAlign w:val="baseline"/>
                <w:lang w:val="en-US" w:eastAsia="zh-CN"/>
                <w14:textFill>
                  <w14:solidFill>
                    <w14:schemeClr w14:val="tx1"/>
                  </w14:solidFill>
                </w14:textFill>
              </w:rPr>
              <w:t>110kV</w:t>
            </w:r>
            <w:r>
              <w:rPr>
                <w:rFonts w:hint="default" w:ascii="Times New Roman" w:hAnsi="Times New Roman" w:cs="Times New Roman" w:eastAsiaTheme="minorEastAsia"/>
                <w:b w:val="0"/>
                <w:bCs/>
                <w:color w:val="000000" w:themeColor="text1"/>
                <w:kern w:val="2"/>
                <w:sz w:val="21"/>
                <w:szCs w:val="21"/>
                <w:highlight w:val="none"/>
                <w:vertAlign w:val="baseline"/>
                <w:lang w:val="en-US" w:eastAsia="zh-CN"/>
                <w14:textFill>
                  <w14:solidFill>
                    <w14:schemeClr w14:val="tx1"/>
                  </w14:solidFill>
                </w14:textFill>
              </w:rPr>
              <w:t>升压站35kV配电柜时采用电缆敷设，电缆地埋部分总长</w:t>
            </w:r>
            <w:r>
              <w:rPr>
                <w:rFonts w:hint="eastAsia" w:ascii="Times New Roman" w:hAnsi="Times New Roman" w:cs="Times New Roman" w:eastAsiaTheme="minorEastAsia"/>
                <w:b w:val="0"/>
                <w:bCs/>
                <w:color w:val="000000" w:themeColor="text1"/>
                <w:kern w:val="2"/>
                <w:sz w:val="21"/>
                <w:szCs w:val="21"/>
                <w:highlight w:val="none"/>
                <w:vertAlign w:val="baseline"/>
                <w:lang w:val="en-US" w:eastAsia="zh-CN"/>
                <w14:textFill>
                  <w14:solidFill>
                    <w14:schemeClr w14:val="tx1"/>
                  </w14:solidFill>
                </w14:textFill>
              </w:rPr>
              <w:t>1.785</w:t>
            </w:r>
            <w:r>
              <w:rPr>
                <w:rFonts w:hint="default" w:ascii="Times New Roman" w:hAnsi="Times New Roman" w:cs="Times New Roman" w:eastAsiaTheme="minorEastAsia"/>
                <w:b w:val="0"/>
                <w:bCs/>
                <w:color w:val="000000" w:themeColor="text1"/>
                <w:kern w:val="2"/>
                <w:sz w:val="21"/>
                <w:szCs w:val="21"/>
                <w:highlight w:val="none"/>
                <w:vertAlign w:val="baseline"/>
                <w:lang w:val="en-US" w:eastAsia="zh-CN"/>
                <w14:textFill>
                  <w14:solidFill>
                    <w14:schemeClr w14:val="tx1"/>
                  </w14:solidFill>
                </w14:textFill>
              </w:rPr>
              <w:t>km。</w:t>
            </w:r>
          </w:p>
        </w:tc>
      </w:tr>
      <w:tr w14:paraId="194A79F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82" w:type="dxa"/>
            <w:vMerge w:val="continue"/>
            <w:tcBorders>
              <w:tl2br w:val="nil"/>
              <w:tr2bl w:val="nil"/>
            </w:tcBorders>
            <w:vAlign w:val="center"/>
          </w:tcPr>
          <w:p w14:paraId="47E68DAF">
            <w:pPr>
              <w:pStyle w:val="8"/>
              <w:keepNext w:val="0"/>
              <w:keepLines w:val="0"/>
              <w:pageBreakBefore w:val="0"/>
              <w:widowControl w:val="0"/>
              <w:kinsoku/>
              <w:wordWrap w:val="0"/>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b w:val="0"/>
                <w:bCs/>
                <w:snapToGrid w:val="0"/>
                <w:color w:val="FF0000"/>
                <w:sz w:val="21"/>
                <w:szCs w:val="21"/>
                <w:highlight w:val="none"/>
                <w:lang w:val="en-US" w:eastAsia="zh-CN"/>
              </w:rPr>
            </w:pPr>
          </w:p>
        </w:tc>
        <w:tc>
          <w:tcPr>
            <w:tcW w:w="1105" w:type="dxa"/>
            <w:tcBorders>
              <w:tl2br w:val="nil"/>
              <w:tr2bl w:val="nil"/>
            </w:tcBorders>
            <w:vAlign w:val="center"/>
          </w:tcPr>
          <w:p w14:paraId="5A5EF64D">
            <w:pPr>
              <w:keepNext w:val="0"/>
              <w:keepLines w:val="0"/>
              <w:pageBreakBefore w:val="0"/>
              <w:widowControl/>
              <w:suppressLineNumbers w:val="0"/>
              <w:kinsoku/>
              <w:wordWrap w:val="0"/>
              <w:overflowPunct/>
              <w:topLinePunct w:val="0"/>
              <w:autoSpaceDE/>
              <w:autoSpaceDN/>
              <w:bidi w:val="0"/>
              <w:adjustRightInd w:val="0"/>
              <w:snapToGrid w:val="0"/>
              <w:spacing w:line="320" w:lineRule="exact"/>
              <w:ind w:left="0" w:leftChars="0" w:firstLine="0" w:firstLineChars="0"/>
              <w:jc w:val="center"/>
              <w:textAlignment w:val="auto"/>
              <w:rPr>
                <w:rFonts w:hint="eastAsia" w:cs="Times New Roman" w:eastAsiaTheme="minorEastAsia"/>
                <w:b w:val="0"/>
                <w:bCs/>
                <w:color w:val="000000" w:themeColor="text1"/>
                <w:kern w:val="2"/>
                <w:sz w:val="21"/>
                <w:szCs w:val="21"/>
                <w:highlight w:val="none"/>
                <w:vertAlign w:val="baseline"/>
                <w:lang w:val="en-US" w:eastAsia="zh-CN"/>
                <w14:textFill>
                  <w14:solidFill>
                    <w14:schemeClr w14:val="tx1"/>
                  </w14:solidFill>
                </w14:textFill>
              </w:rPr>
            </w:pPr>
            <w:r>
              <w:rPr>
                <w:rFonts w:hint="eastAsia" w:cs="Times New Roman" w:eastAsiaTheme="minorEastAsia"/>
                <w:b w:val="0"/>
                <w:bCs/>
                <w:color w:val="000000" w:themeColor="text1"/>
                <w:kern w:val="2"/>
                <w:sz w:val="21"/>
                <w:szCs w:val="21"/>
                <w:highlight w:val="none"/>
                <w:vertAlign w:val="baseline"/>
                <w:lang w:val="en-US" w:eastAsia="zh-CN"/>
                <w14:textFill>
                  <w14:solidFill>
                    <w14:schemeClr w14:val="tx1"/>
                  </w14:solidFill>
                </w14:textFill>
              </w:rPr>
              <w:t>检修</w:t>
            </w:r>
          </w:p>
          <w:p w14:paraId="0D771459">
            <w:pPr>
              <w:keepNext w:val="0"/>
              <w:keepLines w:val="0"/>
              <w:pageBreakBefore w:val="0"/>
              <w:widowControl/>
              <w:suppressLineNumbers w:val="0"/>
              <w:kinsoku/>
              <w:wordWrap w:val="0"/>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eastAsiaTheme="minorEastAsia"/>
                <w:b w:val="0"/>
                <w:bCs/>
                <w:color w:val="000000" w:themeColor="text1"/>
                <w:kern w:val="2"/>
                <w:sz w:val="21"/>
                <w:szCs w:val="21"/>
                <w:highlight w:val="none"/>
                <w:vertAlign w:val="baseline"/>
                <w:lang w:val="en-US" w:eastAsia="zh-CN"/>
                <w14:textFill>
                  <w14:solidFill>
                    <w14:schemeClr w14:val="tx1"/>
                  </w14:solidFill>
                </w14:textFill>
              </w:rPr>
            </w:pPr>
            <w:r>
              <w:rPr>
                <w:rFonts w:hint="eastAsia" w:cs="Times New Roman" w:eastAsiaTheme="minorEastAsia"/>
                <w:b w:val="0"/>
                <w:bCs/>
                <w:color w:val="000000" w:themeColor="text1"/>
                <w:kern w:val="2"/>
                <w:sz w:val="21"/>
                <w:szCs w:val="21"/>
                <w:highlight w:val="none"/>
                <w:vertAlign w:val="baseline"/>
                <w:lang w:val="en-US" w:eastAsia="zh-CN"/>
                <w14:textFill>
                  <w14:solidFill>
                    <w14:schemeClr w14:val="tx1"/>
                  </w14:solidFill>
                </w14:textFill>
              </w:rPr>
              <w:t>道路</w:t>
            </w:r>
          </w:p>
        </w:tc>
        <w:tc>
          <w:tcPr>
            <w:tcW w:w="7493" w:type="dxa"/>
            <w:tcBorders>
              <w:tl2br w:val="nil"/>
              <w:tr2bl w:val="nil"/>
            </w:tcBorders>
            <w:vAlign w:val="center"/>
          </w:tcPr>
          <w:p w14:paraId="04940038">
            <w:pPr>
              <w:keepNext w:val="0"/>
              <w:keepLines w:val="0"/>
              <w:pageBreakBefore w:val="0"/>
              <w:kinsoku/>
              <w:topLinePunct w:val="0"/>
              <w:autoSpaceDE/>
              <w:autoSpaceDN/>
              <w:bidi w:val="0"/>
              <w:snapToGrid w:val="0"/>
              <w:spacing w:line="320" w:lineRule="exact"/>
              <w:ind w:left="0" w:leftChars="0" w:firstLine="0" w:firstLineChars="0"/>
              <w:jc w:val="left"/>
              <w:textAlignment w:val="auto"/>
              <w:rPr>
                <w:rFonts w:hint="default" w:ascii="Times New Roman" w:hAnsi="Times New Roman" w:cs="Times New Roman" w:eastAsiaTheme="minorEastAsia"/>
                <w:b w:val="0"/>
                <w:bCs/>
                <w:color w:val="000000" w:themeColor="text1"/>
                <w:kern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eastAsiaTheme="minorEastAsia"/>
                <w:b w:val="0"/>
                <w:bCs/>
                <w:color w:val="000000" w:themeColor="text1"/>
                <w:kern w:val="2"/>
                <w:sz w:val="21"/>
                <w:szCs w:val="21"/>
                <w:highlight w:val="none"/>
                <w:vertAlign w:val="baseline"/>
                <w:lang w:val="en-US" w:eastAsia="zh-CN"/>
                <w14:textFill>
                  <w14:solidFill>
                    <w14:schemeClr w14:val="tx1"/>
                  </w14:solidFill>
                </w14:textFill>
              </w:rPr>
              <w:t>工程区道路考虑永临结合，检修道路利用施工道路，不开辟新路线。项目道路总长约30700m，其中改扩建道路28500m，新建道路2200m，施工期路面宽度7.0m，施工结束后恢复路面宽度至4.5m，作为检修道路。</w:t>
            </w:r>
          </w:p>
        </w:tc>
      </w:tr>
      <w:tr w14:paraId="5B8F024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82" w:type="dxa"/>
            <w:vMerge w:val="continue"/>
            <w:tcBorders>
              <w:tl2br w:val="nil"/>
              <w:tr2bl w:val="nil"/>
            </w:tcBorders>
            <w:vAlign w:val="center"/>
          </w:tcPr>
          <w:p w14:paraId="43E1EBE2">
            <w:pPr>
              <w:pStyle w:val="8"/>
              <w:keepNext w:val="0"/>
              <w:keepLines w:val="0"/>
              <w:pageBreakBefore w:val="0"/>
              <w:widowControl w:val="0"/>
              <w:kinsoku/>
              <w:wordWrap w:val="0"/>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b w:val="0"/>
                <w:bCs/>
                <w:color w:val="FF0000"/>
                <w:sz w:val="21"/>
                <w:szCs w:val="21"/>
                <w:highlight w:val="none"/>
                <w:vertAlign w:val="baseline"/>
                <w:lang w:val="en-US" w:eastAsia="zh-CN"/>
              </w:rPr>
            </w:pPr>
          </w:p>
        </w:tc>
        <w:tc>
          <w:tcPr>
            <w:tcW w:w="1105" w:type="dxa"/>
            <w:tcBorders>
              <w:tl2br w:val="nil"/>
              <w:tr2bl w:val="nil"/>
            </w:tcBorders>
            <w:vAlign w:val="center"/>
          </w:tcPr>
          <w:p w14:paraId="12888EE6">
            <w:pPr>
              <w:pStyle w:val="8"/>
              <w:keepNext w:val="0"/>
              <w:keepLines w:val="0"/>
              <w:pageBreakBefore w:val="0"/>
              <w:widowControl w:val="0"/>
              <w:kinsoku/>
              <w:wordWrap w:val="0"/>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进</w:t>
            </w:r>
            <w:r>
              <w:rPr>
                <w:rFonts w:hint="eastAsia" w:cs="Times New Roman" w:eastAsiaTheme="minorEastAsia"/>
                <w:color w:val="000000" w:themeColor="text1"/>
                <w:kern w:val="0"/>
                <w:sz w:val="21"/>
                <w:szCs w:val="21"/>
                <w:highlight w:val="none"/>
                <w:lang w:val="en-US" w:eastAsia="zh-CN" w:bidi="ar"/>
                <w14:textFill>
                  <w14:solidFill>
                    <w14:schemeClr w14:val="tx1"/>
                  </w14:solidFill>
                </w14:textFill>
              </w:rPr>
              <w:t>场</w:t>
            </w:r>
          </w:p>
          <w:p w14:paraId="28C5E340">
            <w:pPr>
              <w:pStyle w:val="8"/>
              <w:keepNext w:val="0"/>
              <w:keepLines w:val="0"/>
              <w:pageBreakBefore w:val="0"/>
              <w:widowControl w:val="0"/>
              <w:kinsoku/>
              <w:wordWrap w:val="0"/>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b w:val="0"/>
                <w:bCs/>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道路</w:t>
            </w:r>
          </w:p>
        </w:tc>
        <w:tc>
          <w:tcPr>
            <w:tcW w:w="7493" w:type="dxa"/>
            <w:tcBorders>
              <w:tl2br w:val="nil"/>
              <w:tr2bl w:val="nil"/>
            </w:tcBorders>
            <w:vAlign w:val="center"/>
          </w:tcPr>
          <w:p w14:paraId="3B38A9C4">
            <w:pPr>
              <w:pStyle w:val="8"/>
              <w:keepNext w:val="0"/>
              <w:keepLines w:val="0"/>
              <w:pageBreakBefore w:val="0"/>
              <w:widowControl w:val="0"/>
              <w:kinsoku/>
              <w:wordWrap/>
              <w:overflowPunct/>
              <w:topLinePunct w:val="0"/>
              <w:autoSpaceDE/>
              <w:autoSpaceDN/>
              <w:bidi w:val="0"/>
              <w:adjustRightInd w:val="0"/>
              <w:snapToGrid w:val="0"/>
              <w:spacing w:after="0" w:line="320" w:lineRule="exact"/>
              <w:ind w:left="0" w:leftChars="0" w:firstLine="0" w:firstLineChars="0"/>
              <w:jc w:val="both"/>
              <w:textAlignment w:val="auto"/>
              <w:rPr>
                <w:rFonts w:hint="default" w:ascii="Times New Roman" w:hAnsi="Times New Roman" w:cs="Times New Roman" w:eastAsiaTheme="minorEastAsia"/>
                <w:b w:val="0"/>
                <w:bCs/>
                <w:color w:val="000000" w:themeColor="text1"/>
                <w:kern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eastAsiaTheme="minorEastAsia"/>
                <w:b w:val="0"/>
                <w:bCs/>
                <w:color w:val="000000" w:themeColor="text1"/>
                <w:kern w:val="2"/>
                <w:sz w:val="21"/>
                <w:szCs w:val="21"/>
                <w:highlight w:val="none"/>
                <w:vertAlign w:val="baseline"/>
                <w:lang w:val="en-US" w:eastAsia="zh-CN"/>
                <w14:textFill>
                  <w14:solidFill>
                    <w14:schemeClr w14:val="tx1"/>
                  </w14:solidFill>
                </w14:textFill>
              </w:rPr>
              <w:t>本项目进场道路由附近现有道路引接，</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总长度为</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w:t>
            </w:r>
            <w:r>
              <w:rPr>
                <w:rFonts w:hint="eastAsia" w:cs="Times New Roman" w:eastAsiaTheme="minorEastAsia"/>
                <w:color w:val="000000" w:themeColor="text1"/>
                <w:sz w:val="21"/>
                <w:szCs w:val="21"/>
                <w:highlight w:val="none"/>
                <w:lang w:val="en-US" w:eastAsia="zh-CN"/>
                <w14:textFill>
                  <w14:solidFill>
                    <w14:schemeClr w14:val="tx1"/>
                  </w14:solidFill>
                </w14:textFill>
              </w:rPr>
              <w:t>0</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m，路面宽度</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6</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m。</w:t>
            </w:r>
          </w:p>
        </w:tc>
      </w:tr>
      <w:tr w14:paraId="72F8698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82" w:type="dxa"/>
            <w:vMerge w:val="restart"/>
            <w:tcBorders>
              <w:tl2br w:val="nil"/>
              <w:tr2bl w:val="nil"/>
            </w:tcBorders>
            <w:vAlign w:val="center"/>
          </w:tcPr>
          <w:p w14:paraId="7D05DC7A">
            <w:pPr>
              <w:pStyle w:val="8"/>
              <w:keepNext w:val="0"/>
              <w:keepLines w:val="0"/>
              <w:pageBreakBefore w:val="0"/>
              <w:widowControl w:val="0"/>
              <w:kinsoku/>
              <w:wordWrap w:val="0"/>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b w:val="0"/>
                <w:bCs/>
                <w:color w:val="FF0000"/>
                <w:sz w:val="21"/>
                <w:szCs w:val="21"/>
                <w:highlight w:val="none"/>
                <w:vertAlign w:val="baseline"/>
                <w:lang w:val="en-US" w:eastAsia="zh-CN"/>
              </w:rPr>
            </w:pPr>
            <w:r>
              <w:rPr>
                <w:rFonts w:hint="default" w:ascii="Times New Roman" w:hAnsi="Times New Roman" w:cs="Times New Roman" w:eastAsiaTheme="minorEastAsia"/>
                <w:b w:val="0"/>
                <w:bCs/>
                <w:color w:val="000000" w:themeColor="text1"/>
                <w:sz w:val="21"/>
                <w:szCs w:val="21"/>
                <w:highlight w:val="none"/>
                <w:vertAlign w:val="baseline"/>
                <w:lang w:val="en-US" w:eastAsia="zh-CN"/>
                <w14:textFill>
                  <w14:solidFill>
                    <w14:schemeClr w14:val="tx1"/>
                  </w14:solidFill>
                </w14:textFill>
              </w:rPr>
              <w:t>公用工程</w:t>
            </w:r>
          </w:p>
        </w:tc>
        <w:tc>
          <w:tcPr>
            <w:tcW w:w="1105" w:type="dxa"/>
            <w:tcBorders>
              <w:tl2br w:val="nil"/>
              <w:tr2bl w:val="nil"/>
            </w:tcBorders>
            <w:vAlign w:val="center"/>
          </w:tcPr>
          <w:p w14:paraId="70DFA828">
            <w:pPr>
              <w:keepNext w:val="0"/>
              <w:keepLines w:val="0"/>
              <w:pageBreakBefore w:val="0"/>
              <w:widowControl/>
              <w:suppressLineNumbers w:val="0"/>
              <w:kinsoku/>
              <w:wordWrap w:val="0"/>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eastAsiaTheme="minorEastAsia"/>
                <w:b w:val="0"/>
                <w:bCs/>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val="0"/>
                <w:bCs/>
                <w:color w:val="000000" w:themeColor="text1"/>
                <w:kern w:val="2"/>
                <w:sz w:val="21"/>
                <w:szCs w:val="21"/>
                <w:highlight w:val="none"/>
                <w:vertAlign w:val="baseline"/>
                <w:lang w:val="en-US" w:eastAsia="zh-CN"/>
                <w14:textFill>
                  <w14:solidFill>
                    <w14:schemeClr w14:val="tx1"/>
                  </w14:solidFill>
                </w14:textFill>
              </w:rPr>
              <w:t>供水</w:t>
            </w:r>
          </w:p>
        </w:tc>
        <w:tc>
          <w:tcPr>
            <w:tcW w:w="7493" w:type="dxa"/>
            <w:tcBorders>
              <w:tl2br w:val="nil"/>
              <w:tr2bl w:val="nil"/>
            </w:tcBorders>
            <w:vAlign w:val="center"/>
          </w:tcPr>
          <w:p w14:paraId="008AC870">
            <w:pPr>
              <w:keepNext w:val="0"/>
              <w:keepLines w:val="0"/>
              <w:pageBreakBefore w:val="0"/>
              <w:widowControl/>
              <w:suppressLineNumbers w:val="0"/>
              <w:kinsoku/>
              <w:wordWrap/>
              <w:overflowPunct w:val="0"/>
              <w:topLinePunct w:val="0"/>
              <w:autoSpaceDE/>
              <w:autoSpaceDN/>
              <w:bidi w:val="0"/>
              <w:adjustRightInd w:val="0"/>
              <w:snapToGrid w:val="0"/>
              <w:spacing w:line="320" w:lineRule="exact"/>
              <w:ind w:left="0" w:leftChars="0" w:firstLine="0" w:firstLineChars="0"/>
              <w:jc w:val="both"/>
              <w:textAlignment w:val="auto"/>
              <w:rPr>
                <w:rFonts w:hint="default" w:ascii="Times New Roman" w:hAnsi="Times New Roman" w:cs="Times New Roman" w:eastAsiaTheme="minorEastAsia"/>
                <w:b w:val="0"/>
                <w:bCs/>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val="0"/>
                <w:bCs/>
                <w:color w:val="000000" w:themeColor="text1"/>
                <w:kern w:val="2"/>
                <w:sz w:val="21"/>
                <w:szCs w:val="21"/>
                <w:highlight w:val="none"/>
                <w:vertAlign w:val="baseline"/>
                <w:lang w:val="en-US" w:eastAsia="zh-CN"/>
                <w14:textFill>
                  <w14:solidFill>
                    <w14:schemeClr w14:val="tx1"/>
                  </w14:solidFill>
                </w14:textFill>
              </w:rPr>
              <w:t>施工临建场地设置1座</w:t>
            </w:r>
            <w:r>
              <w:rPr>
                <w:rFonts w:hint="eastAsia" w:cs="Times New Roman" w:eastAsiaTheme="minorEastAsia"/>
                <w:b w:val="0"/>
                <w:bCs/>
                <w:color w:val="000000" w:themeColor="text1"/>
                <w:kern w:val="2"/>
                <w:sz w:val="21"/>
                <w:szCs w:val="21"/>
                <w:highlight w:val="none"/>
                <w:vertAlign w:val="baseline"/>
                <w:lang w:val="en-US" w:eastAsia="zh-CN"/>
                <w14:textFill>
                  <w14:solidFill>
                    <w14:schemeClr w14:val="tx1"/>
                  </w14:solidFill>
                </w14:textFill>
              </w:rPr>
              <w:t>100</w:t>
            </w:r>
            <w:r>
              <w:rPr>
                <w:rFonts w:hint="default" w:ascii="Times New Roman" w:hAnsi="Times New Roman" w:cs="Times New Roman" w:eastAsiaTheme="minorEastAsia"/>
                <w:b w:val="0"/>
                <w:bCs/>
                <w:color w:val="000000" w:themeColor="text1"/>
                <w:kern w:val="2"/>
                <w:sz w:val="21"/>
                <w:szCs w:val="21"/>
                <w:highlight w:val="none"/>
                <w:vertAlign w:val="baseline"/>
                <w:lang w:val="en-US" w:eastAsia="zh-CN"/>
                <w14:textFill>
                  <w14:solidFill>
                    <w14:schemeClr w14:val="tx1"/>
                  </w14:solidFill>
                </w14:textFill>
              </w:rPr>
              <w:t>m</w:t>
            </w:r>
            <w:r>
              <w:rPr>
                <w:rFonts w:hint="default" w:ascii="Times New Roman" w:hAnsi="Times New Roman" w:cs="Times New Roman" w:eastAsiaTheme="minorEastAsia"/>
                <w:b w:val="0"/>
                <w:bCs/>
                <w:color w:val="000000" w:themeColor="text1"/>
                <w:kern w:val="2"/>
                <w:sz w:val="21"/>
                <w:szCs w:val="21"/>
                <w:highlight w:val="none"/>
                <w:vertAlign w:val="superscript"/>
                <w:lang w:val="en-US" w:eastAsia="zh-CN"/>
                <w14:textFill>
                  <w14:solidFill>
                    <w14:schemeClr w14:val="tx1"/>
                  </w14:solidFill>
                </w14:textFill>
              </w:rPr>
              <w:t>3</w:t>
            </w:r>
            <w:r>
              <w:rPr>
                <w:rFonts w:hint="default" w:ascii="Times New Roman" w:hAnsi="Times New Roman" w:cs="Times New Roman" w:eastAsiaTheme="minorEastAsia"/>
                <w:b w:val="0"/>
                <w:bCs/>
                <w:color w:val="000000" w:themeColor="text1"/>
                <w:kern w:val="2"/>
                <w:sz w:val="21"/>
                <w:szCs w:val="21"/>
                <w:highlight w:val="none"/>
                <w:vertAlign w:val="baseline"/>
                <w:lang w:val="en-US" w:eastAsia="zh-CN"/>
                <w14:textFill>
                  <w14:solidFill>
                    <w14:schemeClr w14:val="tx1"/>
                  </w14:solidFill>
                </w14:textFill>
              </w:rPr>
              <w:t>蓄水池，施工期用水利用水罐车由附近乡镇拉运。</w:t>
            </w:r>
          </w:p>
        </w:tc>
      </w:tr>
      <w:tr w14:paraId="244857B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82" w:type="dxa"/>
            <w:vMerge w:val="continue"/>
            <w:tcBorders>
              <w:tl2br w:val="nil"/>
              <w:tr2bl w:val="nil"/>
            </w:tcBorders>
            <w:vAlign w:val="center"/>
          </w:tcPr>
          <w:p w14:paraId="2AB6AE2B">
            <w:pPr>
              <w:pStyle w:val="8"/>
              <w:keepNext w:val="0"/>
              <w:keepLines w:val="0"/>
              <w:pageBreakBefore w:val="0"/>
              <w:widowControl w:val="0"/>
              <w:kinsoku/>
              <w:wordWrap w:val="0"/>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b w:val="0"/>
                <w:bCs/>
                <w:color w:val="FF0000"/>
                <w:sz w:val="21"/>
                <w:szCs w:val="21"/>
                <w:highlight w:val="none"/>
                <w:vertAlign w:val="baseline"/>
                <w:lang w:val="en-US" w:eastAsia="zh-CN"/>
              </w:rPr>
            </w:pPr>
          </w:p>
        </w:tc>
        <w:tc>
          <w:tcPr>
            <w:tcW w:w="1105" w:type="dxa"/>
            <w:tcBorders>
              <w:tl2br w:val="nil"/>
              <w:tr2bl w:val="nil"/>
            </w:tcBorders>
            <w:vAlign w:val="center"/>
          </w:tcPr>
          <w:p w14:paraId="79C421FA">
            <w:pPr>
              <w:pStyle w:val="8"/>
              <w:keepNext w:val="0"/>
              <w:keepLines w:val="0"/>
              <w:pageBreakBefore w:val="0"/>
              <w:widowControl w:val="0"/>
              <w:kinsoku/>
              <w:wordWrap w:val="0"/>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b w:val="0"/>
                <w:bCs/>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val="0"/>
                <w:bCs/>
                <w:color w:val="000000" w:themeColor="text1"/>
                <w:kern w:val="2"/>
                <w:sz w:val="21"/>
                <w:szCs w:val="21"/>
                <w:highlight w:val="none"/>
                <w:vertAlign w:val="baseline"/>
                <w:lang w:val="en-US" w:eastAsia="zh-CN"/>
                <w14:textFill>
                  <w14:solidFill>
                    <w14:schemeClr w14:val="tx1"/>
                  </w14:solidFill>
                </w14:textFill>
              </w:rPr>
              <w:t>排水</w:t>
            </w:r>
          </w:p>
        </w:tc>
        <w:tc>
          <w:tcPr>
            <w:tcW w:w="7493" w:type="dxa"/>
            <w:tcBorders>
              <w:tl2br w:val="nil"/>
              <w:tr2bl w:val="nil"/>
            </w:tcBorders>
            <w:vAlign w:val="center"/>
          </w:tcPr>
          <w:p w14:paraId="107C5598">
            <w:pPr>
              <w:keepNext w:val="0"/>
              <w:keepLines w:val="0"/>
              <w:pageBreakBefore w:val="0"/>
              <w:kinsoku/>
              <w:overflowPunct/>
              <w:topLinePunct w:val="0"/>
              <w:autoSpaceDE/>
              <w:autoSpaceDN/>
              <w:bidi w:val="0"/>
              <w:adjustRightInd w:val="0"/>
              <w:snapToGrid w:val="0"/>
              <w:spacing w:line="320" w:lineRule="exact"/>
              <w:ind w:left="0" w:leftChars="0" w:firstLine="0" w:firstLineChars="0"/>
              <w:jc w:val="both"/>
              <w:textAlignment w:val="auto"/>
              <w:rPr>
                <w:rFonts w:hint="default" w:ascii="Times New Roman" w:hAnsi="Times New Roman" w:cs="Times New Roman" w:eastAsiaTheme="minorEastAsia"/>
                <w:b w:val="0"/>
                <w:bCs/>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车辆冲洗废水集中收集至沉淀池处理后循环利用，不外排。施工营地内设置移动</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环保厕所和防渗污水收集池</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用于解决施工人员生活排污，定期委托环卫部门采用吸污车清运至污水处理厂处理</w:t>
            </w:r>
            <w:r>
              <w:rPr>
                <w:rFonts w:hint="default" w:ascii="Times New Roman" w:hAnsi="Times New Roman" w:cs="Times New Roman" w:eastAsiaTheme="minorEastAsia"/>
                <w:b w:val="0"/>
                <w:bCs/>
                <w:color w:val="000000" w:themeColor="text1"/>
                <w:kern w:val="2"/>
                <w:sz w:val="21"/>
                <w:szCs w:val="21"/>
                <w:highlight w:val="none"/>
                <w:vertAlign w:val="baseline"/>
                <w:lang w:val="en-US" w:eastAsia="zh-CN"/>
                <w14:textFill>
                  <w14:solidFill>
                    <w14:schemeClr w14:val="tx1"/>
                  </w14:solidFill>
                </w14:textFill>
              </w:rPr>
              <w:t>。</w:t>
            </w:r>
            <w:r>
              <w:rPr>
                <w:rFonts w:hint="eastAsia" w:cs="Times New Roman" w:eastAsiaTheme="minorEastAsia"/>
                <w:b w:val="0"/>
                <w:bCs/>
                <w:color w:val="000000" w:themeColor="text1"/>
                <w:kern w:val="2"/>
                <w:sz w:val="21"/>
                <w:szCs w:val="21"/>
                <w:highlight w:val="none"/>
                <w:vertAlign w:val="baseline"/>
                <w:lang w:val="en-US" w:eastAsia="zh-CN"/>
                <w14:textFill>
                  <w14:solidFill>
                    <w14:schemeClr w14:val="tx1"/>
                  </w14:solidFill>
                </w14:textFill>
              </w:rPr>
              <w:t>运营期无废水产生。</w:t>
            </w:r>
          </w:p>
        </w:tc>
      </w:tr>
      <w:tr w14:paraId="322D473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82" w:type="dxa"/>
            <w:vMerge w:val="continue"/>
            <w:tcBorders>
              <w:tl2br w:val="nil"/>
              <w:tr2bl w:val="nil"/>
            </w:tcBorders>
            <w:vAlign w:val="center"/>
          </w:tcPr>
          <w:p w14:paraId="1D6E4320">
            <w:pPr>
              <w:pStyle w:val="8"/>
              <w:keepNext w:val="0"/>
              <w:keepLines w:val="0"/>
              <w:pageBreakBefore w:val="0"/>
              <w:widowControl w:val="0"/>
              <w:kinsoku/>
              <w:wordWrap w:val="0"/>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b w:val="0"/>
                <w:bCs/>
                <w:color w:val="FF0000"/>
                <w:sz w:val="21"/>
                <w:szCs w:val="21"/>
                <w:highlight w:val="none"/>
                <w:vertAlign w:val="baseline"/>
                <w:lang w:val="en-US" w:eastAsia="zh-CN"/>
              </w:rPr>
            </w:pPr>
          </w:p>
        </w:tc>
        <w:tc>
          <w:tcPr>
            <w:tcW w:w="1105" w:type="dxa"/>
            <w:tcBorders>
              <w:tl2br w:val="nil"/>
              <w:tr2bl w:val="nil"/>
            </w:tcBorders>
            <w:vAlign w:val="center"/>
          </w:tcPr>
          <w:p w14:paraId="464EEF32">
            <w:pPr>
              <w:pStyle w:val="8"/>
              <w:keepNext w:val="0"/>
              <w:keepLines w:val="0"/>
              <w:pageBreakBefore w:val="0"/>
              <w:widowControl w:val="0"/>
              <w:kinsoku/>
              <w:wordWrap w:val="0"/>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b w:val="0"/>
                <w:bCs/>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val="0"/>
                <w:bCs/>
                <w:color w:val="000000" w:themeColor="text1"/>
                <w:kern w:val="2"/>
                <w:sz w:val="21"/>
                <w:szCs w:val="21"/>
                <w:highlight w:val="none"/>
                <w:vertAlign w:val="baseline"/>
                <w:lang w:val="en-US" w:eastAsia="zh-CN"/>
                <w14:textFill>
                  <w14:solidFill>
                    <w14:schemeClr w14:val="tx1"/>
                  </w14:solidFill>
                </w14:textFill>
              </w:rPr>
              <w:t>供热</w:t>
            </w:r>
          </w:p>
        </w:tc>
        <w:tc>
          <w:tcPr>
            <w:tcW w:w="7493" w:type="dxa"/>
            <w:tcBorders>
              <w:tl2br w:val="nil"/>
              <w:tr2bl w:val="nil"/>
            </w:tcBorders>
            <w:vAlign w:val="center"/>
          </w:tcPr>
          <w:p w14:paraId="2644CA48">
            <w:pPr>
              <w:keepNext w:val="0"/>
              <w:keepLines w:val="0"/>
              <w:pageBreakBefore w:val="0"/>
              <w:kinsoku/>
              <w:overflowPunct/>
              <w:topLinePunct w:val="0"/>
              <w:autoSpaceDE/>
              <w:autoSpaceDN/>
              <w:bidi w:val="0"/>
              <w:adjustRightInd w:val="0"/>
              <w:snapToGrid w:val="0"/>
              <w:spacing w:line="320" w:lineRule="exact"/>
              <w:ind w:left="0" w:leftChars="0" w:firstLine="0" w:firstLineChars="0"/>
              <w:jc w:val="both"/>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本项目无供暖需求。</w:t>
            </w:r>
          </w:p>
        </w:tc>
      </w:tr>
      <w:tr w14:paraId="2499EA1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82" w:type="dxa"/>
            <w:vMerge w:val="continue"/>
            <w:tcBorders>
              <w:tl2br w:val="nil"/>
              <w:tr2bl w:val="nil"/>
            </w:tcBorders>
            <w:vAlign w:val="center"/>
          </w:tcPr>
          <w:p w14:paraId="7101FCC5">
            <w:pPr>
              <w:pStyle w:val="8"/>
              <w:keepNext w:val="0"/>
              <w:keepLines w:val="0"/>
              <w:pageBreakBefore w:val="0"/>
              <w:widowControl w:val="0"/>
              <w:kinsoku/>
              <w:wordWrap w:val="0"/>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b w:val="0"/>
                <w:bCs/>
                <w:color w:val="FF0000"/>
                <w:sz w:val="21"/>
                <w:szCs w:val="21"/>
                <w:highlight w:val="none"/>
                <w:vertAlign w:val="baseline"/>
                <w:lang w:val="en-US" w:eastAsia="zh-CN"/>
              </w:rPr>
            </w:pPr>
          </w:p>
        </w:tc>
        <w:tc>
          <w:tcPr>
            <w:tcW w:w="1105" w:type="dxa"/>
            <w:tcBorders>
              <w:tl2br w:val="nil"/>
              <w:tr2bl w:val="nil"/>
            </w:tcBorders>
            <w:vAlign w:val="center"/>
          </w:tcPr>
          <w:p w14:paraId="1D96FDA9">
            <w:pPr>
              <w:pStyle w:val="8"/>
              <w:keepNext w:val="0"/>
              <w:keepLines w:val="0"/>
              <w:pageBreakBefore w:val="0"/>
              <w:widowControl w:val="0"/>
              <w:kinsoku/>
              <w:wordWrap w:val="0"/>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b w:val="0"/>
                <w:bCs/>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val="0"/>
                <w:bCs/>
                <w:color w:val="000000" w:themeColor="text1"/>
                <w:kern w:val="2"/>
                <w:sz w:val="21"/>
                <w:szCs w:val="21"/>
                <w:highlight w:val="none"/>
                <w:vertAlign w:val="baseline"/>
                <w:lang w:val="en-US" w:eastAsia="zh-CN"/>
                <w14:textFill>
                  <w14:solidFill>
                    <w14:schemeClr w14:val="tx1"/>
                  </w14:solidFill>
                </w14:textFill>
              </w:rPr>
              <w:t>供电</w:t>
            </w:r>
          </w:p>
        </w:tc>
        <w:tc>
          <w:tcPr>
            <w:tcW w:w="7493" w:type="dxa"/>
            <w:tcBorders>
              <w:tl2br w:val="nil"/>
              <w:tr2bl w:val="nil"/>
            </w:tcBorders>
            <w:vAlign w:val="center"/>
          </w:tcPr>
          <w:p w14:paraId="5B52EA73">
            <w:pPr>
              <w:keepNext w:val="0"/>
              <w:keepLines w:val="0"/>
              <w:pageBreakBefore w:val="0"/>
              <w:kinsoku/>
              <w:overflowPunct/>
              <w:topLinePunct w:val="0"/>
              <w:autoSpaceDE/>
              <w:autoSpaceDN/>
              <w:bidi w:val="0"/>
              <w:adjustRightInd w:val="0"/>
              <w:snapToGrid w:val="0"/>
              <w:spacing w:line="320" w:lineRule="exact"/>
              <w:ind w:left="0" w:leftChars="0" w:firstLine="0" w:firstLineChars="0"/>
              <w:jc w:val="both"/>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14:textFill>
                  <w14:solidFill>
                    <w14:schemeClr w14:val="tx1"/>
                  </w14:solidFill>
                </w14:textFill>
              </w:rPr>
              <w:t>施工电源从附近10kV线路引接，结合移动发电车使用</w:t>
            </w:r>
            <w:r>
              <w:rPr>
                <w:rFonts w:hint="eastAsia" w:ascii="Times New Roman" w:hAnsi="Times New Roman" w:cs="Times New Roman" w:eastAsiaTheme="minorEastAsia"/>
                <w:color w:val="000000" w:themeColor="text1"/>
                <w:sz w:val="21"/>
                <w:szCs w:val="21"/>
                <w:highlight w:val="none"/>
                <w:lang w:eastAsia="zh-CN"/>
                <w14:textFill>
                  <w14:solidFill>
                    <w14:schemeClr w14:val="tx1"/>
                  </w14:solidFill>
                </w14:textFill>
              </w:rPr>
              <w:t>。</w:t>
            </w:r>
          </w:p>
        </w:tc>
      </w:tr>
      <w:tr w14:paraId="3175780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82" w:type="dxa"/>
            <w:vMerge w:val="restart"/>
            <w:tcBorders>
              <w:tl2br w:val="nil"/>
              <w:tr2bl w:val="nil"/>
            </w:tcBorders>
            <w:vAlign w:val="center"/>
          </w:tcPr>
          <w:p w14:paraId="26AC5126">
            <w:pPr>
              <w:pStyle w:val="8"/>
              <w:keepNext w:val="0"/>
              <w:keepLines w:val="0"/>
              <w:pageBreakBefore w:val="0"/>
              <w:widowControl w:val="0"/>
              <w:kinsoku/>
              <w:wordWrap w:val="0"/>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val="0"/>
                <w:bCs/>
                <w:color w:val="000000" w:themeColor="text1"/>
                <w:sz w:val="21"/>
                <w:szCs w:val="21"/>
                <w:highlight w:val="none"/>
                <w:vertAlign w:val="baseline"/>
                <w:lang w:val="en-US" w:eastAsia="zh-CN"/>
                <w14:textFill>
                  <w14:solidFill>
                    <w14:schemeClr w14:val="tx1"/>
                  </w14:solidFill>
                </w14:textFill>
              </w:rPr>
              <w:t>环保工程</w:t>
            </w:r>
          </w:p>
        </w:tc>
        <w:tc>
          <w:tcPr>
            <w:tcW w:w="1105" w:type="dxa"/>
            <w:vMerge w:val="restart"/>
            <w:tcBorders>
              <w:tl2br w:val="nil"/>
              <w:tr2bl w:val="nil"/>
            </w:tcBorders>
            <w:vAlign w:val="center"/>
          </w:tcPr>
          <w:p w14:paraId="1436FB39">
            <w:pPr>
              <w:pStyle w:val="8"/>
              <w:keepNext w:val="0"/>
              <w:keepLines w:val="0"/>
              <w:pageBreakBefore w:val="0"/>
              <w:widowControl w:val="0"/>
              <w:kinsoku/>
              <w:wordWrap w:val="0"/>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val="0"/>
                <w:bCs/>
                <w:color w:val="000000" w:themeColor="text1"/>
                <w:sz w:val="21"/>
                <w:szCs w:val="21"/>
                <w:highlight w:val="none"/>
                <w:vertAlign w:val="baseline"/>
                <w:lang w:val="en-US" w:eastAsia="zh-CN"/>
                <w14:textFill>
                  <w14:solidFill>
                    <w14:schemeClr w14:val="tx1"/>
                  </w14:solidFill>
                </w14:textFill>
              </w:rPr>
              <w:t>生态</w:t>
            </w:r>
          </w:p>
          <w:p w14:paraId="1F7BC631">
            <w:pPr>
              <w:pStyle w:val="8"/>
              <w:keepNext w:val="0"/>
              <w:keepLines w:val="0"/>
              <w:pageBreakBefore w:val="0"/>
              <w:widowControl w:val="0"/>
              <w:kinsoku/>
              <w:wordWrap w:val="0"/>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b w:val="0"/>
                <w:bCs/>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val="0"/>
                <w:bCs/>
                <w:color w:val="000000" w:themeColor="text1"/>
                <w:sz w:val="21"/>
                <w:szCs w:val="21"/>
                <w:highlight w:val="none"/>
                <w:vertAlign w:val="baseline"/>
                <w:lang w:val="en-US" w:eastAsia="zh-CN"/>
                <w14:textFill>
                  <w14:solidFill>
                    <w14:schemeClr w14:val="tx1"/>
                  </w14:solidFill>
                </w14:textFill>
              </w:rPr>
              <w:t>保护</w:t>
            </w:r>
          </w:p>
        </w:tc>
        <w:tc>
          <w:tcPr>
            <w:tcW w:w="7493" w:type="dxa"/>
            <w:tcBorders>
              <w:tl2br w:val="nil"/>
              <w:tr2bl w:val="nil"/>
            </w:tcBorders>
            <w:vAlign w:val="center"/>
          </w:tcPr>
          <w:p w14:paraId="0E29E640">
            <w:pPr>
              <w:keepNext w:val="0"/>
              <w:keepLines w:val="0"/>
              <w:pageBreakBefore w:val="0"/>
              <w:widowControl/>
              <w:suppressLineNumbers w:val="0"/>
              <w:kinsoku/>
              <w:overflowPunct/>
              <w:topLinePunct w:val="0"/>
              <w:autoSpaceDE/>
              <w:autoSpaceDN/>
              <w:bidi w:val="0"/>
              <w:adjustRightInd w:val="0"/>
              <w:snapToGrid w:val="0"/>
              <w:spacing w:line="320" w:lineRule="exact"/>
              <w:ind w:left="0" w:leftChars="0"/>
              <w:jc w:val="left"/>
              <w:textAlignment w:val="auto"/>
              <w:rPr>
                <w:rFonts w:hint="default"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t>施工期：</w:t>
            </w: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限制施工作业范围，不超出项目占地范围，减少施工开挖面积和临时性占地，施工结束后恢复临时占地原有地貌；场区各个功能区，进行适当生态恢复工程。</w:t>
            </w:r>
          </w:p>
        </w:tc>
      </w:tr>
      <w:tr w14:paraId="0982A2A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82" w:type="dxa"/>
            <w:vMerge w:val="continue"/>
            <w:tcBorders>
              <w:tl2br w:val="nil"/>
              <w:tr2bl w:val="nil"/>
            </w:tcBorders>
            <w:vAlign w:val="center"/>
          </w:tcPr>
          <w:p w14:paraId="4EF81DD3">
            <w:pPr>
              <w:pStyle w:val="8"/>
              <w:keepNext w:val="0"/>
              <w:keepLines w:val="0"/>
              <w:pageBreakBefore w:val="0"/>
              <w:widowControl w:val="0"/>
              <w:kinsoku/>
              <w:wordWrap w:val="0"/>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b w:val="0"/>
                <w:bCs/>
                <w:color w:val="FF0000"/>
                <w:sz w:val="21"/>
                <w:szCs w:val="21"/>
                <w:highlight w:val="none"/>
                <w:vertAlign w:val="baseline"/>
                <w:lang w:val="en-US" w:eastAsia="zh-CN"/>
              </w:rPr>
            </w:pPr>
          </w:p>
        </w:tc>
        <w:tc>
          <w:tcPr>
            <w:tcW w:w="1105" w:type="dxa"/>
            <w:vMerge w:val="continue"/>
            <w:tcBorders>
              <w:tl2br w:val="nil"/>
              <w:tr2bl w:val="nil"/>
            </w:tcBorders>
            <w:vAlign w:val="center"/>
          </w:tcPr>
          <w:p w14:paraId="1C2EC3A9">
            <w:pPr>
              <w:pStyle w:val="8"/>
              <w:keepNext w:val="0"/>
              <w:keepLines w:val="0"/>
              <w:pageBreakBefore w:val="0"/>
              <w:widowControl w:val="0"/>
              <w:kinsoku/>
              <w:wordWrap w:val="0"/>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b w:val="0"/>
                <w:bCs/>
                <w:color w:val="FF0000"/>
                <w:kern w:val="2"/>
                <w:sz w:val="21"/>
                <w:szCs w:val="21"/>
                <w:highlight w:val="none"/>
                <w:vertAlign w:val="baseline"/>
                <w:lang w:val="en-US" w:eastAsia="zh-CN"/>
              </w:rPr>
            </w:pPr>
          </w:p>
        </w:tc>
        <w:tc>
          <w:tcPr>
            <w:tcW w:w="7493" w:type="dxa"/>
            <w:tcBorders>
              <w:tl2br w:val="nil"/>
              <w:tr2bl w:val="nil"/>
            </w:tcBorders>
            <w:vAlign w:val="center"/>
          </w:tcPr>
          <w:p w14:paraId="2E2083A6">
            <w:pPr>
              <w:pStyle w:val="8"/>
              <w:keepNext w:val="0"/>
              <w:keepLines w:val="0"/>
              <w:pageBreakBefore w:val="0"/>
              <w:widowControl w:val="0"/>
              <w:kinsoku/>
              <w:wordWrap w:val="0"/>
              <w:overflowPunct/>
              <w:topLinePunct w:val="0"/>
              <w:autoSpaceDE/>
              <w:autoSpaceDN/>
              <w:bidi w:val="0"/>
              <w:adjustRightInd w:val="0"/>
              <w:snapToGrid w:val="0"/>
              <w:spacing w:after="0" w:line="320" w:lineRule="exact"/>
              <w:ind w:left="0" w:leftChars="0" w:firstLine="0" w:firstLineChars="0"/>
              <w:jc w:val="both"/>
              <w:textAlignment w:val="auto"/>
              <w:rPr>
                <w:rFonts w:hint="default" w:ascii="Times New Roman" w:hAnsi="Times New Roman" w:cs="Times New Roman" w:eastAsiaTheme="minorEastAsia"/>
                <w:color w:val="FF0000"/>
                <w:kern w:val="0"/>
                <w:sz w:val="21"/>
                <w:szCs w:val="21"/>
                <w:highlight w:val="none"/>
                <w:lang w:val="en-US" w:eastAsia="zh-CN"/>
              </w:rPr>
            </w:pPr>
            <w:r>
              <w:rPr>
                <w:rFonts w:hint="default" w:ascii="Times New Roman" w:hAnsi="Times New Roman" w:cs="Times New Roman" w:eastAsiaTheme="minorEastAsia"/>
                <w:b w:val="0"/>
                <w:bCs/>
                <w:i w:val="0"/>
                <w:iCs w:val="0"/>
                <w:color w:val="000000" w:themeColor="text1"/>
                <w:sz w:val="21"/>
                <w:szCs w:val="21"/>
                <w:highlight w:val="none"/>
                <w:vertAlign w:val="baseline"/>
                <w:lang w:val="en-US" w:eastAsia="zh-CN"/>
                <w14:textFill>
                  <w14:solidFill>
                    <w14:schemeClr w14:val="tx1"/>
                  </w14:solidFill>
                </w14:textFill>
              </w:rPr>
              <w:t>运营期：施工结束后，拆除临时建构筑物，清理平整场地并覆盖砾幕层防止水土流失，自然恢复植被。运营期风机叶片设置警示色、驱鸟器；集电线路上安装红色或黄色的绝缘保护套。</w:t>
            </w:r>
          </w:p>
        </w:tc>
      </w:tr>
      <w:tr w14:paraId="48B4B20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82" w:type="dxa"/>
            <w:vMerge w:val="continue"/>
            <w:tcBorders>
              <w:tl2br w:val="nil"/>
              <w:tr2bl w:val="nil"/>
            </w:tcBorders>
            <w:vAlign w:val="center"/>
          </w:tcPr>
          <w:p w14:paraId="43C4C5DF">
            <w:pPr>
              <w:pStyle w:val="8"/>
              <w:keepNext w:val="0"/>
              <w:keepLines w:val="0"/>
              <w:pageBreakBefore w:val="0"/>
              <w:widowControl w:val="0"/>
              <w:kinsoku/>
              <w:wordWrap w:val="0"/>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b w:val="0"/>
                <w:bCs/>
                <w:color w:val="FF0000"/>
                <w:sz w:val="21"/>
                <w:szCs w:val="21"/>
                <w:highlight w:val="none"/>
                <w:vertAlign w:val="baseline"/>
                <w:lang w:val="en-US" w:eastAsia="zh-CN"/>
              </w:rPr>
            </w:pPr>
          </w:p>
        </w:tc>
        <w:tc>
          <w:tcPr>
            <w:tcW w:w="1105" w:type="dxa"/>
            <w:tcBorders>
              <w:tl2br w:val="nil"/>
              <w:tr2bl w:val="nil"/>
            </w:tcBorders>
            <w:vAlign w:val="center"/>
          </w:tcPr>
          <w:p w14:paraId="74CC0F38">
            <w:pPr>
              <w:pStyle w:val="8"/>
              <w:keepNext w:val="0"/>
              <w:keepLines w:val="0"/>
              <w:pageBreakBefore w:val="0"/>
              <w:widowControl w:val="0"/>
              <w:kinsoku/>
              <w:wordWrap w:val="0"/>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val="0"/>
                <w:bCs/>
                <w:color w:val="000000" w:themeColor="text1"/>
                <w:sz w:val="21"/>
                <w:szCs w:val="21"/>
                <w:highlight w:val="none"/>
                <w:vertAlign w:val="baseline"/>
                <w:lang w:val="en-US" w:eastAsia="zh-CN"/>
                <w14:textFill>
                  <w14:solidFill>
                    <w14:schemeClr w14:val="tx1"/>
                  </w14:solidFill>
                </w14:textFill>
              </w:rPr>
              <w:t>废气处置措施</w:t>
            </w:r>
          </w:p>
        </w:tc>
        <w:tc>
          <w:tcPr>
            <w:tcW w:w="7493" w:type="dxa"/>
            <w:tcBorders>
              <w:tl2br w:val="nil"/>
              <w:tr2bl w:val="nil"/>
            </w:tcBorders>
            <w:vAlign w:val="center"/>
          </w:tcPr>
          <w:p w14:paraId="24F40624">
            <w:pPr>
              <w:pStyle w:val="8"/>
              <w:keepNext w:val="0"/>
              <w:keepLines w:val="0"/>
              <w:pageBreakBefore w:val="0"/>
              <w:widowControl w:val="0"/>
              <w:kinsoku/>
              <w:wordWrap w:val="0"/>
              <w:overflowPunct/>
              <w:topLinePunct w:val="0"/>
              <w:autoSpaceDE/>
              <w:autoSpaceDN/>
              <w:bidi w:val="0"/>
              <w:adjustRightInd w:val="0"/>
              <w:snapToGrid w:val="0"/>
              <w:spacing w:after="0" w:line="320" w:lineRule="exact"/>
              <w:ind w:left="0" w:leftChars="0" w:firstLine="0" w:firstLineChars="0"/>
              <w:jc w:val="both"/>
              <w:textAlignment w:val="auto"/>
              <w:rPr>
                <w:rFonts w:hint="default" w:ascii="Times New Roman" w:hAnsi="Times New Roman" w:cs="Times New Roman" w:eastAsiaTheme="minorEastAsia"/>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val="0"/>
                <w:bCs/>
                <w:color w:val="000000" w:themeColor="text1"/>
                <w:sz w:val="21"/>
                <w:szCs w:val="21"/>
                <w:highlight w:val="none"/>
                <w:vertAlign w:val="baseline"/>
                <w:lang w:val="en-US" w:eastAsia="zh-CN"/>
                <w14:textFill>
                  <w14:solidFill>
                    <w14:schemeClr w14:val="tx1"/>
                  </w14:solidFill>
                </w14:textFill>
              </w:rPr>
              <w:t>施工期回填土、临时堆料在指定地点堆放，采取围挡、覆盖措施，临时弃土及时回填；装卸建筑材料(尤其是泥沙石)，必须采用封闭式车辆运输；大风天禁止作业。</w:t>
            </w:r>
          </w:p>
        </w:tc>
      </w:tr>
      <w:tr w14:paraId="11C0DCA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82" w:type="dxa"/>
            <w:vMerge w:val="continue"/>
            <w:tcBorders>
              <w:tl2br w:val="nil"/>
              <w:tr2bl w:val="nil"/>
            </w:tcBorders>
            <w:vAlign w:val="center"/>
          </w:tcPr>
          <w:p w14:paraId="197220A2">
            <w:pPr>
              <w:pStyle w:val="8"/>
              <w:keepNext w:val="0"/>
              <w:keepLines w:val="0"/>
              <w:pageBreakBefore w:val="0"/>
              <w:widowControl w:val="0"/>
              <w:kinsoku/>
              <w:wordWrap w:val="0"/>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b w:val="0"/>
                <w:bCs/>
                <w:color w:val="FF0000"/>
                <w:sz w:val="21"/>
                <w:szCs w:val="21"/>
                <w:highlight w:val="none"/>
                <w:vertAlign w:val="baseline"/>
                <w:lang w:val="en-US" w:eastAsia="zh-CN"/>
              </w:rPr>
            </w:pPr>
          </w:p>
        </w:tc>
        <w:tc>
          <w:tcPr>
            <w:tcW w:w="1105" w:type="dxa"/>
            <w:tcBorders>
              <w:tl2br w:val="nil"/>
              <w:tr2bl w:val="nil"/>
            </w:tcBorders>
            <w:vAlign w:val="center"/>
          </w:tcPr>
          <w:p w14:paraId="3DE7E5BA">
            <w:pPr>
              <w:pStyle w:val="8"/>
              <w:keepNext w:val="0"/>
              <w:keepLines w:val="0"/>
              <w:pageBreakBefore w:val="0"/>
              <w:widowControl w:val="0"/>
              <w:kinsoku/>
              <w:wordWrap w:val="0"/>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val="0"/>
                <w:bCs/>
                <w:color w:val="000000" w:themeColor="text1"/>
                <w:sz w:val="21"/>
                <w:szCs w:val="21"/>
                <w:highlight w:val="none"/>
                <w:vertAlign w:val="baseline"/>
                <w:lang w:val="en-US" w:eastAsia="zh-CN"/>
                <w14:textFill>
                  <w14:solidFill>
                    <w14:schemeClr w14:val="tx1"/>
                  </w14:solidFill>
                </w14:textFill>
              </w:rPr>
              <w:t>废水处置措施</w:t>
            </w:r>
          </w:p>
        </w:tc>
        <w:tc>
          <w:tcPr>
            <w:tcW w:w="7493" w:type="dxa"/>
            <w:tcBorders>
              <w:tl2br w:val="nil"/>
              <w:tr2bl w:val="nil"/>
            </w:tcBorders>
            <w:vAlign w:val="center"/>
          </w:tcPr>
          <w:p w14:paraId="056F1730">
            <w:pPr>
              <w:pStyle w:val="8"/>
              <w:keepNext w:val="0"/>
              <w:keepLines w:val="0"/>
              <w:pageBreakBefore w:val="0"/>
              <w:widowControl w:val="0"/>
              <w:kinsoku/>
              <w:wordWrap w:val="0"/>
              <w:overflowPunct/>
              <w:topLinePunct w:val="0"/>
              <w:autoSpaceDE/>
              <w:autoSpaceDN/>
              <w:bidi w:val="0"/>
              <w:adjustRightInd w:val="0"/>
              <w:snapToGrid w:val="0"/>
              <w:spacing w:after="0" w:line="320" w:lineRule="exact"/>
              <w:ind w:left="0" w:leftChars="0" w:firstLine="0" w:firstLineChars="0"/>
              <w:jc w:val="both"/>
              <w:textAlignment w:val="auto"/>
              <w:rPr>
                <w:rFonts w:hint="default" w:ascii="Times New Roman" w:hAnsi="Times New Roman" w:cs="Times New Roman" w:eastAsiaTheme="minorEastAsia"/>
                <w:b w:val="0"/>
                <w:bCs/>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t>施工期：施工临建场区设置1座50m</w:t>
            </w:r>
            <w:r>
              <w:rPr>
                <w:rFonts w:hint="default" w:ascii="Times New Roman" w:hAnsi="Times New Roman" w:cs="Times New Roman" w:eastAsiaTheme="minorEastAsia"/>
                <w:color w:val="000000" w:themeColor="text1"/>
                <w:kern w:val="0"/>
                <w:sz w:val="21"/>
                <w:szCs w:val="21"/>
                <w:highlight w:val="none"/>
                <w:vertAlign w:val="superscript"/>
                <w:lang w:val="en-US" w:eastAsia="zh-CN"/>
                <w14:textFill>
                  <w14:solidFill>
                    <w14:schemeClr w14:val="tx1"/>
                  </w14:solidFill>
                </w14:textFill>
              </w:rPr>
              <w:t>3</w:t>
            </w:r>
            <w:r>
              <w:rPr>
                <w:rFonts w:hint="default"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t>沉淀池，车辆冲洗废水集中收集至沉淀池处理后循环利用，不外排。施工期生活污水排入施工营地配置的移动环保厕所</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，定期委托环卫部门采用吸污车统一清运至污水处理厂处理</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w:t>
            </w:r>
          </w:p>
        </w:tc>
      </w:tr>
      <w:tr w14:paraId="5CC5502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82" w:type="dxa"/>
            <w:vMerge w:val="continue"/>
            <w:tcBorders>
              <w:tl2br w:val="nil"/>
              <w:tr2bl w:val="nil"/>
            </w:tcBorders>
            <w:vAlign w:val="center"/>
          </w:tcPr>
          <w:p w14:paraId="48DF9035">
            <w:pPr>
              <w:pStyle w:val="8"/>
              <w:keepNext w:val="0"/>
              <w:keepLines w:val="0"/>
              <w:pageBreakBefore w:val="0"/>
              <w:widowControl w:val="0"/>
              <w:kinsoku/>
              <w:wordWrap w:val="0"/>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b w:val="0"/>
                <w:bCs/>
                <w:color w:val="FF0000"/>
                <w:sz w:val="21"/>
                <w:szCs w:val="21"/>
                <w:highlight w:val="none"/>
                <w:vertAlign w:val="baseline"/>
                <w:lang w:val="en-US" w:eastAsia="zh-CN"/>
              </w:rPr>
            </w:pPr>
          </w:p>
        </w:tc>
        <w:tc>
          <w:tcPr>
            <w:tcW w:w="1105" w:type="dxa"/>
            <w:vMerge w:val="restart"/>
            <w:tcBorders>
              <w:tl2br w:val="nil"/>
              <w:tr2bl w:val="nil"/>
            </w:tcBorders>
            <w:vAlign w:val="center"/>
          </w:tcPr>
          <w:p w14:paraId="3A5388DB">
            <w:pPr>
              <w:pStyle w:val="8"/>
              <w:keepNext w:val="0"/>
              <w:keepLines w:val="0"/>
              <w:pageBreakBefore w:val="0"/>
              <w:widowControl w:val="0"/>
              <w:kinsoku/>
              <w:wordWrap w:val="0"/>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val="0"/>
                <w:bCs/>
                <w:color w:val="000000" w:themeColor="text1"/>
                <w:sz w:val="21"/>
                <w:szCs w:val="21"/>
                <w:highlight w:val="none"/>
                <w:vertAlign w:val="baseline"/>
                <w:lang w:val="en-US" w:eastAsia="zh-CN"/>
                <w14:textFill>
                  <w14:solidFill>
                    <w14:schemeClr w14:val="tx1"/>
                  </w14:solidFill>
                </w14:textFill>
              </w:rPr>
              <w:t>固废处置措施</w:t>
            </w:r>
          </w:p>
        </w:tc>
        <w:tc>
          <w:tcPr>
            <w:tcW w:w="7493" w:type="dxa"/>
            <w:tcBorders>
              <w:tl2br w:val="nil"/>
              <w:tr2bl w:val="nil"/>
            </w:tcBorders>
            <w:vAlign w:val="center"/>
          </w:tcPr>
          <w:p w14:paraId="752A1215">
            <w:pPr>
              <w:pStyle w:val="8"/>
              <w:keepNext w:val="0"/>
              <w:keepLines w:val="0"/>
              <w:pageBreakBefore w:val="0"/>
              <w:widowControl w:val="0"/>
              <w:kinsoku/>
              <w:wordWrap w:val="0"/>
              <w:overflowPunct/>
              <w:topLinePunct w:val="0"/>
              <w:autoSpaceDE/>
              <w:autoSpaceDN/>
              <w:bidi w:val="0"/>
              <w:adjustRightInd w:val="0"/>
              <w:snapToGrid w:val="0"/>
              <w:spacing w:after="0" w:line="320" w:lineRule="exact"/>
              <w:ind w:left="0" w:leftChars="0" w:firstLine="0" w:firstLineChars="0"/>
              <w:jc w:val="left"/>
              <w:textAlignment w:val="auto"/>
              <w:rPr>
                <w:rFonts w:hint="default" w:ascii="Times New Roman" w:hAnsi="Times New Roman" w:cs="Times New Roman" w:eastAsiaTheme="minorEastAsia"/>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val="0"/>
                <w:bCs/>
                <w:color w:val="000000" w:themeColor="text1"/>
                <w:sz w:val="21"/>
                <w:szCs w:val="21"/>
                <w:highlight w:val="none"/>
                <w:vertAlign w:val="baseline"/>
                <w:lang w:val="en-US" w:eastAsia="zh-CN"/>
                <w14:textFill>
                  <w14:solidFill>
                    <w14:schemeClr w14:val="tx1"/>
                  </w14:solidFill>
                </w14:textFill>
              </w:rPr>
              <w:t>施工期：土石方合理平衡，无弃方；材料外包装垃圾外售综合利用；施工人员生</w:t>
            </w:r>
          </w:p>
          <w:p w14:paraId="114A5DBA">
            <w:pPr>
              <w:pStyle w:val="8"/>
              <w:keepNext w:val="0"/>
              <w:keepLines w:val="0"/>
              <w:pageBreakBefore w:val="0"/>
              <w:widowControl w:val="0"/>
              <w:kinsoku/>
              <w:wordWrap w:val="0"/>
              <w:overflowPunct/>
              <w:topLinePunct w:val="0"/>
              <w:autoSpaceDE/>
              <w:autoSpaceDN/>
              <w:bidi w:val="0"/>
              <w:adjustRightInd w:val="0"/>
              <w:snapToGrid w:val="0"/>
              <w:spacing w:after="0" w:line="320" w:lineRule="exact"/>
              <w:ind w:left="0" w:leftChars="0" w:firstLine="0" w:firstLineChars="0"/>
              <w:jc w:val="left"/>
              <w:textAlignment w:val="auto"/>
              <w:rPr>
                <w:rFonts w:hint="default" w:ascii="Times New Roman" w:hAnsi="Times New Roman" w:cs="Times New Roman" w:eastAsiaTheme="minorEastAsia"/>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val="0"/>
                <w:bCs/>
                <w:color w:val="000000" w:themeColor="text1"/>
                <w:sz w:val="21"/>
                <w:szCs w:val="21"/>
                <w:highlight w:val="none"/>
                <w:vertAlign w:val="baseline"/>
                <w:lang w:val="en-US" w:eastAsia="zh-CN"/>
                <w14:textFill>
                  <w14:solidFill>
                    <w14:schemeClr w14:val="tx1"/>
                  </w14:solidFill>
                </w14:textFill>
              </w:rPr>
              <w:t>活垃圾集中收集，定期运送到周边垃圾中转站转运，统一处置。施工结束后，临</w:t>
            </w:r>
          </w:p>
          <w:p w14:paraId="2DA18A3F">
            <w:pPr>
              <w:pStyle w:val="8"/>
              <w:keepNext w:val="0"/>
              <w:keepLines w:val="0"/>
              <w:pageBreakBefore w:val="0"/>
              <w:widowControl w:val="0"/>
              <w:kinsoku/>
              <w:wordWrap w:val="0"/>
              <w:overflowPunct/>
              <w:topLinePunct w:val="0"/>
              <w:autoSpaceDE/>
              <w:autoSpaceDN/>
              <w:bidi w:val="0"/>
              <w:adjustRightInd w:val="0"/>
              <w:snapToGrid w:val="0"/>
              <w:spacing w:after="0" w:line="320" w:lineRule="exact"/>
              <w:ind w:left="0" w:leftChars="0" w:firstLine="0" w:firstLineChars="0"/>
              <w:jc w:val="left"/>
              <w:textAlignment w:val="auto"/>
              <w:rPr>
                <w:rFonts w:hint="default" w:ascii="Times New Roman" w:hAnsi="Times New Roman" w:cs="Times New Roman" w:eastAsiaTheme="minorEastAsia"/>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val="0"/>
                <w:bCs/>
                <w:color w:val="000000" w:themeColor="text1"/>
                <w:sz w:val="21"/>
                <w:szCs w:val="21"/>
                <w:highlight w:val="none"/>
                <w:vertAlign w:val="baseline"/>
                <w:lang w:val="en-US" w:eastAsia="zh-CN"/>
                <w14:textFill>
                  <w14:solidFill>
                    <w14:schemeClr w14:val="tx1"/>
                  </w14:solidFill>
                </w14:textFill>
              </w:rPr>
              <w:t>建拆除产生的建筑垃圾可回收部分全部回收利用，不可回收部分拉运至乌鲁木齐</w:t>
            </w:r>
          </w:p>
          <w:p w14:paraId="4F29F02E">
            <w:pPr>
              <w:pStyle w:val="8"/>
              <w:keepNext w:val="0"/>
              <w:keepLines w:val="0"/>
              <w:pageBreakBefore w:val="0"/>
              <w:widowControl w:val="0"/>
              <w:kinsoku/>
              <w:wordWrap w:val="0"/>
              <w:overflowPunct/>
              <w:topLinePunct w:val="0"/>
              <w:autoSpaceDE/>
              <w:autoSpaceDN/>
              <w:bidi w:val="0"/>
              <w:adjustRightInd w:val="0"/>
              <w:snapToGrid w:val="0"/>
              <w:spacing w:after="0" w:line="320" w:lineRule="exact"/>
              <w:ind w:left="0" w:leftChars="0" w:firstLine="0" w:firstLineChars="0"/>
              <w:jc w:val="left"/>
              <w:textAlignment w:val="auto"/>
              <w:rPr>
                <w:rFonts w:hint="default" w:ascii="Times New Roman" w:hAnsi="Times New Roman" w:cs="Times New Roman" w:eastAsiaTheme="minorEastAsia"/>
                <w:b w:val="0"/>
                <w:bCs/>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val="0"/>
                <w:bCs/>
                <w:color w:val="000000" w:themeColor="text1"/>
                <w:sz w:val="21"/>
                <w:szCs w:val="21"/>
                <w:highlight w:val="none"/>
                <w:vertAlign w:val="baseline"/>
                <w:lang w:val="en-US" w:eastAsia="zh-CN"/>
                <w14:textFill>
                  <w14:solidFill>
                    <w14:schemeClr w14:val="tx1"/>
                  </w14:solidFill>
                </w14:textFill>
              </w:rPr>
              <w:t>市建筑垃圾填埋场处置。</w:t>
            </w:r>
          </w:p>
        </w:tc>
      </w:tr>
      <w:tr w14:paraId="420A296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82" w:type="dxa"/>
            <w:vMerge w:val="continue"/>
            <w:tcBorders>
              <w:tl2br w:val="nil"/>
              <w:tr2bl w:val="nil"/>
            </w:tcBorders>
            <w:vAlign w:val="center"/>
          </w:tcPr>
          <w:p w14:paraId="3C5AF20F">
            <w:pPr>
              <w:pStyle w:val="8"/>
              <w:keepNext w:val="0"/>
              <w:keepLines w:val="0"/>
              <w:pageBreakBefore w:val="0"/>
              <w:widowControl w:val="0"/>
              <w:kinsoku/>
              <w:wordWrap w:val="0"/>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b w:val="0"/>
                <w:bCs/>
                <w:color w:val="FF0000"/>
                <w:sz w:val="21"/>
                <w:szCs w:val="21"/>
                <w:highlight w:val="none"/>
                <w:vertAlign w:val="baseline"/>
                <w:lang w:val="en-US" w:eastAsia="zh-CN"/>
              </w:rPr>
            </w:pPr>
          </w:p>
        </w:tc>
        <w:tc>
          <w:tcPr>
            <w:tcW w:w="1105" w:type="dxa"/>
            <w:vMerge w:val="continue"/>
            <w:tcBorders>
              <w:tl2br w:val="nil"/>
              <w:tr2bl w:val="nil"/>
            </w:tcBorders>
            <w:vAlign w:val="center"/>
          </w:tcPr>
          <w:p w14:paraId="6091D95E">
            <w:pPr>
              <w:pStyle w:val="8"/>
              <w:keepNext w:val="0"/>
              <w:keepLines w:val="0"/>
              <w:pageBreakBefore w:val="0"/>
              <w:widowControl w:val="0"/>
              <w:kinsoku/>
              <w:wordWrap w:val="0"/>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b w:val="0"/>
                <w:bCs/>
                <w:color w:val="000000" w:themeColor="text1"/>
                <w:sz w:val="21"/>
                <w:szCs w:val="21"/>
                <w:highlight w:val="none"/>
                <w:vertAlign w:val="baseline"/>
                <w:lang w:val="en-US" w:eastAsia="zh-CN"/>
                <w14:textFill>
                  <w14:solidFill>
                    <w14:schemeClr w14:val="tx1"/>
                  </w14:solidFill>
                </w14:textFill>
              </w:rPr>
            </w:pPr>
          </w:p>
        </w:tc>
        <w:tc>
          <w:tcPr>
            <w:tcW w:w="7493" w:type="dxa"/>
            <w:tcBorders>
              <w:tl2br w:val="nil"/>
              <w:tr2bl w:val="nil"/>
            </w:tcBorders>
            <w:vAlign w:val="center"/>
          </w:tcPr>
          <w:p w14:paraId="22DB22D9">
            <w:pPr>
              <w:pStyle w:val="8"/>
              <w:keepNext w:val="0"/>
              <w:keepLines w:val="0"/>
              <w:pageBreakBefore w:val="0"/>
              <w:widowControl w:val="0"/>
              <w:kinsoku/>
              <w:wordWrap w:val="0"/>
              <w:overflowPunct/>
              <w:topLinePunct w:val="0"/>
              <w:autoSpaceDE/>
              <w:autoSpaceDN/>
              <w:bidi w:val="0"/>
              <w:adjustRightInd w:val="0"/>
              <w:snapToGrid w:val="0"/>
              <w:spacing w:after="0" w:line="320" w:lineRule="exact"/>
              <w:ind w:left="0" w:leftChars="0" w:firstLine="0" w:firstLineChars="0"/>
              <w:jc w:val="both"/>
              <w:textAlignment w:val="auto"/>
              <w:rPr>
                <w:rFonts w:hint="default" w:ascii="Times New Roman" w:hAnsi="Times New Roman" w:cs="Times New Roman" w:eastAsiaTheme="minorEastAsia"/>
                <w:b w:val="0"/>
                <w:bCs/>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val="0"/>
                <w:bCs/>
                <w:color w:val="000000" w:themeColor="text1"/>
                <w:sz w:val="21"/>
                <w:szCs w:val="21"/>
                <w:highlight w:val="none"/>
                <w:vertAlign w:val="baseline"/>
                <w:lang w:val="en-US" w:eastAsia="zh-CN"/>
                <w14:textFill>
                  <w14:solidFill>
                    <w14:schemeClr w14:val="tx1"/>
                  </w14:solidFill>
                </w14:textFill>
              </w:rPr>
              <w:t>运营期：风机报废零部件、废风机叶片厂家回收。废</w:t>
            </w:r>
            <w:r>
              <w:rPr>
                <w:rFonts w:hint="eastAsia" w:cs="Times New Roman" w:eastAsiaTheme="minorEastAsia"/>
                <w:b w:val="0"/>
                <w:bCs/>
                <w:color w:val="000000" w:themeColor="text1"/>
                <w:sz w:val="21"/>
                <w:szCs w:val="21"/>
                <w:highlight w:val="none"/>
                <w:vertAlign w:val="baseline"/>
                <w:lang w:val="en-US" w:eastAsia="zh-CN"/>
                <w14:textFill>
                  <w14:solidFill>
                    <w14:schemeClr w14:val="tx1"/>
                  </w14:solidFill>
                </w14:textFill>
              </w:rPr>
              <w:t>矿物油</w:t>
            </w:r>
            <w:r>
              <w:rPr>
                <w:rFonts w:hint="default" w:ascii="Times New Roman" w:hAnsi="Times New Roman" w:cs="Times New Roman" w:eastAsiaTheme="minorEastAsia"/>
                <w:b w:val="0"/>
                <w:bCs/>
                <w:color w:val="000000" w:themeColor="text1"/>
                <w:sz w:val="21"/>
                <w:szCs w:val="21"/>
                <w:highlight w:val="none"/>
                <w:vertAlign w:val="baseline"/>
                <w:lang w:val="en-US" w:eastAsia="zh-CN"/>
                <w14:textFill>
                  <w14:solidFill>
                    <w14:schemeClr w14:val="tx1"/>
                  </w14:solidFill>
                </w14:textFill>
              </w:rPr>
              <w:t>、含油抹布和废手套集中分类收集，即产即清，交由有资质单位处置。</w:t>
            </w:r>
          </w:p>
        </w:tc>
      </w:tr>
      <w:tr w14:paraId="7DE634D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82" w:type="dxa"/>
            <w:vMerge w:val="continue"/>
            <w:tcBorders>
              <w:tl2br w:val="nil"/>
              <w:tr2bl w:val="nil"/>
            </w:tcBorders>
            <w:vAlign w:val="center"/>
          </w:tcPr>
          <w:p w14:paraId="481FC78C">
            <w:pPr>
              <w:pStyle w:val="8"/>
              <w:keepNext w:val="0"/>
              <w:keepLines w:val="0"/>
              <w:pageBreakBefore w:val="0"/>
              <w:widowControl w:val="0"/>
              <w:kinsoku/>
              <w:wordWrap w:val="0"/>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b w:val="0"/>
                <w:bCs/>
                <w:color w:val="FF0000"/>
                <w:sz w:val="21"/>
                <w:szCs w:val="21"/>
                <w:highlight w:val="none"/>
                <w:vertAlign w:val="baseline"/>
                <w:lang w:val="en-US" w:eastAsia="zh-CN"/>
              </w:rPr>
            </w:pPr>
          </w:p>
        </w:tc>
        <w:tc>
          <w:tcPr>
            <w:tcW w:w="1105" w:type="dxa"/>
            <w:vMerge w:val="restart"/>
            <w:tcBorders>
              <w:tl2br w:val="nil"/>
              <w:tr2bl w:val="nil"/>
            </w:tcBorders>
            <w:vAlign w:val="center"/>
          </w:tcPr>
          <w:p w14:paraId="4B275772">
            <w:pPr>
              <w:pStyle w:val="8"/>
              <w:keepNext w:val="0"/>
              <w:keepLines w:val="0"/>
              <w:pageBreakBefore w:val="0"/>
              <w:widowControl w:val="0"/>
              <w:kinsoku/>
              <w:wordWrap w:val="0"/>
              <w:overflowPunct/>
              <w:topLinePunct w:val="0"/>
              <w:autoSpaceDE/>
              <w:autoSpaceDN/>
              <w:bidi w:val="0"/>
              <w:adjustRightInd w:val="0"/>
              <w:snapToGrid w:val="0"/>
              <w:spacing w:after="0" w:line="320" w:lineRule="exact"/>
              <w:ind w:left="0" w:leftChars="0" w:firstLine="0" w:firstLineChars="0"/>
              <w:jc w:val="center"/>
              <w:textAlignment w:val="auto"/>
              <w:rPr>
                <w:rFonts w:hint="default" w:ascii="Times New Roman" w:hAnsi="Times New Roman" w:cs="Times New Roman" w:eastAsiaTheme="minorEastAsia"/>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val="0"/>
                <w:bCs/>
                <w:color w:val="000000" w:themeColor="text1"/>
                <w:sz w:val="21"/>
                <w:szCs w:val="21"/>
                <w:highlight w:val="none"/>
                <w:vertAlign w:val="baseline"/>
                <w:lang w:val="en-US" w:eastAsia="zh-CN"/>
                <w14:textFill>
                  <w14:solidFill>
                    <w14:schemeClr w14:val="tx1"/>
                  </w14:solidFill>
                </w14:textFill>
              </w:rPr>
              <w:t>噪声控制措施</w:t>
            </w:r>
          </w:p>
        </w:tc>
        <w:tc>
          <w:tcPr>
            <w:tcW w:w="7493" w:type="dxa"/>
            <w:tcBorders>
              <w:tl2br w:val="nil"/>
              <w:tr2bl w:val="nil"/>
            </w:tcBorders>
            <w:vAlign w:val="center"/>
          </w:tcPr>
          <w:p w14:paraId="09C1C680">
            <w:pPr>
              <w:pStyle w:val="8"/>
              <w:keepNext w:val="0"/>
              <w:keepLines w:val="0"/>
              <w:pageBreakBefore w:val="0"/>
              <w:widowControl w:val="0"/>
              <w:kinsoku/>
              <w:wordWrap w:val="0"/>
              <w:overflowPunct/>
              <w:topLinePunct w:val="0"/>
              <w:autoSpaceDE/>
              <w:autoSpaceDN/>
              <w:bidi w:val="0"/>
              <w:adjustRightInd w:val="0"/>
              <w:snapToGrid w:val="0"/>
              <w:spacing w:after="0" w:line="320" w:lineRule="exact"/>
              <w:ind w:left="0" w:leftChars="0" w:firstLine="0" w:firstLineChars="0"/>
              <w:jc w:val="left"/>
              <w:textAlignment w:val="auto"/>
              <w:rPr>
                <w:rFonts w:hint="default" w:ascii="Times New Roman" w:hAnsi="Times New Roman" w:cs="Times New Roman" w:eastAsiaTheme="minorEastAsia"/>
                <w:b w:val="0"/>
                <w:bCs/>
                <w:i w:val="0"/>
                <w:iCs w:val="0"/>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val="0"/>
                <w:bCs/>
                <w:i w:val="0"/>
                <w:iCs w:val="0"/>
                <w:color w:val="000000" w:themeColor="text1"/>
                <w:sz w:val="21"/>
                <w:szCs w:val="21"/>
                <w:highlight w:val="none"/>
                <w:vertAlign w:val="baseline"/>
                <w:lang w:val="en-US" w:eastAsia="zh-CN"/>
                <w14:textFill>
                  <w14:solidFill>
                    <w14:schemeClr w14:val="tx1"/>
                  </w14:solidFill>
                </w14:textFill>
              </w:rPr>
              <w:t>施工期：选用低噪声机械设备，通过村庄时减速慢行</w:t>
            </w:r>
            <w:r>
              <w:rPr>
                <w:rFonts w:hint="eastAsia" w:ascii="Times New Roman" w:hAnsi="Times New Roman" w:cs="Times New Roman" w:eastAsiaTheme="minorEastAsia"/>
                <w:b w:val="0"/>
                <w:bCs/>
                <w:i w:val="0"/>
                <w:iCs w:val="0"/>
                <w:color w:val="000000" w:themeColor="text1"/>
                <w:sz w:val="21"/>
                <w:szCs w:val="21"/>
                <w:highlight w:val="none"/>
                <w:vertAlign w:val="baseline"/>
                <w:lang w:val="en-US" w:eastAsia="zh-CN"/>
                <w14:textFill>
                  <w14:solidFill>
                    <w14:schemeClr w14:val="tx1"/>
                  </w14:solidFill>
                </w14:textFill>
              </w:rPr>
              <w:t>。</w:t>
            </w:r>
          </w:p>
        </w:tc>
      </w:tr>
      <w:tr w14:paraId="0A27218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82" w:type="dxa"/>
            <w:vMerge w:val="continue"/>
            <w:tcBorders>
              <w:tl2br w:val="nil"/>
              <w:tr2bl w:val="nil"/>
            </w:tcBorders>
            <w:vAlign w:val="center"/>
          </w:tcPr>
          <w:p w14:paraId="49D75E42">
            <w:pPr>
              <w:pStyle w:val="8"/>
              <w:keepNext w:val="0"/>
              <w:keepLines w:val="0"/>
              <w:pageBreakBefore w:val="0"/>
              <w:widowControl w:val="0"/>
              <w:kinsoku/>
              <w:wordWrap w:val="0"/>
              <w:overflowPunct/>
              <w:topLinePunct w:val="0"/>
              <w:autoSpaceDE/>
              <w:autoSpaceDN/>
              <w:bidi w:val="0"/>
              <w:adjustRightInd w:val="0"/>
              <w:snapToGrid w:val="0"/>
              <w:spacing w:after="0" w:line="320" w:lineRule="exact"/>
              <w:ind w:left="0" w:leftChars="0" w:firstLine="0" w:firstLineChars="0"/>
              <w:jc w:val="left"/>
              <w:textAlignment w:val="auto"/>
              <w:rPr>
                <w:rFonts w:hint="default" w:ascii="Times New Roman" w:hAnsi="Times New Roman" w:cs="Times New Roman" w:eastAsiaTheme="minorEastAsia"/>
                <w:color w:val="FF0000"/>
                <w:highlight w:val="none"/>
              </w:rPr>
            </w:pPr>
          </w:p>
        </w:tc>
        <w:tc>
          <w:tcPr>
            <w:tcW w:w="1105" w:type="dxa"/>
            <w:vMerge w:val="continue"/>
            <w:tcBorders>
              <w:tl2br w:val="nil"/>
              <w:tr2bl w:val="nil"/>
            </w:tcBorders>
            <w:vAlign w:val="center"/>
          </w:tcPr>
          <w:p w14:paraId="6E340F03">
            <w:pPr>
              <w:pStyle w:val="8"/>
              <w:keepNext w:val="0"/>
              <w:keepLines w:val="0"/>
              <w:pageBreakBefore w:val="0"/>
              <w:widowControl w:val="0"/>
              <w:kinsoku/>
              <w:wordWrap w:val="0"/>
              <w:overflowPunct/>
              <w:topLinePunct w:val="0"/>
              <w:autoSpaceDE/>
              <w:autoSpaceDN/>
              <w:bidi w:val="0"/>
              <w:adjustRightInd w:val="0"/>
              <w:snapToGrid w:val="0"/>
              <w:spacing w:after="0" w:line="320" w:lineRule="exact"/>
              <w:ind w:left="0" w:leftChars="0" w:firstLine="0" w:firstLineChars="0"/>
              <w:jc w:val="left"/>
              <w:textAlignment w:val="auto"/>
              <w:rPr>
                <w:rFonts w:hint="default" w:ascii="Times New Roman" w:hAnsi="Times New Roman" w:cs="Times New Roman" w:eastAsiaTheme="minorEastAsia"/>
                <w:color w:val="000000" w:themeColor="text1"/>
                <w:highlight w:val="none"/>
                <w14:textFill>
                  <w14:solidFill>
                    <w14:schemeClr w14:val="tx1"/>
                  </w14:solidFill>
                </w14:textFill>
              </w:rPr>
            </w:pPr>
          </w:p>
        </w:tc>
        <w:tc>
          <w:tcPr>
            <w:tcW w:w="7493" w:type="dxa"/>
            <w:tcBorders>
              <w:tl2br w:val="nil"/>
              <w:tr2bl w:val="nil"/>
            </w:tcBorders>
            <w:vAlign w:val="center"/>
          </w:tcPr>
          <w:p w14:paraId="04EA17FF">
            <w:pPr>
              <w:pStyle w:val="8"/>
              <w:keepNext w:val="0"/>
              <w:keepLines w:val="0"/>
              <w:pageBreakBefore w:val="0"/>
              <w:widowControl w:val="0"/>
              <w:kinsoku/>
              <w:wordWrap w:val="0"/>
              <w:overflowPunct/>
              <w:topLinePunct w:val="0"/>
              <w:autoSpaceDE/>
              <w:autoSpaceDN/>
              <w:bidi w:val="0"/>
              <w:adjustRightInd w:val="0"/>
              <w:snapToGrid w:val="0"/>
              <w:spacing w:after="0" w:line="320" w:lineRule="exact"/>
              <w:ind w:left="0" w:leftChars="0" w:firstLine="0" w:firstLineChars="0"/>
              <w:jc w:val="left"/>
              <w:textAlignment w:val="auto"/>
              <w:rPr>
                <w:rFonts w:hint="default" w:ascii="Times New Roman" w:hAnsi="Times New Roman" w:cs="Times New Roman" w:eastAsiaTheme="minorEastAsia"/>
                <w:b w:val="0"/>
                <w:bCs/>
                <w:i w:val="0"/>
                <w:i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val="0"/>
                <w:bCs/>
                <w:i w:val="0"/>
                <w:iCs w:val="0"/>
                <w:color w:val="000000" w:themeColor="text1"/>
                <w:sz w:val="21"/>
                <w:szCs w:val="21"/>
                <w:highlight w:val="none"/>
                <w:vertAlign w:val="baseline"/>
                <w:lang w:val="en-US" w:eastAsia="zh-CN"/>
                <w14:textFill>
                  <w14:solidFill>
                    <w14:schemeClr w14:val="tx1"/>
                  </w14:solidFill>
                </w14:textFill>
              </w:rPr>
              <w:t>运营期：隔声、减震、购置低噪声设备。</w:t>
            </w:r>
          </w:p>
        </w:tc>
      </w:tr>
      <w:bookmarkEnd w:id="229"/>
    </w:tbl>
    <w:p w14:paraId="1A33A3B2">
      <w:pPr>
        <w:pStyle w:val="11"/>
        <w:keepNext/>
        <w:keepLines/>
        <w:pageBreakBefore w:val="0"/>
        <w:widowControl w:val="0"/>
        <w:kinsoku/>
        <w:wordWrap/>
        <w:overflowPunct/>
        <w:topLinePunct w:val="0"/>
        <w:autoSpaceDE/>
        <w:autoSpaceDN/>
        <w:bidi w:val="0"/>
        <w:adjustRightInd/>
        <w:snapToGrid w:val="0"/>
        <w:spacing w:beforeLines="0" w:afterLines="0" w:line="360" w:lineRule="auto"/>
        <w:ind w:left="0"/>
        <w:textAlignment w:val="auto"/>
        <w:outlineLvl w:val="2"/>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bookmarkStart w:id="235" w:name="_Toc3269"/>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3.1.3 主体工程</w:t>
      </w:r>
      <w:bookmarkEnd w:id="235"/>
    </w:p>
    <w:p w14:paraId="417E89CE">
      <w:pPr>
        <w:pageBreakBefore w:val="0"/>
        <w:widowControl w:val="0"/>
        <w:kinsoku/>
        <w:wordWrap/>
        <w:overflowPunct/>
        <w:topLinePunct w:val="0"/>
        <w:autoSpaceDE/>
        <w:autoSpaceDN/>
        <w:bidi w:val="0"/>
        <w:adjustRightInd/>
        <w:snapToGrid w:val="0"/>
        <w:spacing w:line="360" w:lineRule="auto"/>
        <w:ind w:left="0" w:leftChars="0" w:firstLine="480" w:firstLineChars="200"/>
        <w:jc w:val="both"/>
        <w:textAlignment w:val="auto"/>
        <w:rPr>
          <w:rFonts w:hint="default" w:ascii="Times New Roman" w:hAnsi="Times New Roman" w:cs="Times New Roman" w:eastAsiaTheme="minorEastAsia"/>
          <w:color w:val="FF0000"/>
          <w:highlight w:val="none"/>
          <w:lang w:val="en-US" w:eastAsia="zh-CN"/>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本项目风电场区建设规模</w:t>
      </w:r>
      <w:r>
        <w:rPr>
          <w:rFonts w:hint="eastAsia" w:cs="Times New Roman" w:eastAsiaTheme="minorEastAsia"/>
          <w:snapToGrid w:val="0"/>
          <w:color w:val="000000" w:themeColor="text1"/>
          <w:sz w:val="24"/>
          <w:highlight w:val="none"/>
          <w:lang w:val="en-US" w:eastAsia="zh-CN"/>
          <w14:textFill>
            <w14:solidFill>
              <w14:schemeClr w14:val="tx1"/>
            </w14:solidFill>
          </w14:textFill>
        </w:rPr>
        <w:t>及特性</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见表3.1-</w:t>
      </w:r>
      <w:r>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3。</w:t>
      </w:r>
    </w:p>
    <w:p w14:paraId="629BB573">
      <w:pPr>
        <w:pStyle w:val="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eastAsiaTheme="minorEastAsia"/>
          <w:b/>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b/>
          <w:color w:val="000000" w:themeColor="text1"/>
          <w:kern w:val="0"/>
          <w:sz w:val="24"/>
          <w:highlight w:val="none"/>
          <w:lang w:val="en-US" w:eastAsia="zh-CN"/>
          <w14:textFill>
            <w14:solidFill>
              <w14:schemeClr w14:val="tx1"/>
            </w14:solidFill>
          </w14:textFill>
        </w:rPr>
        <w:t>表3.1-</w:t>
      </w:r>
      <w:r>
        <w:rPr>
          <w:rFonts w:hint="eastAsia" w:cs="Times New Roman" w:eastAsiaTheme="minorEastAsia"/>
          <w:b/>
          <w:color w:val="000000" w:themeColor="text1"/>
          <w:kern w:val="0"/>
          <w:sz w:val="24"/>
          <w:highlight w:val="none"/>
          <w:lang w:val="en-US" w:eastAsia="zh-CN"/>
          <w14:textFill>
            <w14:solidFill>
              <w14:schemeClr w14:val="tx1"/>
            </w14:solidFill>
          </w14:textFill>
        </w:rPr>
        <w:t>3</w:t>
      </w:r>
      <w:r>
        <w:rPr>
          <w:rFonts w:hint="default" w:ascii="Times New Roman" w:hAnsi="Times New Roman" w:cs="Times New Roman" w:eastAsiaTheme="minorEastAsia"/>
          <w:b/>
          <w:color w:val="000000" w:themeColor="text1"/>
          <w:kern w:val="0"/>
          <w:sz w:val="24"/>
          <w:highlight w:val="none"/>
          <w:lang w:val="en-US" w:eastAsia="zh-CN"/>
          <w14:textFill>
            <w14:solidFill>
              <w14:schemeClr w14:val="tx1"/>
            </w14:solidFill>
          </w14:textFill>
        </w:rPr>
        <w:t xml:space="preserve">    本项目风电场区建设规模</w:t>
      </w:r>
      <w:r>
        <w:rPr>
          <w:rFonts w:hint="eastAsia" w:cs="Times New Roman" w:eastAsiaTheme="minorEastAsia"/>
          <w:b/>
          <w:color w:val="000000" w:themeColor="text1"/>
          <w:kern w:val="0"/>
          <w:sz w:val="24"/>
          <w:highlight w:val="none"/>
          <w:lang w:val="en-US" w:eastAsia="zh-CN"/>
          <w14:textFill>
            <w14:solidFill>
              <w14:schemeClr w14:val="tx1"/>
            </w14:solidFill>
          </w14:textFill>
        </w:rPr>
        <w:t>及特性一览</w:t>
      </w:r>
      <w:r>
        <w:rPr>
          <w:rFonts w:hint="default" w:ascii="Times New Roman" w:hAnsi="Times New Roman" w:cs="Times New Roman" w:eastAsiaTheme="minorEastAsia"/>
          <w:b/>
          <w:color w:val="000000" w:themeColor="text1"/>
          <w:kern w:val="0"/>
          <w:sz w:val="24"/>
          <w:highlight w:val="none"/>
          <w:lang w:val="en-US" w:eastAsia="zh-CN"/>
          <w14:textFill>
            <w14:solidFill>
              <w14:schemeClr w14:val="tx1"/>
            </w14:solidFill>
          </w14:textFill>
        </w:rPr>
        <w:t>表</w:t>
      </w:r>
    </w:p>
    <w:tbl>
      <w:tblPr>
        <w:tblStyle w:val="7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65"/>
        <w:gridCol w:w="466"/>
        <w:gridCol w:w="1381"/>
        <w:gridCol w:w="1946"/>
        <w:gridCol w:w="723"/>
        <w:gridCol w:w="2583"/>
        <w:gridCol w:w="1548"/>
      </w:tblGrid>
      <w:tr w14:paraId="78DA84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258" w:type="dxa"/>
            <w:gridSpan w:val="4"/>
            <w:noWrap w:val="0"/>
            <w:vAlign w:val="center"/>
          </w:tcPr>
          <w:p w14:paraId="3B8C153A">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名称</w:t>
            </w:r>
          </w:p>
        </w:tc>
        <w:tc>
          <w:tcPr>
            <w:tcW w:w="723" w:type="dxa"/>
            <w:noWrap w:val="0"/>
            <w:vAlign w:val="center"/>
          </w:tcPr>
          <w:p w14:paraId="46418553">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单位</w:t>
            </w:r>
          </w:p>
        </w:tc>
        <w:tc>
          <w:tcPr>
            <w:tcW w:w="2583" w:type="dxa"/>
            <w:noWrap w:val="0"/>
            <w:vAlign w:val="center"/>
          </w:tcPr>
          <w:p w14:paraId="43AD9822">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数量</w:t>
            </w:r>
          </w:p>
        </w:tc>
        <w:tc>
          <w:tcPr>
            <w:tcW w:w="1548" w:type="dxa"/>
            <w:noWrap w:val="0"/>
            <w:vAlign w:val="center"/>
          </w:tcPr>
          <w:p w14:paraId="7B840267">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备注</w:t>
            </w:r>
          </w:p>
        </w:tc>
      </w:tr>
      <w:tr w14:paraId="7B24EF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65" w:type="dxa"/>
            <w:vMerge w:val="restart"/>
            <w:noWrap w:val="0"/>
            <w:vAlign w:val="center"/>
          </w:tcPr>
          <w:p w14:paraId="2458EF5A">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风</w:t>
            </w:r>
          </w:p>
          <w:p w14:paraId="50B06A00">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电</w:t>
            </w:r>
          </w:p>
          <w:p w14:paraId="6DD12DD2">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场</w:t>
            </w:r>
          </w:p>
          <w:p w14:paraId="79B5E786">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场</w:t>
            </w:r>
          </w:p>
          <w:p w14:paraId="63CA08DA">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址</w:t>
            </w:r>
          </w:p>
        </w:tc>
        <w:tc>
          <w:tcPr>
            <w:tcW w:w="3793" w:type="dxa"/>
            <w:gridSpan w:val="3"/>
            <w:noWrap w:val="0"/>
            <w:vAlign w:val="center"/>
          </w:tcPr>
          <w:p w14:paraId="1E10147E">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eastAsia="zh-CN"/>
                <w14:textFill>
                  <w14:solidFill>
                    <w14:schemeClr w14:val="tx1"/>
                  </w14:solidFill>
                </w14:textFill>
              </w:rPr>
              <w:t>海拔</w:t>
            </w:r>
          </w:p>
        </w:tc>
        <w:tc>
          <w:tcPr>
            <w:tcW w:w="723" w:type="dxa"/>
            <w:noWrap w:val="0"/>
            <w:vAlign w:val="center"/>
          </w:tcPr>
          <w:p w14:paraId="0AE3C8F0">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m</w:t>
            </w:r>
          </w:p>
        </w:tc>
        <w:tc>
          <w:tcPr>
            <w:tcW w:w="2583" w:type="dxa"/>
            <w:noWrap w:val="0"/>
            <w:vAlign w:val="center"/>
          </w:tcPr>
          <w:p w14:paraId="07ED5A34">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1200</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～1</w:t>
            </w:r>
            <w:r>
              <w:rPr>
                <w:rFonts w:hint="eastAsia" w:cs="Times New Roman" w:eastAsiaTheme="minorEastAsia"/>
                <w:color w:val="000000" w:themeColor="text1"/>
                <w:sz w:val="21"/>
                <w:szCs w:val="21"/>
                <w:highlight w:val="none"/>
                <w:lang w:val="en-US" w:eastAsia="zh-CN"/>
                <w14:textFill>
                  <w14:solidFill>
                    <w14:schemeClr w14:val="tx1"/>
                  </w14:solidFill>
                </w14:textFill>
              </w:rPr>
              <w:t>400</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m</w:t>
            </w:r>
          </w:p>
        </w:tc>
        <w:tc>
          <w:tcPr>
            <w:tcW w:w="1548" w:type="dxa"/>
            <w:noWrap w:val="0"/>
            <w:vAlign w:val="center"/>
          </w:tcPr>
          <w:p w14:paraId="35B17455">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r>
      <w:tr w14:paraId="680F71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65" w:type="dxa"/>
            <w:vMerge w:val="continue"/>
            <w:noWrap w:val="0"/>
            <w:vAlign w:val="center"/>
          </w:tcPr>
          <w:p w14:paraId="3CE18F1F">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FF0000"/>
                <w:sz w:val="21"/>
                <w:szCs w:val="21"/>
                <w:highlight w:val="none"/>
              </w:rPr>
            </w:pPr>
          </w:p>
        </w:tc>
        <w:tc>
          <w:tcPr>
            <w:tcW w:w="3793" w:type="dxa"/>
            <w:gridSpan w:val="3"/>
            <w:noWrap w:val="0"/>
            <w:vAlign w:val="center"/>
          </w:tcPr>
          <w:p w14:paraId="34204424">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经度</w:t>
            </w: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东经</w:t>
            </w: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w:t>
            </w:r>
          </w:p>
        </w:tc>
        <w:tc>
          <w:tcPr>
            <w:tcW w:w="723" w:type="dxa"/>
            <w:noWrap w:val="0"/>
            <w:vAlign w:val="center"/>
          </w:tcPr>
          <w:p w14:paraId="31B9E8DC">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E</w:t>
            </w:r>
          </w:p>
        </w:tc>
        <w:tc>
          <w:tcPr>
            <w:tcW w:w="2583" w:type="dxa"/>
            <w:noWrap w:val="0"/>
            <w:vAlign w:val="center"/>
          </w:tcPr>
          <w:p w14:paraId="5DB61E1C">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87°30'18.291"</w:t>
            </w:r>
          </w:p>
        </w:tc>
        <w:tc>
          <w:tcPr>
            <w:tcW w:w="1548" w:type="dxa"/>
            <w:vMerge w:val="restart"/>
            <w:noWrap w:val="0"/>
            <w:vAlign w:val="center"/>
          </w:tcPr>
          <w:p w14:paraId="39C813D5">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中心</w:t>
            </w:r>
            <w:r>
              <w:rPr>
                <w:rFonts w:hint="eastAsia" w:cs="Times New Roman" w:eastAsiaTheme="minorEastAsia"/>
                <w:color w:val="000000" w:themeColor="text1"/>
                <w:sz w:val="21"/>
                <w:szCs w:val="21"/>
                <w:highlight w:val="none"/>
                <w:lang w:val="en-US" w:eastAsia="zh-CN"/>
                <w14:textFill>
                  <w14:solidFill>
                    <w14:schemeClr w14:val="tx1"/>
                  </w14:solidFill>
                </w14:textFill>
              </w:rPr>
              <w:t>(H15)</w:t>
            </w:r>
          </w:p>
        </w:tc>
      </w:tr>
      <w:tr w14:paraId="38EFB5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8" w:hRule="atLeast"/>
          <w:jc w:val="center"/>
        </w:trPr>
        <w:tc>
          <w:tcPr>
            <w:tcW w:w="465" w:type="dxa"/>
            <w:vMerge w:val="continue"/>
            <w:noWrap w:val="0"/>
            <w:vAlign w:val="center"/>
          </w:tcPr>
          <w:p w14:paraId="0B2049B7">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FF0000"/>
                <w:sz w:val="21"/>
                <w:szCs w:val="21"/>
                <w:highlight w:val="none"/>
              </w:rPr>
            </w:pPr>
          </w:p>
        </w:tc>
        <w:tc>
          <w:tcPr>
            <w:tcW w:w="3793" w:type="dxa"/>
            <w:gridSpan w:val="3"/>
            <w:noWrap w:val="0"/>
            <w:vAlign w:val="center"/>
          </w:tcPr>
          <w:p w14:paraId="62FCD382">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纬度</w:t>
            </w: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北纬</w:t>
            </w: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w:t>
            </w:r>
          </w:p>
        </w:tc>
        <w:tc>
          <w:tcPr>
            <w:tcW w:w="723" w:type="dxa"/>
            <w:noWrap w:val="0"/>
            <w:vAlign w:val="center"/>
          </w:tcPr>
          <w:p w14:paraId="2C2AE40E">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N</w:t>
            </w:r>
          </w:p>
        </w:tc>
        <w:tc>
          <w:tcPr>
            <w:tcW w:w="2583" w:type="dxa"/>
            <w:noWrap w:val="0"/>
            <w:vAlign w:val="center"/>
          </w:tcPr>
          <w:p w14:paraId="4AAEDA05">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43°41'45.898"</w:t>
            </w:r>
          </w:p>
        </w:tc>
        <w:tc>
          <w:tcPr>
            <w:tcW w:w="1548" w:type="dxa"/>
            <w:vMerge w:val="continue"/>
            <w:noWrap w:val="0"/>
            <w:vAlign w:val="center"/>
          </w:tcPr>
          <w:p w14:paraId="2D3209D3">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r>
      <w:tr w14:paraId="777A36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65" w:type="dxa"/>
            <w:vMerge w:val="continue"/>
            <w:noWrap w:val="0"/>
            <w:vAlign w:val="center"/>
          </w:tcPr>
          <w:p w14:paraId="60A55DA4">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FF0000"/>
                <w:sz w:val="21"/>
                <w:szCs w:val="21"/>
                <w:highlight w:val="none"/>
              </w:rPr>
            </w:pPr>
          </w:p>
        </w:tc>
        <w:tc>
          <w:tcPr>
            <w:tcW w:w="3793" w:type="dxa"/>
            <w:gridSpan w:val="3"/>
            <w:noWrap w:val="0"/>
            <w:vAlign w:val="center"/>
          </w:tcPr>
          <w:p w14:paraId="61CB9DC6">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14:textFill>
                  <w14:solidFill>
                    <w14:schemeClr w14:val="tx1"/>
                  </w14:solidFill>
                </w14:textFill>
              </w:rPr>
              <w:t>轮毂高度处</w:t>
            </w: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年</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平均风速</w:t>
            </w:r>
          </w:p>
        </w:tc>
        <w:tc>
          <w:tcPr>
            <w:tcW w:w="723" w:type="dxa"/>
            <w:noWrap w:val="0"/>
            <w:vAlign w:val="center"/>
          </w:tcPr>
          <w:p w14:paraId="101F8E91">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m/s</w:t>
            </w:r>
          </w:p>
        </w:tc>
        <w:tc>
          <w:tcPr>
            <w:tcW w:w="2583" w:type="dxa"/>
            <w:noWrap w:val="0"/>
            <w:vAlign w:val="center"/>
          </w:tcPr>
          <w:p w14:paraId="31690D70">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7.159</w:t>
            </w:r>
          </w:p>
        </w:tc>
        <w:tc>
          <w:tcPr>
            <w:tcW w:w="1548" w:type="dxa"/>
            <w:vMerge w:val="restart"/>
            <w:noWrap w:val="0"/>
            <w:vAlign w:val="center"/>
          </w:tcPr>
          <w:p w14:paraId="5FA5EA85">
            <w:pPr>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12</w:t>
            </w:r>
            <w:r>
              <w:rPr>
                <w:rFonts w:hint="eastAsia" w:cs="Times New Roman" w:eastAsiaTheme="minorEastAsia"/>
                <w:color w:val="000000" w:themeColor="text1"/>
                <w:sz w:val="21"/>
                <w:szCs w:val="21"/>
                <w:highlight w:val="none"/>
                <w:lang w:val="en-US" w:eastAsia="zh-CN"/>
                <w14:textFill>
                  <w14:solidFill>
                    <w14:schemeClr w14:val="tx1"/>
                  </w14:solidFill>
                </w14:textFill>
              </w:rPr>
              <w:t>0</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m</w:t>
            </w:r>
          </w:p>
        </w:tc>
      </w:tr>
      <w:tr w14:paraId="7E68CB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65" w:type="dxa"/>
            <w:vMerge w:val="continue"/>
            <w:noWrap w:val="0"/>
            <w:vAlign w:val="center"/>
          </w:tcPr>
          <w:p w14:paraId="1D407987">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FF0000"/>
                <w:sz w:val="21"/>
                <w:szCs w:val="21"/>
                <w:highlight w:val="none"/>
              </w:rPr>
            </w:pPr>
          </w:p>
        </w:tc>
        <w:tc>
          <w:tcPr>
            <w:tcW w:w="3793" w:type="dxa"/>
            <w:gridSpan w:val="3"/>
            <w:noWrap w:val="0"/>
            <w:vAlign w:val="center"/>
          </w:tcPr>
          <w:p w14:paraId="7C225960">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平均</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风功率密度</w:t>
            </w:r>
          </w:p>
        </w:tc>
        <w:tc>
          <w:tcPr>
            <w:tcW w:w="723" w:type="dxa"/>
            <w:noWrap w:val="0"/>
            <w:vAlign w:val="center"/>
          </w:tcPr>
          <w:p w14:paraId="570A26E0">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W/m</w:t>
            </w:r>
            <w:r>
              <w:rPr>
                <w:rFonts w:hint="default" w:ascii="Times New Roman" w:hAnsi="Times New Roman" w:cs="Times New Roman" w:eastAsiaTheme="minorEastAsia"/>
                <w:color w:val="000000" w:themeColor="text1"/>
                <w:sz w:val="21"/>
                <w:szCs w:val="21"/>
                <w:highlight w:val="none"/>
                <w:vertAlign w:val="superscript"/>
                <w14:textFill>
                  <w14:solidFill>
                    <w14:schemeClr w14:val="tx1"/>
                  </w14:solidFill>
                </w14:textFill>
              </w:rPr>
              <w:t>2</w:t>
            </w:r>
          </w:p>
        </w:tc>
        <w:tc>
          <w:tcPr>
            <w:tcW w:w="2583" w:type="dxa"/>
            <w:noWrap w:val="0"/>
            <w:vAlign w:val="center"/>
          </w:tcPr>
          <w:p w14:paraId="1F1274B7">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457</w:t>
            </w:r>
          </w:p>
        </w:tc>
        <w:tc>
          <w:tcPr>
            <w:tcW w:w="1548" w:type="dxa"/>
            <w:vMerge w:val="continue"/>
            <w:noWrap w:val="0"/>
            <w:vAlign w:val="center"/>
          </w:tcPr>
          <w:p w14:paraId="528923F5">
            <w:pPr>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FF0000"/>
                <w:sz w:val="21"/>
                <w:szCs w:val="21"/>
                <w:highlight w:val="none"/>
              </w:rPr>
            </w:pPr>
          </w:p>
        </w:tc>
      </w:tr>
      <w:tr w14:paraId="5D883F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65" w:type="dxa"/>
            <w:vMerge w:val="continue"/>
            <w:noWrap w:val="0"/>
            <w:vAlign w:val="center"/>
          </w:tcPr>
          <w:p w14:paraId="5549CDBF">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FF0000"/>
                <w:sz w:val="21"/>
                <w:szCs w:val="21"/>
                <w:highlight w:val="none"/>
              </w:rPr>
            </w:pPr>
          </w:p>
        </w:tc>
        <w:tc>
          <w:tcPr>
            <w:tcW w:w="3793" w:type="dxa"/>
            <w:gridSpan w:val="3"/>
            <w:noWrap w:val="0"/>
            <w:vAlign w:val="center"/>
          </w:tcPr>
          <w:p w14:paraId="0678B132">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盛行风向</w:t>
            </w:r>
          </w:p>
        </w:tc>
        <w:tc>
          <w:tcPr>
            <w:tcW w:w="723" w:type="dxa"/>
            <w:noWrap w:val="0"/>
            <w:vAlign w:val="center"/>
          </w:tcPr>
          <w:p w14:paraId="1144DADC">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2583" w:type="dxa"/>
            <w:noWrap w:val="0"/>
            <w:vAlign w:val="center"/>
          </w:tcPr>
          <w:p w14:paraId="036C9E3B">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NW</w:t>
            </w:r>
          </w:p>
        </w:tc>
        <w:tc>
          <w:tcPr>
            <w:tcW w:w="1548" w:type="dxa"/>
            <w:noWrap w:val="0"/>
            <w:vAlign w:val="center"/>
          </w:tcPr>
          <w:p w14:paraId="2DDFA504">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FF0000"/>
                <w:sz w:val="21"/>
                <w:szCs w:val="21"/>
                <w:highlight w:val="none"/>
              </w:rPr>
            </w:pPr>
          </w:p>
        </w:tc>
      </w:tr>
      <w:tr w14:paraId="71565E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65" w:type="dxa"/>
            <w:vMerge w:val="restart"/>
            <w:noWrap w:val="0"/>
            <w:vAlign w:val="center"/>
          </w:tcPr>
          <w:p w14:paraId="334C883D">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主</w:t>
            </w:r>
          </w:p>
          <w:p w14:paraId="7ACC982D">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要</w:t>
            </w:r>
          </w:p>
          <w:p w14:paraId="4A4C200B">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设</w:t>
            </w:r>
          </w:p>
          <w:p w14:paraId="5BBD3502">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FF0000"/>
                <w:sz w:val="21"/>
                <w:szCs w:val="21"/>
                <w:highlight w:val="none"/>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备</w:t>
            </w:r>
          </w:p>
        </w:tc>
        <w:tc>
          <w:tcPr>
            <w:tcW w:w="466" w:type="dxa"/>
            <w:vMerge w:val="restart"/>
            <w:noWrap w:val="0"/>
            <w:vAlign w:val="center"/>
          </w:tcPr>
          <w:p w14:paraId="2973B461">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风</w:t>
            </w:r>
          </w:p>
          <w:p w14:paraId="7A8F7046">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电</w:t>
            </w:r>
          </w:p>
          <w:p w14:paraId="17626FE0">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场</w:t>
            </w:r>
          </w:p>
          <w:p w14:paraId="74AF9841">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主</w:t>
            </w:r>
          </w:p>
          <w:p w14:paraId="2D11253D">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要</w:t>
            </w:r>
          </w:p>
          <w:p w14:paraId="554A134F">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机</w:t>
            </w:r>
          </w:p>
          <w:p w14:paraId="5CB723DC">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电</w:t>
            </w:r>
          </w:p>
          <w:p w14:paraId="7FE197E1">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设</w:t>
            </w:r>
          </w:p>
          <w:p w14:paraId="682C0E47">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备</w:t>
            </w:r>
          </w:p>
          <w:p w14:paraId="5EFB6A6A">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1381" w:type="dxa"/>
            <w:vMerge w:val="restart"/>
            <w:noWrap w:val="0"/>
            <w:vAlign w:val="center"/>
          </w:tcPr>
          <w:p w14:paraId="032C6DCF">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风</w:t>
            </w:r>
          </w:p>
          <w:p w14:paraId="78AF861A">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p w14:paraId="1560F8AA">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p w14:paraId="2C621CF5">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电</w:t>
            </w:r>
          </w:p>
          <w:p w14:paraId="5D89A053">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p w14:paraId="60834209">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p w14:paraId="4124EE9F">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机</w:t>
            </w:r>
          </w:p>
          <w:p w14:paraId="2EFBE0AA">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p w14:paraId="104FA3EF">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p w14:paraId="0F77B8C9">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组</w:t>
            </w:r>
          </w:p>
          <w:p w14:paraId="070EF224">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1946" w:type="dxa"/>
            <w:noWrap w:val="0"/>
            <w:vAlign w:val="center"/>
          </w:tcPr>
          <w:p w14:paraId="6CA34021">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台数</w:t>
            </w:r>
          </w:p>
        </w:tc>
        <w:tc>
          <w:tcPr>
            <w:tcW w:w="723" w:type="dxa"/>
            <w:noWrap w:val="0"/>
            <w:vAlign w:val="center"/>
          </w:tcPr>
          <w:p w14:paraId="041A5D74">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台</w:t>
            </w:r>
          </w:p>
        </w:tc>
        <w:tc>
          <w:tcPr>
            <w:tcW w:w="2583" w:type="dxa"/>
            <w:noWrap w:val="0"/>
            <w:vAlign w:val="center"/>
          </w:tcPr>
          <w:p w14:paraId="14780904">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20</w:t>
            </w:r>
          </w:p>
        </w:tc>
        <w:tc>
          <w:tcPr>
            <w:tcW w:w="1548" w:type="dxa"/>
            <w:noWrap w:val="0"/>
            <w:vAlign w:val="center"/>
          </w:tcPr>
          <w:p w14:paraId="16EB7992">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FF0000"/>
                <w:sz w:val="21"/>
                <w:szCs w:val="21"/>
                <w:highlight w:val="none"/>
              </w:rPr>
            </w:pPr>
          </w:p>
        </w:tc>
      </w:tr>
      <w:tr w14:paraId="5466D3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65" w:type="dxa"/>
            <w:vMerge w:val="continue"/>
            <w:noWrap w:val="0"/>
            <w:vAlign w:val="center"/>
          </w:tcPr>
          <w:p w14:paraId="2550EBB0">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FF0000"/>
                <w:sz w:val="21"/>
                <w:szCs w:val="21"/>
                <w:highlight w:val="none"/>
              </w:rPr>
            </w:pPr>
          </w:p>
        </w:tc>
        <w:tc>
          <w:tcPr>
            <w:tcW w:w="466" w:type="dxa"/>
            <w:vMerge w:val="continue"/>
            <w:noWrap w:val="0"/>
            <w:vAlign w:val="center"/>
          </w:tcPr>
          <w:p w14:paraId="65A114AE">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FF0000"/>
                <w:sz w:val="21"/>
                <w:szCs w:val="21"/>
                <w:highlight w:val="none"/>
              </w:rPr>
            </w:pPr>
          </w:p>
        </w:tc>
        <w:tc>
          <w:tcPr>
            <w:tcW w:w="1381" w:type="dxa"/>
            <w:vMerge w:val="continue"/>
            <w:noWrap w:val="0"/>
            <w:vAlign w:val="center"/>
          </w:tcPr>
          <w:p w14:paraId="36BF6D0C">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FF0000"/>
                <w:sz w:val="21"/>
                <w:szCs w:val="21"/>
                <w:highlight w:val="none"/>
              </w:rPr>
            </w:pPr>
          </w:p>
        </w:tc>
        <w:tc>
          <w:tcPr>
            <w:tcW w:w="1946" w:type="dxa"/>
            <w:noWrap w:val="0"/>
            <w:vAlign w:val="center"/>
          </w:tcPr>
          <w:p w14:paraId="05290934">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风机类型及型号</w:t>
            </w:r>
          </w:p>
        </w:tc>
        <w:tc>
          <w:tcPr>
            <w:tcW w:w="723" w:type="dxa"/>
            <w:noWrap w:val="0"/>
            <w:vAlign w:val="center"/>
          </w:tcPr>
          <w:p w14:paraId="4991E335">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FF0000"/>
                <w:sz w:val="21"/>
                <w:szCs w:val="21"/>
                <w:highlight w:val="none"/>
                <w:lang w:val="en-US" w:eastAsia="zh-CN"/>
              </w:rPr>
            </w:pPr>
            <w:r>
              <w:rPr>
                <w:rFonts w:hint="default" w:ascii="Times New Roman" w:hAnsi="Times New Roman" w:cs="Times New Roman" w:eastAsiaTheme="minorEastAsia"/>
                <w:color w:val="FF0000"/>
                <w:sz w:val="21"/>
                <w:szCs w:val="21"/>
                <w:highlight w:val="none"/>
                <w:lang w:val="en-US" w:eastAsia="zh-CN"/>
              </w:rPr>
              <w:t>/</w:t>
            </w:r>
          </w:p>
        </w:tc>
        <w:tc>
          <w:tcPr>
            <w:tcW w:w="2583" w:type="dxa"/>
            <w:noWrap w:val="0"/>
            <w:vAlign w:val="center"/>
          </w:tcPr>
          <w:p w14:paraId="2E9D07C8">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FF0000"/>
                <w:sz w:val="21"/>
                <w:szCs w:val="21"/>
                <w:highlight w:val="none"/>
                <w:lang w:val="en-US" w:eastAsia="zh-CN"/>
              </w:rPr>
            </w:pPr>
            <w:r>
              <w:rPr>
                <w:rFonts w:hint="default" w:ascii="Times New Roman" w:hAnsi="Times New Roman" w:cs="Times New Roman" w:eastAsiaTheme="minorEastAsia"/>
                <w:b w:val="0"/>
                <w:bCs/>
                <w:snapToGrid w:val="0"/>
                <w:color w:val="000000" w:themeColor="text1"/>
                <w:sz w:val="21"/>
                <w:szCs w:val="21"/>
                <w:highlight w:val="none"/>
                <w:lang w:val="en-US" w:eastAsia="zh-CN"/>
                <w14:textFill>
                  <w14:solidFill>
                    <w14:schemeClr w14:val="tx1"/>
                  </w14:solidFill>
                </w14:textFill>
              </w:rPr>
              <w:t>永磁风机</w:t>
            </w:r>
          </w:p>
        </w:tc>
        <w:tc>
          <w:tcPr>
            <w:tcW w:w="1548" w:type="dxa"/>
            <w:noWrap w:val="0"/>
            <w:vAlign w:val="center"/>
          </w:tcPr>
          <w:p w14:paraId="1B5DAA1B">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FF0000"/>
                <w:sz w:val="21"/>
                <w:szCs w:val="21"/>
                <w:highlight w:val="none"/>
              </w:rPr>
            </w:pPr>
          </w:p>
        </w:tc>
      </w:tr>
      <w:tr w14:paraId="73CB71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65" w:type="dxa"/>
            <w:vMerge w:val="continue"/>
            <w:noWrap w:val="0"/>
            <w:vAlign w:val="center"/>
          </w:tcPr>
          <w:p w14:paraId="3F9BDFF9">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FF0000"/>
                <w:sz w:val="21"/>
                <w:szCs w:val="21"/>
                <w:highlight w:val="none"/>
              </w:rPr>
            </w:pPr>
          </w:p>
        </w:tc>
        <w:tc>
          <w:tcPr>
            <w:tcW w:w="466" w:type="dxa"/>
            <w:vMerge w:val="continue"/>
            <w:noWrap w:val="0"/>
            <w:vAlign w:val="center"/>
          </w:tcPr>
          <w:p w14:paraId="61202A46">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FF0000"/>
                <w:sz w:val="21"/>
                <w:szCs w:val="21"/>
                <w:highlight w:val="none"/>
              </w:rPr>
            </w:pPr>
          </w:p>
        </w:tc>
        <w:tc>
          <w:tcPr>
            <w:tcW w:w="1381" w:type="dxa"/>
            <w:vMerge w:val="continue"/>
            <w:noWrap w:val="0"/>
            <w:vAlign w:val="center"/>
          </w:tcPr>
          <w:p w14:paraId="13049651">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FF0000"/>
                <w:sz w:val="21"/>
                <w:szCs w:val="21"/>
                <w:highlight w:val="none"/>
              </w:rPr>
            </w:pPr>
          </w:p>
        </w:tc>
        <w:tc>
          <w:tcPr>
            <w:tcW w:w="1946" w:type="dxa"/>
            <w:noWrap w:val="0"/>
            <w:vAlign w:val="center"/>
          </w:tcPr>
          <w:p w14:paraId="533DE2FC">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额定功率</w:t>
            </w:r>
          </w:p>
        </w:tc>
        <w:tc>
          <w:tcPr>
            <w:tcW w:w="723" w:type="dxa"/>
            <w:noWrap w:val="0"/>
            <w:vAlign w:val="center"/>
          </w:tcPr>
          <w:p w14:paraId="2434B4ED">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kW</w:t>
            </w:r>
          </w:p>
        </w:tc>
        <w:tc>
          <w:tcPr>
            <w:tcW w:w="2583" w:type="dxa"/>
            <w:noWrap w:val="0"/>
            <w:vAlign w:val="center"/>
          </w:tcPr>
          <w:p w14:paraId="2B771C4A">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lang w:val="en-US"/>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7150</w:t>
            </w:r>
          </w:p>
        </w:tc>
        <w:tc>
          <w:tcPr>
            <w:tcW w:w="1548" w:type="dxa"/>
            <w:noWrap w:val="0"/>
            <w:vAlign w:val="center"/>
          </w:tcPr>
          <w:p w14:paraId="0743E8CD">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r>
      <w:tr w14:paraId="3E6AED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65" w:type="dxa"/>
            <w:vMerge w:val="continue"/>
            <w:noWrap w:val="0"/>
            <w:vAlign w:val="center"/>
          </w:tcPr>
          <w:p w14:paraId="003A0791">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FF0000"/>
                <w:sz w:val="21"/>
                <w:szCs w:val="21"/>
                <w:highlight w:val="none"/>
              </w:rPr>
            </w:pPr>
          </w:p>
        </w:tc>
        <w:tc>
          <w:tcPr>
            <w:tcW w:w="466" w:type="dxa"/>
            <w:vMerge w:val="continue"/>
            <w:noWrap w:val="0"/>
            <w:vAlign w:val="center"/>
          </w:tcPr>
          <w:p w14:paraId="0A935736">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FF0000"/>
                <w:sz w:val="21"/>
                <w:szCs w:val="21"/>
                <w:highlight w:val="none"/>
              </w:rPr>
            </w:pPr>
          </w:p>
        </w:tc>
        <w:tc>
          <w:tcPr>
            <w:tcW w:w="1381" w:type="dxa"/>
            <w:vMerge w:val="continue"/>
            <w:noWrap w:val="0"/>
            <w:vAlign w:val="center"/>
          </w:tcPr>
          <w:p w14:paraId="56DF50CF">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FF0000"/>
                <w:sz w:val="21"/>
                <w:szCs w:val="21"/>
                <w:highlight w:val="none"/>
              </w:rPr>
            </w:pPr>
          </w:p>
        </w:tc>
        <w:tc>
          <w:tcPr>
            <w:tcW w:w="1946" w:type="dxa"/>
            <w:noWrap w:val="0"/>
            <w:vAlign w:val="center"/>
          </w:tcPr>
          <w:p w14:paraId="79EC0BB2">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叶片数</w:t>
            </w:r>
          </w:p>
        </w:tc>
        <w:tc>
          <w:tcPr>
            <w:tcW w:w="723" w:type="dxa"/>
            <w:noWrap w:val="0"/>
            <w:vAlign w:val="center"/>
          </w:tcPr>
          <w:p w14:paraId="28E85779">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片</w:t>
            </w:r>
          </w:p>
        </w:tc>
        <w:tc>
          <w:tcPr>
            <w:tcW w:w="2583" w:type="dxa"/>
            <w:noWrap w:val="0"/>
            <w:vAlign w:val="center"/>
          </w:tcPr>
          <w:p w14:paraId="55F8ED82">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3</w:t>
            </w:r>
          </w:p>
        </w:tc>
        <w:tc>
          <w:tcPr>
            <w:tcW w:w="1548" w:type="dxa"/>
            <w:noWrap w:val="0"/>
            <w:vAlign w:val="center"/>
          </w:tcPr>
          <w:p w14:paraId="336908BD">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r>
      <w:tr w14:paraId="54BA4E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65" w:type="dxa"/>
            <w:vMerge w:val="continue"/>
            <w:noWrap w:val="0"/>
            <w:vAlign w:val="center"/>
          </w:tcPr>
          <w:p w14:paraId="6D984F8E">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FF0000"/>
                <w:sz w:val="21"/>
                <w:szCs w:val="21"/>
                <w:highlight w:val="none"/>
              </w:rPr>
            </w:pPr>
          </w:p>
        </w:tc>
        <w:tc>
          <w:tcPr>
            <w:tcW w:w="466" w:type="dxa"/>
            <w:vMerge w:val="continue"/>
            <w:noWrap w:val="0"/>
            <w:vAlign w:val="center"/>
          </w:tcPr>
          <w:p w14:paraId="1187195B">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FF0000"/>
                <w:sz w:val="21"/>
                <w:szCs w:val="21"/>
                <w:highlight w:val="none"/>
              </w:rPr>
            </w:pPr>
          </w:p>
        </w:tc>
        <w:tc>
          <w:tcPr>
            <w:tcW w:w="1381" w:type="dxa"/>
            <w:vMerge w:val="continue"/>
            <w:noWrap w:val="0"/>
            <w:vAlign w:val="center"/>
          </w:tcPr>
          <w:p w14:paraId="3ADE7971">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FF0000"/>
                <w:sz w:val="21"/>
                <w:szCs w:val="21"/>
                <w:highlight w:val="none"/>
              </w:rPr>
            </w:pPr>
          </w:p>
        </w:tc>
        <w:tc>
          <w:tcPr>
            <w:tcW w:w="1946" w:type="dxa"/>
            <w:noWrap w:val="0"/>
            <w:vAlign w:val="center"/>
          </w:tcPr>
          <w:p w14:paraId="153B74D4">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风轮直径</w:t>
            </w:r>
          </w:p>
        </w:tc>
        <w:tc>
          <w:tcPr>
            <w:tcW w:w="723" w:type="dxa"/>
            <w:noWrap w:val="0"/>
            <w:vAlign w:val="center"/>
          </w:tcPr>
          <w:p w14:paraId="2318A706">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m</w:t>
            </w:r>
          </w:p>
        </w:tc>
        <w:tc>
          <w:tcPr>
            <w:tcW w:w="2583" w:type="dxa"/>
            <w:noWrap w:val="0"/>
            <w:vAlign w:val="center"/>
          </w:tcPr>
          <w:p w14:paraId="29CCF3B3">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220</w:t>
            </w:r>
          </w:p>
        </w:tc>
        <w:tc>
          <w:tcPr>
            <w:tcW w:w="1548" w:type="dxa"/>
            <w:noWrap w:val="0"/>
            <w:vAlign w:val="center"/>
          </w:tcPr>
          <w:p w14:paraId="4E9BDFAA">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r>
      <w:tr w14:paraId="054329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65" w:type="dxa"/>
            <w:vMerge w:val="continue"/>
            <w:noWrap w:val="0"/>
            <w:vAlign w:val="center"/>
          </w:tcPr>
          <w:p w14:paraId="15E556E4">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FF0000"/>
                <w:sz w:val="21"/>
                <w:szCs w:val="21"/>
                <w:highlight w:val="none"/>
              </w:rPr>
            </w:pPr>
          </w:p>
        </w:tc>
        <w:tc>
          <w:tcPr>
            <w:tcW w:w="466" w:type="dxa"/>
            <w:vMerge w:val="continue"/>
            <w:noWrap w:val="0"/>
            <w:vAlign w:val="center"/>
          </w:tcPr>
          <w:p w14:paraId="68760915">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FF0000"/>
                <w:sz w:val="21"/>
                <w:szCs w:val="21"/>
                <w:highlight w:val="none"/>
              </w:rPr>
            </w:pPr>
          </w:p>
        </w:tc>
        <w:tc>
          <w:tcPr>
            <w:tcW w:w="1381" w:type="dxa"/>
            <w:vMerge w:val="continue"/>
            <w:noWrap w:val="0"/>
            <w:vAlign w:val="center"/>
          </w:tcPr>
          <w:p w14:paraId="7D7A7DB6">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FF0000"/>
                <w:sz w:val="21"/>
                <w:szCs w:val="21"/>
                <w:highlight w:val="none"/>
              </w:rPr>
            </w:pPr>
          </w:p>
        </w:tc>
        <w:tc>
          <w:tcPr>
            <w:tcW w:w="1946" w:type="dxa"/>
            <w:noWrap w:val="0"/>
            <w:vAlign w:val="center"/>
          </w:tcPr>
          <w:p w14:paraId="39A8D429">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扫掠面积</w:t>
            </w:r>
          </w:p>
        </w:tc>
        <w:tc>
          <w:tcPr>
            <w:tcW w:w="723" w:type="dxa"/>
            <w:noWrap w:val="0"/>
            <w:vAlign w:val="center"/>
          </w:tcPr>
          <w:p w14:paraId="48F446A9">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m</w:t>
            </w:r>
            <w:r>
              <w:rPr>
                <w:rFonts w:hint="default" w:ascii="Times New Roman" w:hAnsi="Times New Roman" w:cs="Times New Roman" w:eastAsiaTheme="minorEastAsia"/>
                <w:color w:val="000000" w:themeColor="text1"/>
                <w:sz w:val="21"/>
                <w:szCs w:val="21"/>
                <w:highlight w:val="none"/>
                <w:vertAlign w:val="superscript"/>
                <w14:textFill>
                  <w14:solidFill>
                    <w14:schemeClr w14:val="tx1"/>
                  </w14:solidFill>
                </w14:textFill>
              </w:rPr>
              <w:t>2</w:t>
            </w:r>
          </w:p>
        </w:tc>
        <w:tc>
          <w:tcPr>
            <w:tcW w:w="2583" w:type="dxa"/>
            <w:noWrap w:val="0"/>
            <w:vAlign w:val="center"/>
          </w:tcPr>
          <w:p w14:paraId="12CCE2A3">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38</w:t>
            </w:r>
            <w:r>
              <w:rPr>
                <w:rFonts w:hint="eastAsia" w:cs="Times New Roman" w:eastAsiaTheme="minorEastAsia"/>
                <w:color w:val="000000" w:themeColor="text1"/>
                <w:sz w:val="21"/>
                <w:szCs w:val="21"/>
                <w:highlight w:val="none"/>
                <w:lang w:val="en-US" w:eastAsia="zh-CN"/>
                <w14:textFill>
                  <w14:solidFill>
                    <w14:schemeClr w14:val="tx1"/>
                  </w14:solidFill>
                </w14:textFill>
              </w:rPr>
              <w:t>013</w:t>
            </w:r>
          </w:p>
        </w:tc>
        <w:tc>
          <w:tcPr>
            <w:tcW w:w="1548" w:type="dxa"/>
            <w:noWrap w:val="0"/>
            <w:vAlign w:val="center"/>
          </w:tcPr>
          <w:p w14:paraId="6246C800">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r>
      <w:tr w14:paraId="27CA72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65" w:type="dxa"/>
            <w:vMerge w:val="continue"/>
            <w:noWrap w:val="0"/>
            <w:vAlign w:val="center"/>
          </w:tcPr>
          <w:p w14:paraId="29D947B9">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FF0000"/>
                <w:sz w:val="21"/>
                <w:szCs w:val="21"/>
                <w:highlight w:val="none"/>
              </w:rPr>
            </w:pPr>
          </w:p>
        </w:tc>
        <w:tc>
          <w:tcPr>
            <w:tcW w:w="466" w:type="dxa"/>
            <w:vMerge w:val="continue"/>
            <w:noWrap w:val="0"/>
            <w:vAlign w:val="center"/>
          </w:tcPr>
          <w:p w14:paraId="33BEB945">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FF0000"/>
                <w:sz w:val="21"/>
                <w:szCs w:val="21"/>
                <w:highlight w:val="none"/>
              </w:rPr>
            </w:pPr>
          </w:p>
        </w:tc>
        <w:tc>
          <w:tcPr>
            <w:tcW w:w="1381" w:type="dxa"/>
            <w:vMerge w:val="continue"/>
            <w:noWrap w:val="0"/>
            <w:vAlign w:val="center"/>
          </w:tcPr>
          <w:p w14:paraId="446495DD">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FF0000"/>
                <w:sz w:val="21"/>
                <w:szCs w:val="21"/>
                <w:highlight w:val="none"/>
              </w:rPr>
            </w:pPr>
          </w:p>
        </w:tc>
        <w:tc>
          <w:tcPr>
            <w:tcW w:w="1946" w:type="dxa"/>
            <w:noWrap w:val="0"/>
            <w:vAlign w:val="center"/>
          </w:tcPr>
          <w:p w14:paraId="672B94CF">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切入风速</w:t>
            </w:r>
          </w:p>
        </w:tc>
        <w:tc>
          <w:tcPr>
            <w:tcW w:w="723" w:type="dxa"/>
            <w:noWrap w:val="0"/>
            <w:vAlign w:val="center"/>
          </w:tcPr>
          <w:p w14:paraId="6F47222B">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m/s</w:t>
            </w:r>
          </w:p>
        </w:tc>
        <w:tc>
          <w:tcPr>
            <w:tcW w:w="2583" w:type="dxa"/>
            <w:noWrap w:val="0"/>
            <w:vAlign w:val="center"/>
          </w:tcPr>
          <w:p w14:paraId="2260EE15">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eastAsia" w:ascii="Times New Roman" w:hAnsi="Times New Roman" w:cs="Times New Roman" w:eastAsiaTheme="minorEastAsia"/>
                <w:color w:val="000000" w:themeColor="text1"/>
                <w:sz w:val="21"/>
                <w:szCs w:val="21"/>
                <w:highlight w:val="none"/>
                <w:lang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3</w:t>
            </w:r>
          </w:p>
        </w:tc>
        <w:tc>
          <w:tcPr>
            <w:tcW w:w="1548" w:type="dxa"/>
            <w:noWrap w:val="0"/>
            <w:vAlign w:val="center"/>
          </w:tcPr>
          <w:p w14:paraId="11A22079">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r>
      <w:tr w14:paraId="663C5C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65" w:type="dxa"/>
            <w:vMerge w:val="continue"/>
            <w:noWrap w:val="0"/>
            <w:vAlign w:val="center"/>
          </w:tcPr>
          <w:p w14:paraId="3175D788">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FF0000"/>
                <w:sz w:val="21"/>
                <w:szCs w:val="21"/>
                <w:highlight w:val="none"/>
              </w:rPr>
            </w:pPr>
          </w:p>
        </w:tc>
        <w:tc>
          <w:tcPr>
            <w:tcW w:w="466" w:type="dxa"/>
            <w:vMerge w:val="continue"/>
            <w:noWrap w:val="0"/>
            <w:vAlign w:val="center"/>
          </w:tcPr>
          <w:p w14:paraId="515DC838">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FF0000"/>
                <w:sz w:val="21"/>
                <w:szCs w:val="21"/>
                <w:highlight w:val="none"/>
              </w:rPr>
            </w:pPr>
          </w:p>
        </w:tc>
        <w:tc>
          <w:tcPr>
            <w:tcW w:w="1381" w:type="dxa"/>
            <w:vMerge w:val="continue"/>
            <w:noWrap w:val="0"/>
            <w:vAlign w:val="center"/>
          </w:tcPr>
          <w:p w14:paraId="2DA0642B">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FF0000"/>
                <w:sz w:val="21"/>
                <w:szCs w:val="21"/>
                <w:highlight w:val="none"/>
              </w:rPr>
            </w:pPr>
          </w:p>
        </w:tc>
        <w:tc>
          <w:tcPr>
            <w:tcW w:w="1946" w:type="dxa"/>
            <w:noWrap w:val="0"/>
            <w:vAlign w:val="center"/>
          </w:tcPr>
          <w:p w14:paraId="09601C09">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切出风速</w:t>
            </w:r>
          </w:p>
        </w:tc>
        <w:tc>
          <w:tcPr>
            <w:tcW w:w="723" w:type="dxa"/>
            <w:noWrap w:val="0"/>
            <w:vAlign w:val="center"/>
          </w:tcPr>
          <w:p w14:paraId="673ADEA2">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m/s</w:t>
            </w:r>
          </w:p>
        </w:tc>
        <w:tc>
          <w:tcPr>
            <w:tcW w:w="2583" w:type="dxa"/>
            <w:noWrap w:val="0"/>
            <w:vAlign w:val="center"/>
          </w:tcPr>
          <w:p w14:paraId="63BF40B8">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25</w:t>
            </w:r>
          </w:p>
        </w:tc>
        <w:tc>
          <w:tcPr>
            <w:tcW w:w="1548" w:type="dxa"/>
            <w:noWrap w:val="0"/>
            <w:vAlign w:val="center"/>
          </w:tcPr>
          <w:p w14:paraId="659C4678">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r>
      <w:tr w14:paraId="1CBA1E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65" w:type="dxa"/>
            <w:vMerge w:val="continue"/>
            <w:noWrap w:val="0"/>
            <w:vAlign w:val="center"/>
          </w:tcPr>
          <w:p w14:paraId="20CE6FA2">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FF0000"/>
                <w:sz w:val="21"/>
                <w:szCs w:val="21"/>
                <w:highlight w:val="none"/>
              </w:rPr>
            </w:pPr>
          </w:p>
        </w:tc>
        <w:tc>
          <w:tcPr>
            <w:tcW w:w="466" w:type="dxa"/>
            <w:vMerge w:val="continue"/>
            <w:noWrap w:val="0"/>
            <w:vAlign w:val="center"/>
          </w:tcPr>
          <w:p w14:paraId="302757E9">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FF0000"/>
                <w:sz w:val="21"/>
                <w:szCs w:val="21"/>
                <w:highlight w:val="none"/>
              </w:rPr>
            </w:pPr>
          </w:p>
        </w:tc>
        <w:tc>
          <w:tcPr>
            <w:tcW w:w="1381" w:type="dxa"/>
            <w:vMerge w:val="continue"/>
            <w:noWrap w:val="0"/>
            <w:vAlign w:val="center"/>
          </w:tcPr>
          <w:p w14:paraId="01690CD2">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FF0000"/>
                <w:sz w:val="21"/>
                <w:szCs w:val="21"/>
                <w:highlight w:val="none"/>
              </w:rPr>
            </w:pPr>
          </w:p>
        </w:tc>
        <w:tc>
          <w:tcPr>
            <w:tcW w:w="1946" w:type="dxa"/>
            <w:noWrap w:val="0"/>
            <w:vAlign w:val="center"/>
          </w:tcPr>
          <w:p w14:paraId="692E0012">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轮毂高度</w:t>
            </w:r>
          </w:p>
        </w:tc>
        <w:tc>
          <w:tcPr>
            <w:tcW w:w="723" w:type="dxa"/>
            <w:noWrap w:val="0"/>
            <w:vAlign w:val="center"/>
          </w:tcPr>
          <w:p w14:paraId="7DD5228E">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m</w:t>
            </w:r>
          </w:p>
        </w:tc>
        <w:tc>
          <w:tcPr>
            <w:tcW w:w="2583" w:type="dxa"/>
            <w:noWrap w:val="0"/>
            <w:vAlign w:val="center"/>
          </w:tcPr>
          <w:p w14:paraId="7BB2AEA3">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12</w:t>
            </w:r>
            <w:r>
              <w:rPr>
                <w:rFonts w:hint="eastAsia" w:cs="Times New Roman" w:eastAsiaTheme="minorEastAsia"/>
                <w:color w:val="000000" w:themeColor="text1"/>
                <w:sz w:val="21"/>
                <w:szCs w:val="21"/>
                <w:highlight w:val="none"/>
                <w:lang w:val="en-US" w:eastAsia="zh-CN"/>
                <w14:textFill>
                  <w14:solidFill>
                    <w14:schemeClr w14:val="tx1"/>
                  </w14:solidFill>
                </w14:textFill>
              </w:rPr>
              <w:t>0</w:t>
            </w:r>
          </w:p>
        </w:tc>
        <w:tc>
          <w:tcPr>
            <w:tcW w:w="1548" w:type="dxa"/>
            <w:noWrap w:val="0"/>
            <w:vAlign w:val="center"/>
          </w:tcPr>
          <w:p w14:paraId="5A0D2969">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r>
      <w:tr w14:paraId="0E7291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65" w:type="dxa"/>
            <w:vMerge w:val="continue"/>
            <w:noWrap w:val="0"/>
            <w:vAlign w:val="center"/>
          </w:tcPr>
          <w:p w14:paraId="4A4A40DA">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FF0000"/>
                <w:sz w:val="21"/>
                <w:szCs w:val="21"/>
                <w:highlight w:val="none"/>
              </w:rPr>
            </w:pPr>
          </w:p>
        </w:tc>
        <w:tc>
          <w:tcPr>
            <w:tcW w:w="466" w:type="dxa"/>
            <w:vMerge w:val="continue"/>
            <w:noWrap w:val="0"/>
            <w:vAlign w:val="center"/>
          </w:tcPr>
          <w:p w14:paraId="62FD6FE7">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FF0000"/>
                <w:sz w:val="21"/>
                <w:szCs w:val="21"/>
                <w:highlight w:val="none"/>
              </w:rPr>
            </w:pPr>
          </w:p>
        </w:tc>
        <w:tc>
          <w:tcPr>
            <w:tcW w:w="1381" w:type="dxa"/>
            <w:vMerge w:val="continue"/>
            <w:noWrap w:val="0"/>
            <w:vAlign w:val="center"/>
          </w:tcPr>
          <w:p w14:paraId="52CBA35A">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FF0000"/>
                <w:sz w:val="21"/>
                <w:szCs w:val="21"/>
                <w:highlight w:val="none"/>
              </w:rPr>
            </w:pPr>
          </w:p>
        </w:tc>
        <w:tc>
          <w:tcPr>
            <w:tcW w:w="1946" w:type="dxa"/>
            <w:noWrap w:val="0"/>
            <w:vAlign w:val="center"/>
          </w:tcPr>
          <w:p w14:paraId="62334C75">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发电机容量</w:t>
            </w:r>
          </w:p>
        </w:tc>
        <w:tc>
          <w:tcPr>
            <w:tcW w:w="723" w:type="dxa"/>
            <w:noWrap w:val="0"/>
            <w:vAlign w:val="center"/>
          </w:tcPr>
          <w:p w14:paraId="1A922ECB">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kW</w:t>
            </w:r>
          </w:p>
        </w:tc>
        <w:tc>
          <w:tcPr>
            <w:tcW w:w="2583" w:type="dxa"/>
            <w:noWrap w:val="0"/>
            <w:vAlign w:val="center"/>
          </w:tcPr>
          <w:p w14:paraId="635BF256">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7150</w:t>
            </w:r>
          </w:p>
        </w:tc>
        <w:tc>
          <w:tcPr>
            <w:tcW w:w="1548" w:type="dxa"/>
            <w:noWrap w:val="0"/>
            <w:vAlign w:val="center"/>
          </w:tcPr>
          <w:p w14:paraId="2710F784">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r>
      <w:tr w14:paraId="34516D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65" w:type="dxa"/>
            <w:vMerge w:val="continue"/>
            <w:noWrap w:val="0"/>
            <w:vAlign w:val="center"/>
          </w:tcPr>
          <w:p w14:paraId="5767B0A2">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466" w:type="dxa"/>
            <w:vMerge w:val="continue"/>
            <w:noWrap w:val="0"/>
            <w:vAlign w:val="center"/>
          </w:tcPr>
          <w:p w14:paraId="178271C0">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1381" w:type="dxa"/>
            <w:vMerge w:val="continue"/>
            <w:noWrap w:val="0"/>
            <w:vAlign w:val="center"/>
          </w:tcPr>
          <w:p w14:paraId="07052F45">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1946" w:type="dxa"/>
            <w:noWrap w:val="0"/>
            <w:vAlign w:val="center"/>
          </w:tcPr>
          <w:p w14:paraId="5830F04F">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额定电压</w:t>
            </w:r>
          </w:p>
        </w:tc>
        <w:tc>
          <w:tcPr>
            <w:tcW w:w="723" w:type="dxa"/>
            <w:noWrap w:val="0"/>
            <w:vAlign w:val="center"/>
          </w:tcPr>
          <w:p w14:paraId="0409741D">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V</w:t>
            </w:r>
          </w:p>
        </w:tc>
        <w:tc>
          <w:tcPr>
            <w:tcW w:w="2583" w:type="dxa"/>
            <w:noWrap w:val="0"/>
            <w:vAlign w:val="center"/>
          </w:tcPr>
          <w:p w14:paraId="7F0CE0D2">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1140</w:t>
            </w:r>
          </w:p>
        </w:tc>
        <w:tc>
          <w:tcPr>
            <w:tcW w:w="1548" w:type="dxa"/>
            <w:noWrap w:val="0"/>
            <w:vAlign w:val="center"/>
          </w:tcPr>
          <w:p w14:paraId="17E6C475">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r>
      <w:tr w14:paraId="769CBF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65" w:type="dxa"/>
            <w:vMerge w:val="continue"/>
            <w:noWrap w:val="0"/>
            <w:vAlign w:val="center"/>
          </w:tcPr>
          <w:p w14:paraId="2207CA2F">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466" w:type="dxa"/>
            <w:vMerge w:val="continue"/>
            <w:noWrap w:val="0"/>
            <w:vAlign w:val="center"/>
          </w:tcPr>
          <w:p w14:paraId="0119C789">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1381" w:type="dxa"/>
            <w:noWrap w:val="0"/>
            <w:vAlign w:val="center"/>
          </w:tcPr>
          <w:p w14:paraId="65D403C0">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主要机</w:t>
            </w:r>
          </w:p>
          <w:p w14:paraId="41079F6E">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电设备</w:t>
            </w:r>
          </w:p>
        </w:tc>
        <w:tc>
          <w:tcPr>
            <w:tcW w:w="1946" w:type="dxa"/>
            <w:noWrap w:val="0"/>
            <w:vAlign w:val="center"/>
          </w:tcPr>
          <w:p w14:paraId="141479CF">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35kV箱式变电站</w:t>
            </w:r>
          </w:p>
        </w:tc>
        <w:tc>
          <w:tcPr>
            <w:tcW w:w="723" w:type="dxa"/>
            <w:noWrap w:val="0"/>
            <w:vAlign w:val="center"/>
          </w:tcPr>
          <w:p w14:paraId="40194CA5">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台</w:t>
            </w:r>
          </w:p>
        </w:tc>
        <w:tc>
          <w:tcPr>
            <w:tcW w:w="2583" w:type="dxa"/>
            <w:noWrap w:val="0"/>
            <w:vAlign w:val="center"/>
          </w:tcPr>
          <w:p w14:paraId="1BA56F34">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20</w:t>
            </w:r>
          </w:p>
        </w:tc>
        <w:tc>
          <w:tcPr>
            <w:tcW w:w="1548" w:type="dxa"/>
            <w:noWrap w:val="0"/>
            <w:vAlign w:val="center"/>
          </w:tcPr>
          <w:p w14:paraId="547F5A49">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r>
      <w:tr w14:paraId="2EDBDA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65" w:type="dxa"/>
            <w:vMerge w:val="restart"/>
            <w:noWrap w:val="0"/>
            <w:vAlign w:val="center"/>
          </w:tcPr>
          <w:p w14:paraId="38FB28EF">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土</w:t>
            </w:r>
          </w:p>
          <w:p w14:paraId="2225D18D">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p w14:paraId="182528D1">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建</w:t>
            </w:r>
          </w:p>
        </w:tc>
        <w:tc>
          <w:tcPr>
            <w:tcW w:w="1847" w:type="dxa"/>
            <w:gridSpan w:val="2"/>
            <w:vMerge w:val="restart"/>
            <w:noWrap w:val="0"/>
            <w:vAlign w:val="center"/>
          </w:tcPr>
          <w:p w14:paraId="7C64A6C0">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风机基础</w:t>
            </w:r>
          </w:p>
        </w:tc>
        <w:tc>
          <w:tcPr>
            <w:tcW w:w="1946" w:type="dxa"/>
            <w:noWrap w:val="0"/>
            <w:vAlign w:val="center"/>
          </w:tcPr>
          <w:p w14:paraId="479A1F58">
            <w:pPr>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台数</w:t>
            </w:r>
          </w:p>
        </w:tc>
        <w:tc>
          <w:tcPr>
            <w:tcW w:w="723" w:type="dxa"/>
            <w:noWrap w:val="0"/>
            <w:vAlign w:val="center"/>
          </w:tcPr>
          <w:p w14:paraId="164508BC">
            <w:pPr>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座</w:t>
            </w:r>
          </w:p>
        </w:tc>
        <w:tc>
          <w:tcPr>
            <w:tcW w:w="2583" w:type="dxa"/>
            <w:noWrap w:val="0"/>
            <w:vAlign w:val="center"/>
          </w:tcPr>
          <w:p w14:paraId="28B38985">
            <w:pPr>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20</w:t>
            </w:r>
          </w:p>
        </w:tc>
        <w:tc>
          <w:tcPr>
            <w:tcW w:w="1548" w:type="dxa"/>
            <w:noWrap w:val="0"/>
            <w:vAlign w:val="center"/>
          </w:tcPr>
          <w:p w14:paraId="7D176838">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FF0000"/>
                <w:sz w:val="21"/>
                <w:szCs w:val="21"/>
                <w:highlight w:val="none"/>
              </w:rPr>
            </w:pPr>
          </w:p>
        </w:tc>
      </w:tr>
      <w:tr w14:paraId="280D3E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65" w:type="dxa"/>
            <w:vMerge w:val="continue"/>
            <w:noWrap w:val="0"/>
            <w:vAlign w:val="center"/>
          </w:tcPr>
          <w:p w14:paraId="5919D6E7">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1847" w:type="dxa"/>
            <w:gridSpan w:val="2"/>
            <w:vMerge w:val="continue"/>
            <w:noWrap w:val="0"/>
            <w:vAlign w:val="center"/>
          </w:tcPr>
          <w:p w14:paraId="30607315">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1946" w:type="dxa"/>
            <w:noWrap w:val="0"/>
            <w:vAlign w:val="center"/>
          </w:tcPr>
          <w:p w14:paraId="3FF2C4F2">
            <w:pPr>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型式</w:t>
            </w:r>
          </w:p>
        </w:tc>
        <w:tc>
          <w:tcPr>
            <w:tcW w:w="723" w:type="dxa"/>
            <w:noWrap w:val="0"/>
            <w:vAlign w:val="center"/>
          </w:tcPr>
          <w:p w14:paraId="16D00CD5">
            <w:pPr>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2583" w:type="dxa"/>
            <w:noWrap w:val="0"/>
            <w:vAlign w:val="center"/>
          </w:tcPr>
          <w:p w14:paraId="3A107BA2">
            <w:pPr>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预应力锚杆板式扩展基础</w:t>
            </w:r>
          </w:p>
        </w:tc>
        <w:tc>
          <w:tcPr>
            <w:tcW w:w="1548" w:type="dxa"/>
            <w:noWrap w:val="0"/>
            <w:vAlign w:val="center"/>
          </w:tcPr>
          <w:p w14:paraId="65420A7A">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FF0000"/>
                <w:sz w:val="21"/>
                <w:szCs w:val="21"/>
                <w:highlight w:val="none"/>
              </w:rPr>
            </w:pPr>
          </w:p>
        </w:tc>
      </w:tr>
      <w:tr w14:paraId="58C4C1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65" w:type="dxa"/>
            <w:vMerge w:val="continue"/>
            <w:noWrap w:val="0"/>
            <w:vAlign w:val="center"/>
          </w:tcPr>
          <w:p w14:paraId="4E3647A6">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1847" w:type="dxa"/>
            <w:gridSpan w:val="2"/>
            <w:vMerge w:val="continue"/>
            <w:noWrap w:val="0"/>
            <w:vAlign w:val="center"/>
          </w:tcPr>
          <w:p w14:paraId="76E4558B">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1946" w:type="dxa"/>
            <w:noWrap w:val="0"/>
            <w:vAlign w:val="center"/>
          </w:tcPr>
          <w:p w14:paraId="569461E8">
            <w:pPr>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地基特性</w:t>
            </w:r>
          </w:p>
        </w:tc>
        <w:tc>
          <w:tcPr>
            <w:tcW w:w="723" w:type="dxa"/>
            <w:noWrap w:val="0"/>
            <w:vAlign w:val="center"/>
          </w:tcPr>
          <w:p w14:paraId="56208674">
            <w:pPr>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2583" w:type="dxa"/>
            <w:noWrap w:val="0"/>
            <w:vAlign w:val="center"/>
          </w:tcPr>
          <w:p w14:paraId="0767EAA7">
            <w:pPr>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天然地基</w:t>
            </w:r>
          </w:p>
        </w:tc>
        <w:tc>
          <w:tcPr>
            <w:tcW w:w="1548" w:type="dxa"/>
            <w:noWrap w:val="0"/>
            <w:vAlign w:val="center"/>
          </w:tcPr>
          <w:p w14:paraId="0FF6C920">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FF0000"/>
                <w:sz w:val="21"/>
                <w:szCs w:val="21"/>
                <w:highlight w:val="none"/>
              </w:rPr>
            </w:pPr>
          </w:p>
        </w:tc>
      </w:tr>
      <w:tr w14:paraId="721307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65" w:type="dxa"/>
            <w:vMerge w:val="continue"/>
            <w:noWrap w:val="0"/>
            <w:vAlign w:val="center"/>
          </w:tcPr>
          <w:p w14:paraId="45B551CD">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1847" w:type="dxa"/>
            <w:gridSpan w:val="2"/>
            <w:vMerge w:val="restart"/>
            <w:noWrap w:val="0"/>
            <w:vAlign w:val="center"/>
          </w:tcPr>
          <w:p w14:paraId="5F35A4DF">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箱变基础</w:t>
            </w:r>
          </w:p>
        </w:tc>
        <w:tc>
          <w:tcPr>
            <w:tcW w:w="1946" w:type="dxa"/>
            <w:noWrap w:val="0"/>
            <w:vAlign w:val="center"/>
          </w:tcPr>
          <w:p w14:paraId="459152F9">
            <w:pPr>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台数</w:t>
            </w:r>
          </w:p>
        </w:tc>
        <w:tc>
          <w:tcPr>
            <w:tcW w:w="723" w:type="dxa"/>
            <w:noWrap w:val="0"/>
            <w:vAlign w:val="center"/>
          </w:tcPr>
          <w:p w14:paraId="07398178">
            <w:pPr>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台</w:t>
            </w:r>
          </w:p>
        </w:tc>
        <w:tc>
          <w:tcPr>
            <w:tcW w:w="2583" w:type="dxa"/>
            <w:noWrap w:val="0"/>
            <w:vAlign w:val="center"/>
          </w:tcPr>
          <w:p w14:paraId="4E44B0C8">
            <w:pPr>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20</w:t>
            </w:r>
          </w:p>
        </w:tc>
        <w:tc>
          <w:tcPr>
            <w:tcW w:w="1548" w:type="dxa"/>
            <w:noWrap w:val="0"/>
            <w:vAlign w:val="center"/>
          </w:tcPr>
          <w:p w14:paraId="32076A76">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FF0000"/>
                <w:sz w:val="21"/>
                <w:szCs w:val="21"/>
                <w:highlight w:val="none"/>
              </w:rPr>
            </w:pPr>
          </w:p>
        </w:tc>
      </w:tr>
      <w:tr w14:paraId="4CC794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65" w:type="dxa"/>
            <w:vMerge w:val="continue"/>
            <w:noWrap w:val="0"/>
            <w:vAlign w:val="center"/>
          </w:tcPr>
          <w:p w14:paraId="71A80F39">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FF0000"/>
                <w:sz w:val="21"/>
                <w:szCs w:val="21"/>
                <w:highlight w:val="none"/>
              </w:rPr>
            </w:pPr>
          </w:p>
        </w:tc>
        <w:tc>
          <w:tcPr>
            <w:tcW w:w="1847" w:type="dxa"/>
            <w:gridSpan w:val="2"/>
            <w:vMerge w:val="continue"/>
            <w:noWrap w:val="0"/>
            <w:vAlign w:val="center"/>
          </w:tcPr>
          <w:p w14:paraId="692D4C14">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1946" w:type="dxa"/>
            <w:noWrap w:val="0"/>
            <w:vAlign w:val="center"/>
          </w:tcPr>
          <w:p w14:paraId="31FB5DD8">
            <w:pPr>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型式</w:t>
            </w:r>
          </w:p>
        </w:tc>
        <w:tc>
          <w:tcPr>
            <w:tcW w:w="723" w:type="dxa"/>
            <w:noWrap w:val="0"/>
            <w:vAlign w:val="center"/>
          </w:tcPr>
          <w:p w14:paraId="6780D2F9">
            <w:pPr>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2583" w:type="dxa"/>
            <w:noWrap w:val="0"/>
            <w:vAlign w:val="center"/>
          </w:tcPr>
          <w:p w14:paraId="3DFD86EE">
            <w:pPr>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钢筋混凝土基础</w:t>
            </w:r>
          </w:p>
        </w:tc>
        <w:tc>
          <w:tcPr>
            <w:tcW w:w="1548" w:type="dxa"/>
            <w:noWrap w:val="0"/>
            <w:vAlign w:val="center"/>
          </w:tcPr>
          <w:p w14:paraId="058A4276">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FF0000"/>
                <w:sz w:val="21"/>
                <w:szCs w:val="21"/>
                <w:highlight w:val="none"/>
              </w:rPr>
            </w:pPr>
          </w:p>
        </w:tc>
      </w:tr>
      <w:tr w14:paraId="537AAE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312" w:type="dxa"/>
            <w:gridSpan w:val="3"/>
            <w:noWrap w:val="0"/>
            <w:vAlign w:val="center"/>
          </w:tcPr>
          <w:p w14:paraId="6EF48D24">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场区检修道路</w:t>
            </w:r>
          </w:p>
        </w:tc>
        <w:tc>
          <w:tcPr>
            <w:tcW w:w="1946" w:type="dxa"/>
            <w:noWrap w:val="0"/>
            <w:vAlign w:val="center"/>
          </w:tcPr>
          <w:p w14:paraId="50EB1944">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i w:val="0"/>
                <w:color w:val="000000" w:themeColor="text1"/>
                <w:kern w:val="0"/>
                <w:sz w:val="21"/>
                <w:szCs w:val="21"/>
                <w:highlight w:val="none"/>
                <w:u w:val="none"/>
                <w:lang w:val="en-US" w:eastAsia="zh-CN" w:bidi="ar"/>
                <w14:textFill>
                  <w14:solidFill>
                    <w14:schemeClr w14:val="tx1"/>
                  </w14:solidFill>
                </w14:textFill>
              </w:rPr>
              <w:t>宽4.5m碎石路面</w:t>
            </w:r>
          </w:p>
        </w:tc>
        <w:tc>
          <w:tcPr>
            <w:tcW w:w="723" w:type="dxa"/>
            <w:noWrap w:val="0"/>
            <w:vAlign w:val="center"/>
          </w:tcPr>
          <w:p w14:paraId="481AFFDC">
            <w:pPr>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m</w:t>
            </w:r>
          </w:p>
        </w:tc>
        <w:tc>
          <w:tcPr>
            <w:tcW w:w="2583" w:type="dxa"/>
            <w:noWrap w:val="0"/>
            <w:vAlign w:val="center"/>
          </w:tcPr>
          <w:p w14:paraId="0AF8F372">
            <w:pPr>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b w:val="0"/>
                <w:bCs/>
                <w:color w:val="000000" w:themeColor="text1"/>
                <w:kern w:val="2"/>
                <w:sz w:val="21"/>
                <w:szCs w:val="21"/>
                <w:highlight w:val="none"/>
                <w:vertAlign w:val="baseline"/>
                <w:lang w:val="en-US" w:eastAsia="zh-CN"/>
                <w14:textFill>
                  <w14:solidFill>
                    <w14:schemeClr w14:val="tx1"/>
                  </w14:solidFill>
                </w14:textFill>
              </w:rPr>
              <w:t>30700</w:t>
            </w:r>
          </w:p>
        </w:tc>
        <w:tc>
          <w:tcPr>
            <w:tcW w:w="1548" w:type="dxa"/>
            <w:noWrap w:val="0"/>
            <w:vAlign w:val="center"/>
          </w:tcPr>
          <w:p w14:paraId="5595AB76">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FF0000"/>
                <w:sz w:val="21"/>
                <w:szCs w:val="21"/>
                <w:highlight w:val="none"/>
              </w:rPr>
            </w:pPr>
          </w:p>
        </w:tc>
      </w:tr>
      <w:tr w14:paraId="7A4174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312" w:type="dxa"/>
            <w:gridSpan w:val="3"/>
            <w:vMerge w:val="restart"/>
            <w:noWrap w:val="0"/>
            <w:vAlign w:val="center"/>
          </w:tcPr>
          <w:p w14:paraId="79415D0D">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工程占地</w:t>
            </w:r>
          </w:p>
        </w:tc>
        <w:tc>
          <w:tcPr>
            <w:tcW w:w="1946" w:type="dxa"/>
            <w:noWrap w:val="0"/>
            <w:vAlign w:val="center"/>
          </w:tcPr>
          <w:p w14:paraId="16B57A1C">
            <w:pPr>
              <w:keepNext w:val="0"/>
              <w:keepLines w:val="0"/>
              <w:pageBreakBefore w:val="0"/>
              <w:widowControl w:val="0"/>
              <w:tabs>
                <w:tab w:val="left" w:pos="3240"/>
              </w:tabs>
              <w:kinsoku/>
              <w:wordWrap/>
              <w:overflowPunct/>
              <w:topLinePunct w:val="0"/>
              <w:autoSpaceDE w:val="0"/>
              <w:autoSpaceDN w:val="0"/>
              <w:bidi w:val="0"/>
              <w:adjustRightInd w:val="0"/>
              <w:snapToGrid/>
              <w:spacing w:beforeAutospacing="0" w:afterAutospacing="0" w:line="240" w:lineRule="auto"/>
              <w:ind w:left="0" w:leftChars="0"/>
              <w:jc w:val="center"/>
              <w:textAlignment w:val="bottom"/>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永久占地</w:t>
            </w:r>
          </w:p>
        </w:tc>
        <w:tc>
          <w:tcPr>
            <w:tcW w:w="723" w:type="dxa"/>
            <w:noWrap w:val="0"/>
            <w:vAlign w:val="center"/>
          </w:tcPr>
          <w:p w14:paraId="410225E1">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jc w:val="center"/>
              <w:textAlignment w:val="bottom"/>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GB"/>
                <w14:textFill>
                  <w14:solidFill>
                    <w14:schemeClr w14:val="tx1"/>
                  </w14:solidFill>
                </w14:textFill>
              </w:rPr>
              <w:t>m²</w:t>
            </w:r>
          </w:p>
        </w:tc>
        <w:tc>
          <w:tcPr>
            <w:tcW w:w="2583" w:type="dxa"/>
            <w:noWrap w:val="0"/>
            <w:vAlign w:val="center"/>
          </w:tcPr>
          <w:p w14:paraId="05F68106">
            <w:pPr>
              <w:keepNext w:val="0"/>
              <w:keepLines w:val="0"/>
              <w:pageBreakBefore w:val="0"/>
              <w:widowControl w:val="0"/>
              <w:kinsoku/>
              <w:wordWrap/>
              <w:overflowPunct/>
              <w:topLinePunct w:val="0"/>
              <w:bidi w:val="0"/>
              <w:adjustRightInd w:val="0"/>
              <w:snapToGrid/>
              <w:spacing w:beforeAutospacing="0" w:afterAutospacing="0" w:line="160" w:lineRule="atLeast"/>
              <w:ind w:left="0" w:leftChars="0"/>
              <w:jc w:val="center"/>
              <w:textAlignment w:val="auto"/>
              <w:rPr>
                <w:rFonts w:hint="default" w:ascii="Times New Roman" w:hAnsi="Times New Roman" w:cs="Times New Roman" w:eastAsiaTheme="minorEastAsia"/>
                <w:color w:val="000000" w:themeColor="text1"/>
                <w:sz w:val="21"/>
                <w:szCs w:val="21"/>
                <w:highlight w:val="none"/>
                <w:lang w:val="en-US"/>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150955</w:t>
            </w:r>
          </w:p>
        </w:tc>
        <w:tc>
          <w:tcPr>
            <w:tcW w:w="1548" w:type="dxa"/>
            <w:noWrap w:val="0"/>
            <w:vAlign w:val="center"/>
          </w:tcPr>
          <w:p w14:paraId="7F80229A">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FF0000"/>
                <w:sz w:val="21"/>
                <w:szCs w:val="21"/>
                <w:highlight w:val="none"/>
                <w:lang w:val="en-US" w:eastAsia="zh-CN"/>
              </w:rPr>
            </w:pPr>
          </w:p>
        </w:tc>
      </w:tr>
      <w:tr w14:paraId="1DAD39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312" w:type="dxa"/>
            <w:gridSpan w:val="3"/>
            <w:vMerge w:val="continue"/>
            <w:noWrap w:val="0"/>
            <w:vAlign w:val="center"/>
          </w:tcPr>
          <w:p w14:paraId="6DF3D1DE">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1946" w:type="dxa"/>
            <w:noWrap w:val="0"/>
            <w:vAlign w:val="center"/>
          </w:tcPr>
          <w:p w14:paraId="394C0E1E">
            <w:pPr>
              <w:keepNext w:val="0"/>
              <w:keepLines w:val="0"/>
              <w:pageBreakBefore w:val="0"/>
              <w:widowControl w:val="0"/>
              <w:tabs>
                <w:tab w:val="left" w:pos="3240"/>
              </w:tabs>
              <w:kinsoku/>
              <w:wordWrap/>
              <w:overflowPunct/>
              <w:topLinePunct w:val="0"/>
              <w:autoSpaceDE w:val="0"/>
              <w:autoSpaceDN w:val="0"/>
              <w:bidi w:val="0"/>
              <w:adjustRightInd w:val="0"/>
              <w:snapToGrid/>
              <w:spacing w:beforeAutospacing="0" w:afterAutospacing="0" w:line="240" w:lineRule="auto"/>
              <w:ind w:left="0" w:leftChars="0"/>
              <w:jc w:val="center"/>
              <w:textAlignment w:val="bottom"/>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临时占地</w:t>
            </w:r>
          </w:p>
        </w:tc>
        <w:tc>
          <w:tcPr>
            <w:tcW w:w="723" w:type="dxa"/>
            <w:noWrap w:val="0"/>
            <w:vAlign w:val="center"/>
          </w:tcPr>
          <w:p w14:paraId="663E4351">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jc w:val="center"/>
              <w:textAlignment w:val="bottom"/>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GB"/>
                <w14:textFill>
                  <w14:solidFill>
                    <w14:schemeClr w14:val="tx1"/>
                  </w14:solidFill>
                </w14:textFill>
              </w:rPr>
              <w:t>m²</w:t>
            </w:r>
          </w:p>
        </w:tc>
        <w:tc>
          <w:tcPr>
            <w:tcW w:w="2583" w:type="dxa"/>
            <w:noWrap w:val="0"/>
            <w:vAlign w:val="center"/>
          </w:tcPr>
          <w:p w14:paraId="194D61B6">
            <w:pPr>
              <w:keepNext w:val="0"/>
              <w:keepLines w:val="0"/>
              <w:pageBreakBefore w:val="0"/>
              <w:widowControl w:val="0"/>
              <w:kinsoku/>
              <w:wordWrap/>
              <w:overflowPunct/>
              <w:topLinePunct w:val="0"/>
              <w:bidi w:val="0"/>
              <w:adjustRightInd w:val="0"/>
              <w:snapToGrid/>
              <w:spacing w:beforeAutospacing="0" w:afterAutospacing="0" w:line="160" w:lineRule="atLeast"/>
              <w:ind w:left="0" w:left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182900</w:t>
            </w:r>
          </w:p>
        </w:tc>
        <w:tc>
          <w:tcPr>
            <w:tcW w:w="1548" w:type="dxa"/>
            <w:noWrap w:val="0"/>
            <w:vAlign w:val="center"/>
          </w:tcPr>
          <w:p w14:paraId="3F294F30">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default" w:ascii="Times New Roman" w:hAnsi="Times New Roman" w:cs="Times New Roman" w:eastAsiaTheme="minorEastAsia"/>
                <w:color w:val="FF0000"/>
                <w:sz w:val="21"/>
                <w:szCs w:val="21"/>
                <w:highlight w:val="none"/>
              </w:rPr>
            </w:pPr>
          </w:p>
        </w:tc>
      </w:tr>
    </w:tbl>
    <w:p w14:paraId="7C4E3E04">
      <w:pPr>
        <w:bidi w:val="0"/>
        <w:spacing w:line="240" w:lineRule="auto"/>
        <w:ind w:left="0" w:leftChars="0" w:firstLine="0" w:firstLineChars="0"/>
        <w:jc w:val="center"/>
        <w:rPr>
          <w:rFonts w:hint="default" w:ascii="Times New Roman" w:hAnsi="Times New Roman" w:cs="Times New Roman" w:eastAsiaTheme="minorEastAsia"/>
          <w:b/>
          <w:bCs/>
          <w:color w:val="FF0000"/>
          <w:highlight w:val="none"/>
        </w:rPr>
      </w:pPr>
    </w:p>
    <w:p w14:paraId="4098C368">
      <w:pPr>
        <w:bidi w:val="0"/>
        <w:spacing w:line="240" w:lineRule="auto"/>
        <w:ind w:left="0" w:leftChars="0" w:firstLine="0" w:firstLineChars="0"/>
        <w:jc w:val="center"/>
        <w:rPr>
          <w:rFonts w:hint="default" w:ascii="Times New Roman" w:hAnsi="Times New Roman" w:cs="Times New Roman" w:eastAsiaTheme="minorEastAsia"/>
          <w:b/>
          <w:bCs/>
          <w:color w:val="FF0000"/>
          <w:highlight w:val="none"/>
        </w:rPr>
      </w:pPr>
    </w:p>
    <w:p w14:paraId="3229197F">
      <w:pPr>
        <w:pStyle w:val="11"/>
        <w:keepNext/>
        <w:keepLines/>
        <w:pageBreakBefore w:val="0"/>
        <w:widowControl w:val="0"/>
        <w:kinsoku/>
        <w:wordWrap/>
        <w:overflowPunct/>
        <w:topLinePunct w:val="0"/>
        <w:autoSpaceDE/>
        <w:autoSpaceDN/>
        <w:bidi w:val="0"/>
        <w:adjustRightInd/>
        <w:snapToGrid/>
        <w:ind w:left="0"/>
        <w:textAlignment w:val="auto"/>
        <w:outlineLvl w:val="2"/>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3.1.</w:t>
      </w:r>
      <w:r>
        <w:rPr>
          <w:rFonts w:hint="eastAsia" w:cs="Times New Roman" w:eastAsiaTheme="minorEastAsia"/>
          <w:color w:val="000000" w:themeColor="text1"/>
          <w:highlight w:val="none"/>
          <w:lang w:val="en-US" w:eastAsia="zh-CN"/>
          <w14:textFill>
            <w14:solidFill>
              <w14:schemeClr w14:val="tx1"/>
            </w14:solidFill>
          </w14:textFill>
        </w:rPr>
        <w:t>4</w:t>
      </w: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 xml:space="preserve"> 公用工程</w:t>
      </w:r>
    </w:p>
    <w:p w14:paraId="51A6AD34">
      <w:pPr>
        <w:keepNext w:val="0"/>
        <w:keepLines w:val="0"/>
        <w:pageBreakBefore w:val="0"/>
        <w:widowControl w:val="0"/>
        <w:numPr>
          <w:ilvl w:val="0"/>
          <w:numId w:val="0"/>
        </w:numPr>
        <w:tabs>
          <w:tab w:val="left" w:pos="1260"/>
        </w:tabs>
        <w:kinsoku/>
        <w:wordWrap/>
        <w:overflowPunct/>
        <w:topLinePunct w:val="0"/>
        <w:autoSpaceDE/>
        <w:autoSpaceDN/>
        <w:bidi w:val="0"/>
        <w:adjustRightInd/>
        <w:snapToGrid/>
        <w:spacing w:line="360" w:lineRule="auto"/>
        <w:ind w:left="0" w:leftChars="0"/>
        <w:textAlignment w:val="auto"/>
        <w:outlineLvl w:val="9"/>
        <w:rPr>
          <w:rFonts w:hint="default"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t>3.1.</w:t>
      </w:r>
      <w:r>
        <w:rPr>
          <w:rFonts w:hint="eastAsia" w:cs="Times New Roman" w:eastAsiaTheme="minorEastAsia"/>
          <w:b/>
          <w:bCs/>
          <w:snapToGrid w:val="0"/>
          <w:color w:val="000000" w:themeColor="text1"/>
          <w:sz w:val="24"/>
          <w:highlight w:val="none"/>
          <w:lang w:val="en-US" w:eastAsia="zh-CN"/>
          <w14:textFill>
            <w14:solidFill>
              <w14:schemeClr w14:val="tx1"/>
            </w14:solidFill>
          </w14:textFill>
        </w:rPr>
        <w:t>4</w:t>
      </w:r>
      <w:r>
        <w:rPr>
          <w:rFonts w:hint="default"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t>.1 供电</w:t>
      </w:r>
    </w:p>
    <w:p w14:paraId="53F8A827">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cs="Times New Roman" w:eastAsiaTheme="minorEastAsia"/>
          <w:b w:val="0"/>
          <w:bCs/>
          <w:color w:val="000000" w:themeColor="text1"/>
          <w:kern w:val="2"/>
          <w:sz w:val="24"/>
          <w:szCs w:val="24"/>
          <w:highlight w:val="none"/>
          <w:vertAlign w:val="baseline"/>
          <w:lang w:val="en-US" w:eastAsia="zh-CN"/>
          <w14:textFill>
            <w14:solidFill>
              <w14:schemeClr w14:val="tx1"/>
            </w14:solidFill>
          </w14:textFill>
        </w:rPr>
      </w:pPr>
      <w:r>
        <w:rPr>
          <w:rFonts w:hint="eastAsia" w:ascii="Times New Roman" w:hAnsi="Times New Roman" w:cs="Times New Roman" w:eastAsiaTheme="minorEastAsia"/>
          <w:b w:val="0"/>
          <w:bCs/>
          <w:color w:val="000000" w:themeColor="text1"/>
          <w:kern w:val="2"/>
          <w:sz w:val="24"/>
          <w:szCs w:val="24"/>
          <w:highlight w:val="none"/>
          <w:vertAlign w:val="baseline"/>
          <w:lang w:val="en-US" w:eastAsia="zh-CN"/>
          <w14:textFill>
            <w14:solidFill>
              <w14:schemeClr w14:val="tx1"/>
            </w14:solidFill>
          </w14:textFill>
        </w:rPr>
        <w:t>施工期：施工电源从附近10kV线路引接，结合移动发电车使用。</w:t>
      </w:r>
    </w:p>
    <w:p w14:paraId="21767F50">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b w:val="0"/>
          <w:bCs/>
          <w:color w:val="000000" w:themeColor="text1"/>
          <w:kern w:val="2"/>
          <w:sz w:val="24"/>
          <w:szCs w:val="24"/>
          <w:highlight w:val="none"/>
          <w:vertAlign w:val="baseline"/>
          <w:lang w:val="en-US" w:eastAsia="zh-CN"/>
          <w14:textFill>
            <w14:solidFill>
              <w14:schemeClr w14:val="tx1"/>
            </w14:solidFill>
          </w14:textFill>
        </w:rPr>
      </w:pPr>
      <w:r>
        <w:rPr>
          <w:rFonts w:hint="eastAsia" w:ascii="Times New Roman" w:hAnsi="Times New Roman" w:cs="Times New Roman" w:eastAsiaTheme="minorEastAsia"/>
          <w:b w:val="0"/>
          <w:bCs/>
          <w:color w:val="000000" w:themeColor="text1"/>
          <w:kern w:val="2"/>
          <w:sz w:val="24"/>
          <w:szCs w:val="24"/>
          <w:highlight w:val="none"/>
          <w:vertAlign w:val="baseline"/>
          <w:lang w:val="en-US" w:eastAsia="zh-CN"/>
          <w14:textFill>
            <w14:solidFill>
              <w14:schemeClr w14:val="tx1"/>
            </w14:solidFill>
          </w14:textFill>
        </w:rPr>
        <w:t>运营期：运营期风电场内无需供电。</w:t>
      </w:r>
    </w:p>
    <w:p w14:paraId="3EB7B208">
      <w:pPr>
        <w:keepNext w:val="0"/>
        <w:keepLines w:val="0"/>
        <w:pageBreakBefore w:val="0"/>
        <w:widowControl w:val="0"/>
        <w:numPr>
          <w:ilvl w:val="0"/>
          <w:numId w:val="0"/>
        </w:numPr>
        <w:tabs>
          <w:tab w:val="left" w:pos="1260"/>
        </w:tabs>
        <w:kinsoku/>
        <w:wordWrap/>
        <w:overflowPunct/>
        <w:topLinePunct w:val="0"/>
        <w:autoSpaceDE/>
        <w:autoSpaceDN/>
        <w:bidi w:val="0"/>
        <w:adjustRightInd/>
        <w:snapToGrid/>
        <w:spacing w:line="360" w:lineRule="auto"/>
        <w:ind w:left="0" w:leftChars="0"/>
        <w:textAlignment w:val="auto"/>
        <w:outlineLvl w:val="9"/>
        <w:rPr>
          <w:rFonts w:hint="default"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t>3.1.</w:t>
      </w:r>
      <w:r>
        <w:rPr>
          <w:rFonts w:hint="eastAsia" w:cs="Times New Roman" w:eastAsiaTheme="minorEastAsia"/>
          <w:b/>
          <w:bCs/>
          <w:snapToGrid w:val="0"/>
          <w:color w:val="000000" w:themeColor="text1"/>
          <w:sz w:val="24"/>
          <w:highlight w:val="none"/>
          <w:lang w:val="en-US" w:eastAsia="zh-CN"/>
          <w14:textFill>
            <w14:solidFill>
              <w14:schemeClr w14:val="tx1"/>
            </w14:solidFill>
          </w14:textFill>
        </w:rPr>
        <w:t>4</w:t>
      </w:r>
      <w:r>
        <w:rPr>
          <w:rFonts w:hint="default"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t>.2 供水</w:t>
      </w:r>
    </w:p>
    <w:p w14:paraId="75813265">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b w:val="0"/>
          <w:bCs/>
          <w:color w:val="000000" w:themeColor="text1"/>
          <w:kern w:val="2"/>
          <w:sz w:val="24"/>
          <w:szCs w:val="24"/>
          <w:highlight w:val="none"/>
          <w:vertAlign w:val="baseline"/>
          <w:lang w:val="en-US" w:eastAsia="zh-CN"/>
          <w14:textFill>
            <w14:solidFill>
              <w14:schemeClr w14:val="tx1"/>
            </w14:solidFill>
          </w14:textFill>
        </w:rPr>
        <w:t>施工期供水：</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施工临建场地设置1座</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100</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蓄水池，施工期用水利用水罐车由附近乡镇拉运，平均运距</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km。</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本项目</w:t>
      </w:r>
      <w:r>
        <w:rPr>
          <w:rFonts w:hint="default" w:ascii="Times New Roman" w:hAnsi="Times New Roman" w:eastAsia="宋体" w:cs="Times New Roman"/>
          <w:color w:val="000000" w:themeColor="text1"/>
          <w:sz w:val="24"/>
          <w:highlight w:val="none"/>
          <w14:textFill>
            <w14:solidFill>
              <w14:schemeClr w14:val="tx1"/>
            </w14:solidFill>
          </w14:textFill>
        </w:rPr>
        <w:t>每日平均施工人员约</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00</w:t>
      </w:r>
      <w:r>
        <w:rPr>
          <w:rFonts w:hint="default" w:ascii="Times New Roman" w:hAnsi="Times New Roman" w:eastAsia="宋体" w:cs="Times New Roman"/>
          <w:color w:val="000000" w:themeColor="text1"/>
          <w:sz w:val="24"/>
          <w:highlight w:val="none"/>
          <w14:textFill>
            <w14:solidFill>
              <w14:schemeClr w14:val="tx1"/>
            </w14:solidFill>
          </w14:textFill>
        </w:rPr>
        <w:t>人，根据建设单位提供资料，拟建项目施工期按</w:t>
      </w:r>
      <w:r>
        <w:rPr>
          <w:rFonts w:hint="eastAsia" w:eastAsia="宋体" w:cs="Times New Roman"/>
          <w:color w:val="000000" w:themeColor="text1"/>
          <w:sz w:val="24"/>
          <w:highlight w:val="none"/>
          <w:lang w:val="en-US" w:eastAsia="zh-CN"/>
          <w14:textFill>
            <w14:solidFill>
              <w14:schemeClr w14:val="tx1"/>
            </w14:solidFill>
          </w14:textFill>
        </w:rPr>
        <w:t>12</w:t>
      </w:r>
      <w:r>
        <w:rPr>
          <w:rFonts w:hint="default" w:ascii="Times New Roman" w:hAnsi="Times New Roman" w:eastAsia="宋体" w:cs="Times New Roman"/>
          <w:color w:val="000000" w:themeColor="text1"/>
          <w:sz w:val="24"/>
          <w:highlight w:val="none"/>
          <w14:textFill>
            <w14:solidFill>
              <w14:schemeClr w14:val="tx1"/>
            </w14:solidFill>
          </w14:textFill>
        </w:rPr>
        <w:t>个月计算，施工期施工人员生活用水按</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1m³</w:t>
      </w:r>
      <w:r>
        <w:rPr>
          <w:rFonts w:hint="default" w:ascii="Times New Roman" w:hAnsi="Times New Roman" w:eastAsia="宋体" w:cs="Times New Roman"/>
          <w:color w:val="000000" w:themeColor="text1"/>
          <w:sz w:val="24"/>
          <w:highlight w:val="none"/>
          <w14:textFill>
            <w14:solidFill>
              <w14:schemeClr w14:val="tx1"/>
            </w14:solidFill>
          </w14:textFill>
        </w:rPr>
        <w:t>/人·</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月</w:t>
      </w:r>
      <w:r>
        <w:rPr>
          <w:rFonts w:hint="default" w:ascii="Times New Roman" w:hAnsi="Times New Roman" w:eastAsia="宋体" w:cs="Times New Roman"/>
          <w:color w:val="000000" w:themeColor="text1"/>
          <w:sz w:val="24"/>
          <w:highlight w:val="none"/>
          <w14:textFill>
            <w14:solidFill>
              <w14:schemeClr w14:val="tx1"/>
            </w14:solidFill>
          </w14:textFill>
        </w:rPr>
        <w:t>计算，生活用水总量为</w:t>
      </w:r>
      <w:r>
        <w:rPr>
          <w:rFonts w:hint="eastAsia" w:eastAsia="宋体" w:cs="Times New Roman"/>
          <w:color w:val="000000" w:themeColor="text1"/>
          <w:sz w:val="24"/>
          <w:highlight w:val="none"/>
          <w:lang w:val="en-US" w:eastAsia="zh-CN"/>
          <w14:textFill>
            <w14:solidFill>
              <w14:schemeClr w14:val="tx1"/>
            </w14:solidFill>
          </w14:textFill>
        </w:rPr>
        <w:t>12</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00</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m³。</w:t>
      </w:r>
    </w:p>
    <w:p w14:paraId="57A3FEC6">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b w:val="0"/>
          <w:bCs/>
          <w:color w:val="000000" w:themeColor="text1"/>
          <w:kern w:val="2"/>
          <w:sz w:val="24"/>
          <w:szCs w:val="24"/>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val="0"/>
          <w:bCs/>
          <w:color w:val="000000" w:themeColor="text1"/>
          <w:kern w:val="2"/>
          <w:sz w:val="24"/>
          <w:szCs w:val="24"/>
          <w:highlight w:val="none"/>
          <w:vertAlign w:val="baseline"/>
          <w:lang w:val="en-US" w:eastAsia="zh-CN"/>
          <w14:textFill>
            <w14:solidFill>
              <w14:schemeClr w14:val="tx1"/>
            </w14:solidFill>
          </w14:textFill>
        </w:rPr>
        <w:t>运营期供水：</w:t>
      </w:r>
      <w:r>
        <w:rPr>
          <w:rFonts w:hint="eastAsia" w:ascii="Times New Roman" w:hAnsi="Times New Roman" w:cs="Times New Roman" w:eastAsiaTheme="minorEastAsia"/>
          <w:b w:val="0"/>
          <w:bCs/>
          <w:color w:val="000000" w:themeColor="text1"/>
          <w:kern w:val="2"/>
          <w:sz w:val="24"/>
          <w:szCs w:val="24"/>
          <w:highlight w:val="none"/>
          <w:vertAlign w:val="baseline"/>
          <w:lang w:val="en-US" w:eastAsia="zh-CN"/>
          <w14:textFill>
            <w14:solidFill>
              <w14:schemeClr w14:val="tx1"/>
            </w14:solidFill>
          </w14:textFill>
        </w:rPr>
        <w:t>运营期风电场内无需用水。</w:t>
      </w:r>
    </w:p>
    <w:p w14:paraId="44ABF185">
      <w:pPr>
        <w:keepNext w:val="0"/>
        <w:keepLines w:val="0"/>
        <w:pageBreakBefore w:val="0"/>
        <w:widowControl w:val="0"/>
        <w:numPr>
          <w:ilvl w:val="0"/>
          <w:numId w:val="0"/>
        </w:numPr>
        <w:tabs>
          <w:tab w:val="left" w:pos="1260"/>
        </w:tabs>
        <w:kinsoku/>
        <w:wordWrap/>
        <w:overflowPunct/>
        <w:topLinePunct w:val="0"/>
        <w:autoSpaceDE/>
        <w:autoSpaceDN/>
        <w:bidi w:val="0"/>
        <w:adjustRightInd/>
        <w:snapToGrid/>
        <w:spacing w:line="360" w:lineRule="auto"/>
        <w:ind w:left="0" w:leftChars="0"/>
        <w:textAlignment w:val="auto"/>
        <w:outlineLvl w:val="9"/>
        <w:rPr>
          <w:rFonts w:hint="default"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t>3.1.</w:t>
      </w:r>
      <w:r>
        <w:rPr>
          <w:rFonts w:hint="eastAsia" w:cs="Times New Roman" w:eastAsiaTheme="minorEastAsia"/>
          <w:b/>
          <w:bCs/>
          <w:snapToGrid w:val="0"/>
          <w:color w:val="000000" w:themeColor="text1"/>
          <w:sz w:val="24"/>
          <w:highlight w:val="none"/>
          <w:lang w:val="en-US" w:eastAsia="zh-CN"/>
          <w14:textFill>
            <w14:solidFill>
              <w14:schemeClr w14:val="tx1"/>
            </w14:solidFill>
          </w14:textFill>
        </w:rPr>
        <w:t>4</w:t>
      </w:r>
      <w:r>
        <w:rPr>
          <w:rFonts w:hint="default"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t>.3 排水</w:t>
      </w:r>
    </w:p>
    <w:p w14:paraId="6C44A618">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szCs w:val="24"/>
          <w:highlight w:val="none"/>
          <w:lang w:val="en-US" w:eastAsia="zh-CN"/>
          <w14:textFill>
            <w14:solidFill>
              <w14:schemeClr w14:val="tx1"/>
            </w14:solidFill>
          </w14:textFill>
        </w:rPr>
        <w:t>施工期排水：本项目施工期</w:t>
      </w:r>
      <w:r>
        <w:rPr>
          <w:rFonts w:hint="default" w:ascii="Times New Roman" w:hAnsi="Times New Roman" w:cs="Times New Roman" w:eastAsiaTheme="minorEastAsia"/>
          <w:color w:val="000000" w:themeColor="text1"/>
          <w:kern w:val="2"/>
          <w:sz w:val="24"/>
          <w:szCs w:val="24"/>
          <w:highlight w:val="none"/>
          <w:lang w:bidi="ar-SA"/>
          <w14:textFill>
            <w14:solidFill>
              <w14:schemeClr w14:val="tx1"/>
            </w14:solidFill>
          </w14:textFill>
        </w:rPr>
        <w:t>施工场地内不设置修理厂及混凝土拌合站</w:t>
      </w:r>
      <w:r>
        <w:rPr>
          <w:rFonts w:hint="default" w:ascii="Times New Roman" w:hAnsi="Times New Roman" w:cs="Times New Roman" w:eastAsiaTheme="minorEastAsia"/>
          <w:color w:val="000000" w:themeColor="text1"/>
          <w:kern w:val="2"/>
          <w:sz w:val="24"/>
          <w:szCs w:val="24"/>
          <w:highlight w:val="none"/>
          <w:lang w:eastAsia="zh-CN" w:bidi="ar-SA"/>
          <w14:textFill>
            <w14:solidFill>
              <w14:schemeClr w14:val="tx1"/>
            </w14:solidFill>
          </w14:textFill>
        </w:rPr>
        <w:t>，</w:t>
      </w:r>
      <w:r>
        <w:rPr>
          <w:rFonts w:hint="default" w:ascii="Times New Roman" w:hAnsi="Times New Roman" w:cs="Times New Roman" w:eastAsiaTheme="minorEastAsia"/>
          <w:color w:val="000000" w:themeColor="text1"/>
          <w:kern w:val="2"/>
          <w:sz w:val="24"/>
          <w:szCs w:val="24"/>
          <w:highlight w:val="none"/>
          <w:lang w:bidi="ar-SA"/>
          <w14:textFill>
            <w14:solidFill>
              <w14:schemeClr w14:val="tx1"/>
            </w14:solidFill>
          </w14:textFill>
        </w:rPr>
        <w:t>因此没有机修废水、砂石冲洗废水产生</w:t>
      </w:r>
      <w:r>
        <w:rPr>
          <w:rFonts w:hint="default" w:ascii="Times New Roman" w:hAnsi="Times New Roman" w:cs="Times New Roman" w:eastAsiaTheme="minorEastAsia"/>
          <w:color w:val="000000" w:themeColor="text1"/>
          <w:kern w:val="2"/>
          <w:sz w:val="24"/>
          <w:szCs w:val="24"/>
          <w:highlight w:val="none"/>
          <w:lang w:eastAsia="zh-CN" w:bidi="ar-SA"/>
          <w14:textFill>
            <w14:solidFill>
              <w14:schemeClr w14:val="tx1"/>
            </w14:solidFill>
          </w14:textFill>
        </w:rPr>
        <w:t>。</w:t>
      </w:r>
      <w:r>
        <w:rPr>
          <w:rFonts w:hint="default" w:ascii="Times New Roman" w:hAnsi="Times New Roman" w:eastAsia="宋体" w:cs="Times New Roman"/>
          <w:color w:val="000000" w:themeColor="text1"/>
          <w:spacing w:val="-1"/>
          <w:sz w:val="24"/>
          <w:szCs w:val="24"/>
          <w14:textFill>
            <w14:solidFill>
              <w14:schemeClr w14:val="tx1"/>
            </w14:solidFill>
          </w14:textFill>
        </w:rPr>
        <w:t>施工场地需设置车辆冲洗平</w:t>
      </w:r>
      <w:r>
        <w:rPr>
          <w:rFonts w:hint="default" w:ascii="Times New Roman" w:hAnsi="Times New Roman" w:eastAsia="宋体" w:cs="Times New Roman"/>
          <w:color w:val="000000" w:themeColor="text1"/>
          <w:spacing w:val="-2"/>
          <w:sz w:val="24"/>
          <w:szCs w:val="24"/>
          <w14:textFill>
            <w14:solidFill>
              <w14:schemeClr w14:val="tx1"/>
            </w14:solidFill>
          </w14:textFill>
        </w:rPr>
        <w:t>台，产生少量车辆冲洗废水，</w:t>
      </w:r>
      <w:r>
        <w:rPr>
          <w:rFonts w:hint="default" w:ascii="Times New Roman" w:hAnsi="Times New Roman" w:eastAsia="宋体" w:cs="Times New Roman"/>
          <w:color w:val="000000" w:themeColor="text1"/>
          <w:spacing w:val="-1"/>
          <w:sz w:val="24"/>
          <w:szCs w:val="24"/>
          <w14:textFill>
            <w14:solidFill>
              <w14:schemeClr w14:val="tx1"/>
            </w14:solidFill>
          </w14:textFill>
        </w:rPr>
        <w:t>车辆冲洗废水经沉淀池集中收集处理后，循环使用，不外</w:t>
      </w:r>
      <w:r>
        <w:rPr>
          <w:rFonts w:hint="default" w:ascii="Times New Roman" w:hAnsi="Times New Roman" w:eastAsia="宋体" w:cs="Times New Roman"/>
          <w:color w:val="000000" w:themeColor="text1"/>
          <w:spacing w:val="-2"/>
          <w:sz w:val="24"/>
          <w:szCs w:val="24"/>
          <w14:textFill>
            <w14:solidFill>
              <w14:schemeClr w14:val="tx1"/>
            </w14:solidFill>
          </w14:textFill>
        </w:rPr>
        <w:t>排。</w:t>
      </w:r>
      <w:r>
        <w:rPr>
          <w:rFonts w:hint="default" w:ascii="Times New Roman" w:hAnsi="Times New Roman" w:cs="Times New Roman" w:eastAsiaTheme="minorEastAsia"/>
          <w:color w:val="000000" w:themeColor="text1"/>
          <w:kern w:val="2"/>
          <w:sz w:val="24"/>
          <w:szCs w:val="24"/>
          <w:highlight w:val="none"/>
          <w:lang w:bidi="ar-SA"/>
          <w14:textFill>
            <w14:solidFill>
              <w14:schemeClr w14:val="tx1"/>
            </w14:solidFill>
          </w14:textFill>
        </w:rPr>
        <w:t>风机、箱变等基础采用混凝土直接浇筑的方式施工，浇筑后表面洒水润湿进行养护</w:t>
      </w:r>
      <w:r>
        <w:rPr>
          <w:rFonts w:hint="default" w:ascii="Times New Roman" w:hAnsi="Times New Roman" w:cs="Times New Roman" w:eastAsiaTheme="minorEastAsia"/>
          <w:color w:val="000000" w:themeColor="text1"/>
          <w:kern w:val="2"/>
          <w:sz w:val="24"/>
          <w:szCs w:val="24"/>
          <w:highlight w:val="none"/>
          <w:lang w:eastAsia="zh-CN" w:bidi="ar-SA"/>
          <w14:textFill>
            <w14:solidFill>
              <w14:schemeClr w14:val="tx1"/>
            </w14:solidFill>
          </w14:textFill>
        </w:rPr>
        <w:t>，</w:t>
      </w:r>
      <w:r>
        <w:rPr>
          <w:rFonts w:hint="default" w:ascii="Times New Roman" w:hAnsi="Times New Roman" w:cs="Times New Roman" w:eastAsiaTheme="minorEastAsia"/>
          <w:color w:val="000000" w:themeColor="text1"/>
          <w:kern w:val="2"/>
          <w:sz w:val="24"/>
          <w:szCs w:val="24"/>
          <w:highlight w:val="none"/>
          <w:lang w:val="en-US" w:eastAsia="zh-CN" w:bidi="ar-SA"/>
          <w14:textFill>
            <w14:solidFill>
              <w14:schemeClr w14:val="tx1"/>
            </w14:solidFill>
          </w14:textFill>
        </w:rPr>
        <w:t>浇筑前铺设防渗膜，</w:t>
      </w:r>
      <w:r>
        <w:rPr>
          <w:rFonts w:hint="default" w:ascii="Times New Roman" w:hAnsi="Times New Roman" w:cs="Times New Roman" w:eastAsiaTheme="minorEastAsia"/>
          <w:color w:val="000000" w:themeColor="text1"/>
          <w:kern w:val="2"/>
          <w:sz w:val="24"/>
          <w:szCs w:val="24"/>
          <w:highlight w:val="none"/>
          <w:lang w:bidi="ar-SA"/>
          <w14:textFill>
            <w14:solidFill>
              <w14:schemeClr w14:val="tx1"/>
            </w14:solidFill>
          </w14:textFill>
        </w:rPr>
        <w:t>养护方法为先用吸水材料覆盖混凝土，再在吸水材料上洒水，根据吸收和蒸发情况，适时补充。在养护过程中，大部分养护水被混凝土吸收或</w:t>
      </w:r>
      <w:r>
        <w:rPr>
          <w:rFonts w:hint="default" w:ascii="Times New Roman" w:hAnsi="Times New Roman" w:cs="Times New Roman" w:eastAsiaTheme="minorEastAsia"/>
          <w:color w:val="000000" w:themeColor="text1"/>
          <w:kern w:val="2"/>
          <w:sz w:val="24"/>
          <w:szCs w:val="24"/>
          <w:highlight w:val="none"/>
          <w:lang w:val="en-US" w:eastAsia="zh-CN" w:bidi="ar-SA"/>
          <w14:textFill>
            <w14:solidFill>
              <w14:schemeClr w14:val="tx1"/>
            </w14:solidFill>
          </w14:textFill>
        </w:rPr>
        <w:t>自然</w:t>
      </w:r>
      <w:r>
        <w:rPr>
          <w:rFonts w:hint="default" w:ascii="Times New Roman" w:hAnsi="Times New Roman" w:cs="Times New Roman" w:eastAsiaTheme="minorEastAsia"/>
          <w:color w:val="000000" w:themeColor="text1"/>
          <w:kern w:val="2"/>
          <w:sz w:val="24"/>
          <w:szCs w:val="24"/>
          <w:highlight w:val="none"/>
          <w:lang w:bidi="ar-SA"/>
          <w14:textFill>
            <w14:solidFill>
              <w14:schemeClr w14:val="tx1"/>
            </w14:solidFill>
          </w14:textFill>
        </w:rPr>
        <w:t>蒸发</w:t>
      </w:r>
      <w:r>
        <w:rPr>
          <w:rFonts w:hint="default" w:ascii="Times New Roman" w:hAnsi="Times New Roman" w:cs="Times New Roman" w:eastAsiaTheme="minorEastAsia"/>
          <w:color w:val="000000" w:themeColor="text1"/>
          <w:kern w:val="2"/>
          <w:sz w:val="24"/>
          <w:szCs w:val="24"/>
          <w:highlight w:val="none"/>
          <w:lang w:eastAsia="zh-CN" w:bidi="ar-SA"/>
          <w14:textFill>
            <w14:solidFill>
              <w14:schemeClr w14:val="tx1"/>
            </w14:solidFill>
          </w14:textFill>
        </w:rPr>
        <w:t>，</w:t>
      </w:r>
      <w:r>
        <w:rPr>
          <w:rFonts w:hint="default" w:ascii="Times New Roman" w:hAnsi="Times New Roman" w:cs="Times New Roman" w:eastAsiaTheme="minorEastAsia"/>
          <w:color w:val="000000" w:themeColor="text1"/>
          <w:kern w:val="2"/>
          <w:sz w:val="24"/>
          <w:szCs w:val="24"/>
          <w:highlight w:val="none"/>
          <w:lang w:val="en-US" w:eastAsia="zh-CN" w:bidi="ar-SA"/>
          <w14:textFill>
            <w14:solidFill>
              <w14:schemeClr w14:val="tx1"/>
            </w14:solidFill>
          </w14:textFill>
        </w:rPr>
        <w:t>不外排</w:t>
      </w:r>
      <w:r>
        <w:rPr>
          <w:rFonts w:hint="default" w:ascii="Times New Roman" w:hAnsi="Times New Roman" w:cs="Times New Roman" w:eastAsiaTheme="minorEastAsia"/>
          <w:color w:val="000000" w:themeColor="text1"/>
          <w:kern w:val="2"/>
          <w:sz w:val="24"/>
          <w:szCs w:val="24"/>
          <w:highlight w:val="none"/>
          <w:lang w:bidi="ar-SA"/>
          <w14:textFill>
            <w14:solidFill>
              <w14:schemeClr w14:val="tx1"/>
            </w14:solidFill>
          </w14:textFill>
        </w:rPr>
        <w:t>。</w:t>
      </w:r>
      <w:r>
        <w:rPr>
          <w:rFonts w:hint="default" w:ascii="Times New Roman" w:hAnsi="Times New Roman" w:cs="Times New Roman" w:eastAsiaTheme="minorEastAsia"/>
          <w:snapToGrid w:val="0"/>
          <w:color w:val="000000" w:themeColor="text1"/>
          <w:sz w:val="24"/>
          <w:szCs w:val="24"/>
          <w:highlight w:val="none"/>
          <w:lang w:val="en-US" w:eastAsia="zh-CN"/>
          <w14:textFill>
            <w14:solidFill>
              <w14:schemeClr w14:val="tx1"/>
            </w14:solidFill>
          </w14:textFill>
        </w:rPr>
        <w:t>施工营地内设置移动环保厕所和防渗污水收集池用于解决施工人员生活排污，定期委托环卫部门采用吸污车清运</w:t>
      </w:r>
      <w:r>
        <w:rPr>
          <w:rFonts w:hint="eastAsia" w:ascii="Times New Roman" w:hAnsi="Times New Roman" w:cs="Times New Roman" w:eastAsiaTheme="minorEastAsia"/>
          <w:snapToGrid w:val="0"/>
          <w:color w:val="000000" w:themeColor="text1"/>
          <w:sz w:val="24"/>
          <w:szCs w:val="24"/>
          <w:highlight w:val="none"/>
          <w:lang w:val="en-US" w:eastAsia="zh-CN"/>
          <w14:textFill>
            <w14:solidFill>
              <w14:schemeClr w14:val="tx1"/>
            </w14:solidFill>
          </w14:textFill>
        </w:rPr>
        <w:t>至污水处理厂处理</w:t>
      </w:r>
      <w:r>
        <w:rPr>
          <w:rFonts w:hint="default" w:ascii="Times New Roman" w:hAnsi="Times New Roman" w:cs="Times New Roman" w:eastAsiaTheme="minorEastAsia"/>
          <w:snapToGrid w:val="0"/>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本项目</w:t>
      </w:r>
      <w:r>
        <w:rPr>
          <w:rFonts w:hint="default" w:ascii="Times New Roman" w:hAnsi="Times New Roman" w:eastAsia="宋体" w:cs="Times New Roman"/>
          <w:color w:val="000000" w:themeColor="text1"/>
          <w:sz w:val="24"/>
          <w:szCs w:val="24"/>
          <w:highlight w:val="none"/>
          <w14:textFill>
            <w14:solidFill>
              <w14:schemeClr w14:val="tx1"/>
            </w14:solidFill>
          </w14:textFill>
        </w:rPr>
        <w:t>每日平均施工人员约</w:t>
      </w:r>
      <w:r>
        <w:rPr>
          <w:rFonts w:hint="eastAsia" w:eastAsia="宋体"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00</w:t>
      </w:r>
      <w:r>
        <w:rPr>
          <w:rFonts w:hint="default" w:ascii="Times New Roman" w:hAnsi="Times New Roman" w:eastAsia="宋体" w:cs="Times New Roman"/>
          <w:color w:val="000000" w:themeColor="text1"/>
          <w:sz w:val="24"/>
          <w:szCs w:val="24"/>
          <w:highlight w:val="none"/>
          <w14:textFill>
            <w14:solidFill>
              <w14:schemeClr w14:val="tx1"/>
            </w14:solidFill>
          </w14:textFill>
        </w:rPr>
        <w:t>人，根据建设单位提供资料，拟建项目施工期按</w:t>
      </w:r>
      <w:r>
        <w:rPr>
          <w:rFonts w:hint="eastAsia" w:cs="Times New Roman"/>
          <w:color w:val="000000" w:themeColor="text1"/>
          <w:sz w:val="24"/>
          <w:szCs w:val="24"/>
          <w:highlight w:val="none"/>
          <w:lang w:val="en-US" w:eastAsia="zh-CN"/>
          <w14:textFill>
            <w14:solidFill>
              <w14:schemeClr w14:val="tx1"/>
            </w14:solidFill>
          </w14:textFill>
        </w:rPr>
        <w:t>12</w:t>
      </w:r>
      <w:r>
        <w:rPr>
          <w:rFonts w:hint="default" w:ascii="Times New Roman" w:hAnsi="Times New Roman" w:eastAsia="宋体" w:cs="Times New Roman"/>
          <w:color w:val="000000" w:themeColor="text1"/>
          <w:sz w:val="24"/>
          <w:szCs w:val="24"/>
          <w:highlight w:val="none"/>
          <w14:textFill>
            <w14:solidFill>
              <w14:schemeClr w14:val="tx1"/>
            </w14:solidFill>
          </w14:textFill>
        </w:rPr>
        <w:t>个月计算，施工期施工人员生活用水按</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1m³</w:t>
      </w:r>
      <w:r>
        <w:rPr>
          <w:rFonts w:hint="default" w:ascii="Times New Roman" w:hAnsi="Times New Roman" w:eastAsia="宋体" w:cs="Times New Roman"/>
          <w:color w:val="000000" w:themeColor="text1"/>
          <w:sz w:val="24"/>
          <w:szCs w:val="24"/>
          <w:highlight w:val="none"/>
          <w14:textFill>
            <w14:solidFill>
              <w14:schemeClr w14:val="tx1"/>
            </w14:solidFill>
          </w14:textFill>
        </w:rPr>
        <w:t>/人·</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月</w:t>
      </w:r>
      <w:r>
        <w:rPr>
          <w:rFonts w:hint="default" w:ascii="Times New Roman" w:hAnsi="Times New Roman" w:eastAsia="宋体" w:cs="Times New Roman"/>
          <w:color w:val="000000" w:themeColor="text1"/>
          <w:sz w:val="24"/>
          <w:szCs w:val="24"/>
          <w:highlight w:val="none"/>
          <w14:textFill>
            <w14:solidFill>
              <w14:schemeClr w14:val="tx1"/>
            </w14:solidFill>
          </w14:textFill>
        </w:rPr>
        <w:t>计算，生活用水总量为</w:t>
      </w:r>
      <w:r>
        <w:rPr>
          <w:rFonts w:hint="eastAsia" w:cs="Times New Roman"/>
          <w:color w:val="000000" w:themeColor="text1"/>
          <w:sz w:val="24"/>
          <w:szCs w:val="24"/>
          <w:highlight w:val="none"/>
          <w:lang w:val="en-US" w:eastAsia="zh-CN"/>
          <w14:textFill>
            <w14:solidFill>
              <w14:schemeClr w14:val="tx1"/>
            </w14:solidFill>
          </w14:textFill>
        </w:rPr>
        <w:t>1200</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m³</w:t>
      </w:r>
      <w:r>
        <w:rPr>
          <w:rFonts w:hint="default" w:ascii="Times New Roman" w:hAnsi="Times New Roman" w:eastAsia="宋体" w:cs="Times New Roman"/>
          <w:color w:val="000000" w:themeColor="text1"/>
          <w:sz w:val="24"/>
          <w:szCs w:val="24"/>
          <w:highlight w:val="none"/>
          <w14:textFill>
            <w14:solidFill>
              <w14:schemeClr w14:val="tx1"/>
            </w14:solidFill>
          </w14:textFill>
        </w:rPr>
        <w:t>，生活污水排放系数按照0.8计算，则废水排放量约为</w:t>
      </w:r>
      <w:r>
        <w:rPr>
          <w:rFonts w:hint="eastAsia" w:cs="Times New Roman"/>
          <w:color w:val="000000" w:themeColor="text1"/>
          <w:sz w:val="24"/>
          <w:szCs w:val="24"/>
          <w:highlight w:val="none"/>
          <w:lang w:val="en-US" w:eastAsia="zh-CN"/>
          <w14:textFill>
            <w14:solidFill>
              <w14:schemeClr w14:val="tx1"/>
            </w14:solidFill>
          </w14:textFill>
        </w:rPr>
        <w:t>960</w:t>
      </w:r>
      <w:r>
        <w:rPr>
          <w:rFonts w:hint="default" w:ascii="Times New Roman" w:hAnsi="Times New Roman" w:eastAsia="宋体" w:cs="Times New Roman"/>
          <w:color w:val="000000" w:themeColor="text1"/>
          <w:sz w:val="24"/>
          <w:szCs w:val="24"/>
          <w:highlight w:val="none"/>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cs="Times New Roman" w:eastAsiaTheme="minorEastAsia"/>
          <w:snapToGrid w:val="0"/>
          <w:color w:val="000000" w:themeColor="text1"/>
          <w:sz w:val="24"/>
          <w:szCs w:val="24"/>
          <w:highlight w:val="none"/>
          <w:lang w:val="en-US" w:eastAsia="zh-CN"/>
          <w14:textFill>
            <w14:solidFill>
              <w14:schemeClr w14:val="tx1"/>
            </w14:solidFill>
          </w14:textFill>
        </w:rPr>
        <w:t>。</w:t>
      </w:r>
    </w:p>
    <w:p w14:paraId="6AD8CB40">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运营期排水：</w:t>
      </w:r>
      <w:r>
        <w:rPr>
          <w:rFonts w:hint="eastAsia" w:cs="Times New Roman" w:eastAsiaTheme="minorEastAsia"/>
          <w:snapToGrid w:val="0"/>
          <w:color w:val="000000" w:themeColor="text1"/>
          <w:sz w:val="24"/>
          <w:highlight w:val="none"/>
          <w:lang w:val="en-US" w:eastAsia="zh-CN"/>
          <w14:textFill>
            <w14:solidFill>
              <w14:schemeClr w14:val="tx1"/>
            </w14:solidFill>
          </w14:textFill>
        </w:rPr>
        <w:t>运营期风电场内无废水排放</w:t>
      </w:r>
      <w:r>
        <w:rPr>
          <w:rFonts w:hint="default" w:ascii="Times New Roman" w:hAnsi="Times New Roman" w:cs="Times New Roman"/>
          <w:color w:val="000000" w:themeColor="text1"/>
          <w:kern w:val="0"/>
          <w14:textFill>
            <w14:solidFill>
              <w14:schemeClr w14:val="tx1"/>
            </w14:solidFill>
          </w14:textFill>
        </w:rPr>
        <w:t>。</w:t>
      </w:r>
    </w:p>
    <w:p w14:paraId="73BFB4C4">
      <w:pPr>
        <w:pStyle w:val="11"/>
        <w:keepNext/>
        <w:keepLines/>
        <w:pageBreakBefore w:val="0"/>
        <w:widowControl w:val="0"/>
        <w:kinsoku/>
        <w:wordWrap/>
        <w:overflowPunct/>
        <w:topLinePunct w:val="0"/>
        <w:autoSpaceDE/>
        <w:autoSpaceDN/>
        <w:bidi w:val="0"/>
        <w:adjustRightInd/>
        <w:snapToGrid/>
        <w:textAlignment w:val="auto"/>
        <w:outlineLvl w:val="2"/>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bookmarkStart w:id="236" w:name="_Toc16763"/>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3.1.</w:t>
      </w:r>
      <w:r>
        <w:rPr>
          <w:rFonts w:hint="eastAsia" w:cs="Times New Roman" w:eastAsiaTheme="minorEastAsia"/>
          <w:color w:val="000000" w:themeColor="text1"/>
          <w:highlight w:val="none"/>
          <w:lang w:val="en-US" w:eastAsia="zh-CN"/>
          <w14:textFill>
            <w14:solidFill>
              <w14:schemeClr w14:val="tx1"/>
            </w14:solidFill>
          </w14:textFill>
        </w:rPr>
        <w:t>5</w:t>
      </w: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 xml:space="preserve"> 总平面布置</w:t>
      </w:r>
      <w:bookmarkEnd w:id="236"/>
    </w:p>
    <w:p w14:paraId="4950C415">
      <w:pPr>
        <w:keepNext w:val="0"/>
        <w:keepLines w:val="0"/>
        <w:pageBreakBefore w:val="0"/>
        <w:widowControl w:val="0"/>
        <w:numPr>
          <w:ilvl w:val="0"/>
          <w:numId w:val="0"/>
        </w:numPr>
        <w:tabs>
          <w:tab w:val="left" w:pos="1260"/>
        </w:tabs>
        <w:kinsoku/>
        <w:wordWrap/>
        <w:overflowPunct/>
        <w:topLinePunct w:val="0"/>
        <w:autoSpaceDE/>
        <w:autoSpaceDN/>
        <w:bidi w:val="0"/>
        <w:adjustRightInd/>
        <w:snapToGrid/>
        <w:spacing w:line="360" w:lineRule="auto"/>
        <w:textAlignment w:val="auto"/>
        <w:outlineLvl w:val="9"/>
        <w:rPr>
          <w:rFonts w:hint="default"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t>3.1.</w:t>
      </w:r>
      <w:r>
        <w:rPr>
          <w:rFonts w:hint="eastAsia" w:cs="Times New Roman" w:eastAsiaTheme="minorEastAsia"/>
          <w:b/>
          <w:bCs/>
          <w:snapToGrid w:val="0"/>
          <w:color w:val="000000" w:themeColor="text1"/>
          <w:sz w:val="24"/>
          <w:highlight w:val="none"/>
          <w:lang w:val="en-US" w:eastAsia="zh-CN"/>
          <w14:textFill>
            <w14:solidFill>
              <w14:schemeClr w14:val="tx1"/>
            </w14:solidFill>
          </w14:textFill>
        </w:rPr>
        <w:t>5</w:t>
      </w:r>
      <w:r>
        <w:rPr>
          <w:rFonts w:hint="default"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t>.1 风电场区总平面布置</w:t>
      </w:r>
    </w:p>
    <w:p w14:paraId="4D485A86">
      <w:pPr>
        <w:pStyle w:val="33"/>
        <w:keepNext w:val="0"/>
        <w:keepLines w:val="0"/>
        <w:pageBreakBefore w:val="0"/>
        <w:widowControl w:val="0"/>
        <w:kinsoku/>
        <w:wordWrap/>
        <w:overflowPunct/>
        <w:topLinePunct w:val="0"/>
        <w:autoSpaceDE/>
        <w:autoSpaceDN/>
        <w:bidi w:val="0"/>
        <w:adjustRightInd/>
        <w:snapToGrid/>
        <w:ind w:left="0" w:leftChars="0" w:firstLine="480" w:firstLineChars="200"/>
        <w:jc w:val="both"/>
        <w:textAlignment w:val="auto"/>
        <w:rPr>
          <w:rFonts w:hint="default" w:ascii="Times New Roman" w:hAnsi="Times New Roman" w:cs="Times New Roman" w:eastAsiaTheme="minorEastAsia"/>
          <w:snapToGrid w:val="0"/>
          <w:color w:val="FF0000"/>
          <w:sz w:val="24"/>
          <w:highlight w:val="none"/>
          <w:lang w:val="en-US" w:eastAsia="zh-CN"/>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本项目风电场区</w:t>
      </w:r>
      <w:r>
        <w:rPr>
          <w:rFonts w:hint="eastAsia" w:cs="Times New Roman" w:eastAsiaTheme="minorEastAsia"/>
          <w:color w:val="000000" w:themeColor="text1"/>
          <w:sz w:val="24"/>
          <w:highlight w:val="none"/>
          <w:lang w:val="en-US" w:eastAsia="zh-CN"/>
          <w14:textFill>
            <w14:solidFill>
              <w14:schemeClr w14:val="tx1"/>
            </w14:solidFill>
          </w14:textFill>
        </w:rPr>
        <w:t>内风机布置较分散</w:t>
      </w:r>
      <w: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t>，</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计划安装</w:t>
      </w:r>
      <w:r>
        <w:rPr>
          <w:rFonts w:hint="eastAsia" w:cs="Times New Roman" w:eastAsiaTheme="minorEastAsia"/>
          <w:snapToGrid w:val="0"/>
          <w:color w:val="000000" w:themeColor="text1"/>
          <w:sz w:val="24"/>
          <w:highlight w:val="none"/>
          <w:lang w:val="en-US" w:eastAsia="zh-CN"/>
          <w14:textFill>
            <w14:solidFill>
              <w14:schemeClr w14:val="tx1"/>
            </w14:solidFill>
          </w14:textFill>
        </w:rPr>
        <w:t>20</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台</w:t>
      </w:r>
      <w:r>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7.15</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MW风电机组，全部采用永磁风机</w:t>
      </w:r>
      <w:r>
        <w:rPr>
          <w:rFonts w:hint="default" w:ascii="Times New Roman" w:hAnsi="Times New Roman" w:cs="Times New Roman" w:eastAsiaTheme="minorEastAsia"/>
          <w:snapToGrid w:val="0"/>
          <w:color w:val="FF0000"/>
          <w:sz w:val="24"/>
          <w:highlight w:val="none"/>
          <w:lang w:val="en-US" w:eastAsia="zh-CN"/>
        </w:rPr>
        <w:t>，</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风机轮毂高度为12</w:t>
      </w:r>
      <w:r>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0</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m。每台风机配备一台35kV箱式变压器，共设</w:t>
      </w:r>
      <w:r>
        <w:rPr>
          <w:rFonts w:hint="eastAsia" w:cs="Times New Roman" w:eastAsiaTheme="minorEastAsia"/>
          <w:snapToGrid w:val="0"/>
          <w:color w:val="000000" w:themeColor="text1"/>
          <w:sz w:val="24"/>
          <w:highlight w:val="none"/>
          <w:lang w:val="en-US" w:eastAsia="zh-CN"/>
          <w14:textFill>
            <w14:solidFill>
              <w14:schemeClr w14:val="tx1"/>
            </w14:solidFill>
          </w14:textFill>
        </w:rPr>
        <w:t>20</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台；箱式变压器型号：</w:t>
      </w:r>
      <w:r>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S18-7900KVA</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，为干式变压器，因此不设储油坑。风电场配套建设35kV集电线路共</w:t>
      </w:r>
      <w:r>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6</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回。风电机组所发电能经箱式</w:t>
      </w:r>
      <w:r>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变压器</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升压后</w:t>
      </w:r>
      <w:r>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接</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35kV集电线路，集电线路采用汇流干线的接线方式，将电能汇集至升压站，最后经主变压器再次升压后送入电网。风电场建设检修道路，路面宽4.5m，碎石道路，场内道路长度</w:t>
      </w:r>
      <w:r>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30700</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m，满足日常巡查和检修的要求。</w:t>
      </w:r>
    </w:p>
    <w:p w14:paraId="4AE174A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default" w:ascii="Times New Roman" w:hAnsi="Times New Roman" w:cs="Times New Roman" w:eastAsiaTheme="minorEastAsia"/>
          <w:color w:val="000000" w:themeColor="text1"/>
          <w:sz w:val="24"/>
          <w:szCs w:val="24"/>
          <w:highlight w:val="none"/>
          <w14:textFill>
            <w14:solidFill>
              <w14:schemeClr w14:val="tx1"/>
            </w14:solidFill>
          </w14:textFill>
        </w:rPr>
        <w:sectPr>
          <w:pgSz w:w="11906" w:h="16838"/>
          <w:pgMar w:top="1417" w:right="1418" w:bottom="1417" w:left="1418" w:header="1134" w:footer="992" w:gutter="0"/>
          <w:pgBorders>
            <w:top w:val="none" w:sz="0" w:space="0"/>
            <w:left w:val="none" w:sz="0" w:space="0"/>
            <w:bottom w:val="none" w:sz="0" w:space="0"/>
            <w:right w:val="none" w:sz="0" w:space="0"/>
          </w:pgBorders>
          <w:pgNumType w:fmt="decimal"/>
          <w:cols w:space="720" w:num="1"/>
          <w:rtlGutter w:val="0"/>
          <w:docGrid w:type="lines" w:linePitch="312" w:charSpace="0"/>
        </w:sectPr>
      </w:pPr>
      <w:r>
        <w:rPr>
          <w:rFonts w:hint="eastAsia" w:cs="Times New Roman" w:eastAsiaTheme="minorEastAsia"/>
          <w:color w:val="000000" w:themeColor="text1"/>
          <w:sz w:val="24"/>
          <w:highlight w:val="none"/>
          <w:lang w:val="en-US" w:eastAsia="zh-CN"/>
          <w14:textFill>
            <w14:solidFill>
              <w14:schemeClr w14:val="tx1"/>
            </w14:solidFill>
          </w14:textFill>
        </w:rPr>
        <w:t>平面布置图见图3.1-3</w:t>
      </w: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w:t>
      </w:r>
    </w:p>
    <w:p w14:paraId="43C20C7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p>
    <w:p w14:paraId="54BF79CA">
      <w:pPr>
        <w:keepNext w:val="0"/>
        <w:keepLines w:val="0"/>
        <w:pageBreakBefore w:val="0"/>
        <w:widowControl/>
        <w:suppressLineNumbers w:val="0"/>
        <w:kinsoku/>
        <w:wordWrap w:val="0"/>
        <w:overflowPunct/>
        <w:topLinePunct w:val="0"/>
        <w:autoSpaceDE/>
        <w:autoSpaceDN/>
        <w:bidi w:val="0"/>
        <w:adjustRightInd/>
        <w:snapToGrid/>
        <w:spacing w:line="360" w:lineRule="auto"/>
        <w:ind w:left="0" w:leftChars="0" w:firstLine="0" w:firstLineChars="0"/>
        <w:jc w:val="left"/>
        <w:textAlignment w:val="auto"/>
        <w:rPr>
          <w:rFonts w:hint="default" w:ascii="Times New Roman" w:hAnsi="Times New Roman" w:cs="Times New Roman" w:eastAsiaTheme="minorEastAsia"/>
          <w:b/>
          <w:bCs/>
          <w:color w:val="FF0000"/>
          <w:kern w:val="2"/>
          <w:sz w:val="21"/>
          <w:szCs w:val="21"/>
          <w:highlight w:val="none"/>
          <w:lang w:eastAsia="zh-CN"/>
        </w:rPr>
      </w:pPr>
      <w:r>
        <w:rPr>
          <w:rFonts w:hint="default" w:ascii="Times New Roman" w:hAnsi="Times New Roman" w:cs="Times New Roman" w:eastAsiaTheme="minorEastAsia"/>
          <w:b/>
          <w:bCs/>
          <w:color w:val="FF0000"/>
          <w:kern w:val="2"/>
          <w:sz w:val="21"/>
          <w:szCs w:val="21"/>
          <w:highlight w:val="none"/>
          <w:lang w:eastAsia="zh-CN"/>
        </w:rPr>
        <w:drawing>
          <wp:anchor distT="0" distB="0" distL="114300" distR="114300" simplePos="0" relativeHeight="251666432" behindDoc="0" locked="0" layoutInCell="1" allowOverlap="1">
            <wp:simplePos x="0" y="0"/>
            <wp:positionH relativeFrom="column">
              <wp:posOffset>549275</wp:posOffset>
            </wp:positionH>
            <wp:positionV relativeFrom="paragraph">
              <wp:posOffset>699770</wp:posOffset>
            </wp:positionV>
            <wp:extent cx="365125" cy="105410"/>
            <wp:effectExtent l="0" t="0" r="635" b="1270"/>
            <wp:wrapNone/>
            <wp:docPr id="86" name="图片 86" descr="1726721123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1726721123493"/>
                    <pic:cNvPicPr>
                      <a:picLocks noChangeAspect="1"/>
                    </pic:cNvPicPr>
                  </pic:nvPicPr>
                  <pic:blipFill>
                    <a:blip r:embed="rId28"/>
                    <a:stretch>
                      <a:fillRect/>
                    </a:stretch>
                  </pic:blipFill>
                  <pic:spPr>
                    <a:xfrm>
                      <a:off x="0" y="0"/>
                      <a:ext cx="365125" cy="105410"/>
                    </a:xfrm>
                    <a:prstGeom prst="rect">
                      <a:avLst/>
                    </a:prstGeom>
                  </pic:spPr>
                </pic:pic>
              </a:graphicData>
            </a:graphic>
          </wp:anchor>
        </w:drawing>
      </w:r>
      <w:r>
        <w:rPr>
          <w:rFonts w:hint="default" w:ascii="Times New Roman" w:hAnsi="Times New Roman" w:cs="Times New Roman" w:eastAsiaTheme="minorEastAsia"/>
          <w:b/>
          <w:bCs/>
          <w:color w:val="FF0000"/>
          <w:kern w:val="2"/>
          <w:sz w:val="21"/>
          <w:szCs w:val="21"/>
          <w:highlight w:val="none"/>
          <w:lang w:eastAsia="zh-CN"/>
        </w:rPr>
        <w:drawing>
          <wp:inline distT="0" distB="0" distL="114300" distR="114300">
            <wp:extent cx="8768715" cy="12400915"/>
            <wp:effectExtent l="0" t="0" r="9525" b="4445"/>
            <wp:docPr id="286" name="图片 286" descr="页面提取自－沙区土建附图0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286" descr="页面提取自－沙区土建附图0626"/>
                    <pic:cNvPicPr>
                      <a:picLocks noChangeAspect="1"/>
                    </pic:cNvPicPr>
                  </pic:nvPicPr>
                  <pic:blipFill>
                    <a:blip r:embed="rId29"/>
                    <a:stretch>
                      <a:fillRect/>
                    </a:stretch>
                  </pic:blipFill>
                  <pic:spPr>
                    <a:xfrm>
                      <a:off x="0" y="0"/>
                      <a:ext cx="8768715" cy="12400915"/>
                    </a:xfrm>
                    <a:prstGeom prst="rect">
                      <a:avLst/>
                    </a:prstGeom>
                  </pic:spPr>
                </pic:pic>
              </a:graphicData>
            </a:graphic>
          </wp:inline>
        </w:drawing>
      </w:r>
    </w:p>
    <w:p w14:paraId="42E42A22">
      <w:pPr>
        <w:pStyle w:val="19"/>
        <w:ind w:left="0" w:leftChars="0" w:firstLine="0" w:firstLineChars="0"/>
        <w:jc w:val="cente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14:textFill>
            <w14:solidFill>
              <w14:schemeClr w14:val="tx1"/>
            </w14:solidFill>
          </w14:textFill>
        </w:rPr>
        <w:t>图</w:t>
      </w:r>
      <w:r>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t>3</w:t>
      </w:r>
      <w:r>
        <w:rPr>
          <w:rFonts w:hint="default" w:ascii="Times New Roman" w:hAnsi="Times New Roman" w:cs="Times New Roman" w:eastAsiaTheme="minorEastAsia"/>
          <w:b/>
          <w:bCs/>
          <w:color w:val="000000" w:themeColor="text1"/>
          <w:sz w:val="21"/>
          <w:szCs w:val="21"/>
          <w:highlight w:val="none"/>
          <w14:textFill>
            <w14:solidFill>
              <w14:schemeClr w14:val="tx1"/>
            </w14:solidFill>
          </w14:textFill>
        </w:rPr>
        <w:t>.</w:t>
      </w:r>
      <w:r>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t>1</w:t>
      </w:r>
      <w:r>
        <w:rPr>
          <w:rFonts w:hint="default" w:ascii="Times New Roman" w:hAnsi="Times New Roman" w:cs="Times New Roman" w:eastAsiaTheme="minorEastAsia"/>
          <w:b/>
          <w:bCs/>
          <w:color w:val="000000" w:themeColor="text1"/>
          <w:sz w:val="21"/>
          <w:szCs w:val="21"/>
          <w:highlight w:val="none"/>
          <w14:textFill>
            <w14:solidFill>
              <w14:schemeClr w14:val="tx1"/>
            </w14:solidFill>
          </w14:textFill>
        </w:rPr>
        <w:t>-</w:t>
      </w:r>
      <w:r>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t>3</w:t>
      </w:r>
      <w:r>
        <w:rPr>
          <w:rFonts w:hint="default" w:ascii="Times New Roman" w:hAnsi="Times New Roman" w:cs="Times New Roman" w:eastAsiaTheme="minorEastAsia"/>
          <w:b/>
          <w:bCs/>
          <w:color w:val="000000" w:themeColor="text1"/>
          <w:sz w:val="21"/>
          <w:szCs w:val="21"/>
          <w:highlight w:val="none"/>
          <w14:textFill>
            <w14:solidFill>
              <w14:schemeClr w14:val="tx1"/>
            </w14:solidFill>
          </w14:textFill>
        </w:rPr>
        <w:t xml:space="preserve">  </w:t>
      </w:r>
      <w:r>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t>风电场区平面布置</w:t>
      </w:r>
      <w:r>
        <w:rPr>
          <w:rFonts w:hint="default" w:ascii="Times New Roman" w:hAnsi="Times New Roman" w:cs="Times New Roman" w:eastAsiaTheme="minorEastAsia"/>
          <w:b/>
          <w:bCs/>
          <w:color w:val="000000" w:themeColor="text1"/>
          <w:sz w:val="21"/>
          <w:szCs w:val="21"/>
          <w:highlight w:val="none"/>
          <w14:textFill>
            <w14:solidFill>
              <w14:schemeClr w14:val="tx1"/>
            </w14:solidFill>
          </w14:textFill>
        </w:rPr>
        <w:t>图</w:t>
      </w:r>
    </w:p>
    <w:p w14:paraId="5370F385">
      <w:pPr>
        <w:ind w:left="0" w:leftChars="0" w:firstLine="0" w:firstLineChars="0"/>
        <w:jc w:val="both"/>
        <w:rPr>
          <w:rFonts w:hint="default" w:ascii="Times New Roman" w:hAnsi="Times New Roman" w:cs="Times New Roman" w:eastAsiaTheme="minorEastAsia"/>
          <w:color w:val="FF0000"/>
          <w:highlight w:val="none"/>
          <w:lang w:val="en-US" w:eastAsia="zh-CN"/>
        </w:rPr>
        <w:sectPr>
          <w:pgSz w:w="16838" w:h="23811"/>
          <w:pgMar w:top="1417" w:right="1418" w:bottom="1417" w:left="1418" w:header="1134" w:footer="992" w:gutter="0"/>
          <w:pgBorders>
            <w:top w:val="none" w:sz="0" w:space="0"/>
            <w:left w:val="none" w:sz="0" w:space="0"/>
            <w:bottom w:val="none" w:sz="0" w:space="0"/>
            <w:right w:val="none" w:sz="0" w:space="0"/>
          </w:pgBorders>
          <w:pgNumType w:fmt="decimal"/>
          <w:cols w:space="720" w:num="1"/>
          <w:rtlGutter w:val="0"/>
          <w:docGrid w:type="lines" w:linePitch="312" w:charSpace="0"/>
        </w:sectPr>
      </w:pPr>
      <w:bookmarkStart w:id="237" w:name="_Toc29193"/>
    </w:p>
    <w:bookmarkEnd w:id="230"/>
    <w:bookmarkEnd w:id="231"/>
    <w:bookmarkEnd w:id="232"/>
    <w:bookmarkEnd w:id="233"/>
    <w:bookmarkEnd w:id="234"/>
    <w:bookmarkEnd w:id="237"/>
    <w:p w14:paraId="0D229729">
      <w:pPr>
        <w:pStyle w:val="11"/>
        <w:keepNext/>
        <w:keepLines/>
        <w:pageBreakBefore w:val="0"/>
        <w:widowControl w:val="0"/>
        <w:kinsoku/>
        <w:wordWrap/>
        <w:overflowPunct/>
        <w:topLinePunct w:val="0"/>
        <w:autoSpaceDE/>
        <w:autoSpaceDN/>
        <w:bidi w:val="0"/>
        <w:adjustRightInd/>
        <w:snapToGrid/>
        <w:ind w:left="0"/>
        <w:textAlignment w:val="auto"/>
        <w:outlineLvl w:val="2"/>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bookmarkStart w:id="238" w:name="_Toc340737506"/>
      <w:bookmarkStart w:id="239" w:name="_Toc391021146"/>
      <w:bookmarkStart w:id="240" w:name="_Toc313005902"/>
      <w:bookmarkStart w:id="241" w:name="_Toc391021344"/>
      <w:bookmarkStart w:id="242" w:name="_Toc391020921"/>
      <w:bookmarkStart w:id="243" w:name="_Toc17375"/>
      <w:bookmarkStart w:id="244" w:name="_Toc25409"/>
      <w:bookmarkStart w:id="245" w:name="_Toc16293"/>
      <w:bookmarkStart w:id="246" w:name="_Toc156707819"/>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3.1.</w:t>
      </w:r>
      <w:r>
        <w:rPr>
          <w:rFonts w:hint="eastAsia" w:cs="Times New Roman" w:eastAsiaTheme="minorEastAsia"/>
          <w:color w:val="000000" w:themeColor="text1"/>
          <w:highlight w:val="none"/>
          <w:lang w:val="en-US" w:eastAsia="zh-CN"/>
          <w14:textFill>
            <w14:solidFill>
              <w14:schemeClr w14:val="tx1"/>
            </w14:solidFill>
          </w14:textFill>
        </w:rPr>
        <w:t>6</w:t>
      </w: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 xml:space="preserve"> 工程占地</w:t>
      </w:r>
      <w:bookmarkEnd w:id="238"/>
      <w:bookmarkEnd w:id="239"/>
      <w:bookmarkEnd w:id="240"/>
      <w:bookmarkEnd w:id="241"/>
      <w:bookmarkEnd w:id="242"/>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及土石方</w:t>
      </w:r>
      <w:bookmarkEnd w:id="243"/>
      <w:bookmarkEnd w:id="244"/>
      <w:bookmarkEnd w:id="245"/>
    </w:p>
    <w:p w14:paraId="4E45ABD1">
      <w:pPr>
        <w:keepNext w:val="0"/>
        <w:keepLines w:val="0"/>
        <w:pageBreakBefore w:val="0"/>
        <w:widowControl w:val="0"/>
        <w:numPr>
          <w:ilvl w:val="0"/>
          <w:numId w:val="0"/>
        </w:numPr>
        <w:tabs>
          <w:tab w:val="left" w:pos="1260"/>
        </w:tabs>
        <w:kinsoku/>
        <w:wordWrap/>
        <w:overflowPunct/>
        <w:topLinePunct w:val="0"/>
        <w:autoSpaceDE/>
        <w:autoSpaceDN/>
        <w:bidi w:val="0"/>
        <w:adjustRightInd/>
        <w:snapToGrid/>
        <w:spacing w:line="360" w:lineRule="auto"/>
        <w:ind w:left="0" w:leftChars="0"/>
        <w:textAlignment w:val="auto"/>
        <w:outlineLvl w:val="9"/>
        <w:rPr>
          <w:rFonts w:hint="default"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t>3.1.</w:t>
      </w:r>
      <w:r>
        <w:rPr>
          <w:rFonts w:hint="eastAsia" w:cs="Times New Roman" w:eastAsiaTheme="minorEastAsia"/>
          <w:b/>
          <w:bCs/>
          <w:snapToGrid w:val="0"/>
          <w:color w:val="000000" w:themeColor="text1"/>
          <w:sz w:val="24"/>
          <w:highlight w:val="none"/>
          <w:lang w:val="en-US" w:eastAsia="zh-CN"/>
          <w14:textFill>
            <w14:solidFill>
              <w14:schemeClr w14:val="tx1"/>
            </w14:solidFill>
          </w14:textFill>
        </w:rPr>
        <w:t>6</w:t>
      </w:r>
      <w:r>
        <w:rPr>
          <w:rFonts w:hint="default"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t>.1 工程占地</w:t>
      </w:r>
    </w:p>
    <w:p w14:paraId="1C3BAD95">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cs="Times New Roman" w:eastAsiaTheme="minorEastAsia"/>
          <w:b/>
          <w:bCs/>
          <w:color w:val="000000" w:themeColor="text1"/>
          <w:kern w:val="2"/>
          <w:sz w:val="24"/>
          <w:szCs w:val="20"/>
          <w:highlight w:val="none"/>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0"/>
          <w:highlight w:val="none"/>
          <w:lang w:val="en-US" w:eastAsia="zh-CN" w:bidi="ar-SA"/>
          <w14:textFill>
            <w14:solidFill>
              <w14:schemeClr w14:val="tx1"/>
            </w14:solidFill>
          </w14:textFill>
        </w:rPr>
        <w:t>（1）工程占地</w:t>
      </w:r>
    </w:p>
    <w:p w14:paraId="1F0AC5A3">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cs="Times New Roman" w:eastAsiaTheme="minorEastAsia"/>
          <w:color w:val="000000" w:themeColor="text1"/>
          <w:spacing w:val="0"/>
          <w:kern w:val="0"/>
          <w:sz w:val="24"/>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4"/>
          <w:szCs w:val="24"/>
          <w14:textFill>
            <w14:solidFill>
              <w14:schemeClr w14:val="tx1"/>
            </w14:solidFill>
          </w14:textFill>
        </w:rPr>
        <w:t>本项目总占地面积</w:t>
      </w:r>
      <w:r>
        <w:rPr>
          <w:rFonts w:hint="eastAsia" w:eastAsia="宋体" w:cs="Times New Roman"/>
          <w:color w:val="000000" w:themeColor="text1"/>
          <w:spacing w:val="0"/>
          <w:sz w:val="24"/>
          <w:szCs w:val="24"/>
          <w:lang w:val="en-US" w:eastAsia="zh-CN"/>
          <w14:textFill>
            <w14:solidFill>
              <w14:schemeClr w14:val="tx1"/>
            </w14:solidFill>
          </w14:textFill>
        </w:rPr>
        <w:t>333855m</w:t>
      </w:r>
      <w:r>
        <w:rPr>
          <w:rFonts w:hint="eastAsia" w:eastAsia="宋体" w:cs="Times New Roman"/>
          <w:color w:val="000000" w:themeColor="text1"/>
          <w:spacing w:val="0"/>
          <w:sz w:val="24"/>
          <w:szCs w:val="24"/>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pacing w:val="0"/>
          <w:sz w:val="24"/>
          <w:szCs w:val="24"/>
          <w14:textFill>
            <w14:solidFill>
              <w14:schemeClr w14:val="tx1"/>
            </w14:solidFill>
          </w14:textFill>
        </w:rPr>
        <w:t xml:space="preserve">，永久占地总占地面积约 </w:t>
      </w:r>
      <w:r>
        <w:rPr>
          <w:rFonts w:hint="eastAsia" w:eastAsia="宋体" w:cs="Times New Roman"/>
          <w:color w:val="000000" w:themeColor="text1"/>
          <w:spacing w:val="0"/>
          <w:sz w:val="24"/>
          <w:szCs w:val="24"/>
          <w:lang w:val="en-US" w:eastAsia="zh-CN"/>
          <w14:textFill>
            <w14:solidFill>
              <w14:schemeClr w14:val="tx1"/>
            </w14:solidFill>
          </w14:textFill>
        </w:rPr>
        <w:t>150955</w:t>
      </w:r>
      <w:r>
        <w:rPr>
          <w:rFonts w:hint="default" w:ascii="Times New Roman" w:hAnsi="Times New Roman" w:eastAsia="宋体" w:cs="Times New Roman"/>
          <w:color w:val="000000" w:themeColor="text1"/>
          <w:spacing w:val="0"/>
          <w:sz w:val="24"/>
          <w:szCs w:val="24"/>
          <w14:textFill>
            <w14:solidFill>
              <w14:schemeClr w14:val="tx1"/>
            </w14:solidFill>
          </w14:textFill>
        </w:rPr>
        <w:t>m</w:t>
      </w:r>
      <w:r>
        <w:rPr>
          <w:rFonts w:hint="default" w:ascii="Times New Roman" w:hAnsi="Times New Roman" w:eastAsia="宋体" w:cs="Times New Roman"/>
          <w:color w:val="000000" w:themeColor="text1"/>
          <w:spacing w:val="0"/>
          <w:position w:val="8"/>
          <w:sz w:val="15"/>
          <w:szCs w:val="15"/>
          <w14:textFill>
            <w14:solidFill>
              <w14:schemeClr w14:val="tx1"/>
            </w14:solidFill>
          </w14:textFill>
        </w:rPr>
        <w:t>2</w:t>
      </w:r>
      <w:r>
        <w:rPr>
          <w:rFonts w:hint="default" w:ascii="Times New Roman" w:hAnsi="Times New Roman" w:eastAsia="宋体" w:cs="Times New Roman"/>
          <w:color w:val="000000" w:themeColor="text1"/>
          <w:spacing w:val="0"/>
          <w:sz w:val="24"/>
          <w:szCs w:val="24"/>
          <w14:textFill>
            <w14:solidFill>
              <w14:schemeClr w14:val="tx1"/>
            </w14:solidFill>
          </w14:textFill>
        </w:rPr>
        <w:t>，临时占地面积约</w:t>
      </w:r>
      <w:r>
        <w:rPr>
          <w:rFonts w:hint="eastAsia" w:eastAsia="宋体" w:cs="Times New Roman"/>
          <w:color w:val="000000" w:themeColor="text1"/>
          <w:spacing w:val="0"/>
          <w:sz w:val="24"/>
          <w:szCs w:val="24"/>
          <w:lang w:val="en-US" w:eastAsia="zh-CN"/>
          <w14:textFill>
            <w14:solidFill>
              <w14:schemeClr w14:val="tx1"/>
            </w14:solidFill>
          </w14:textFill>
        </w:rPr>
        <w:t>182900m</w:t>
      </w:r>
      <w:r>
        <w:rPr>
          <w:rFonts w:hint="eastAsia" w:eastAsia="宋体" w:cs="Times New Roman"/>
          <w:color w:val="000000" w:themeColor="text1"/>
          <w:spacing w:val="0"/>
          <w:sz w:val="24"/>
          <w:szCs w:val="24"/>
          <w:vertAlign w:val="superscript"/>
          <w:lang w:val="en-US" w:eastAsia="zh-CN"/>
          <w14:textFill>
            <w14:solidFill>
              <w14:schemeClr w14:val="tx1"/>
            </w14:solidFill>
          </w14:textFill>
        </w:rPr>
        <w:t>2</w:t>
      </w:r>
      <w:r>
        <w:rPr>
          <w:rFonts w:hint="eastAsia" w:eastAsia="宋体" w:cs="Times New Roman"/>
          <w:color w:val="000000" w:themeColor="text1"/>
          <w:spacing w:val="0"/>
          <w:sz w:val="24"/>
          <w:szCs w:val="24"/>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pacing w:val="0"/>
          <w:sz w:val="24"/>
          <w:szCs w:val="24"/>
          <w14:textFill>
            <w14:solidFill>
              <w14:schemeClr w14:val="tx1"/>
            </w14:solidFill>
          </w14:textFill>
        </w:rPr>
        <w:t>本项目永久占地和临时占地类型为</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天然牧草地</w:t>
      </w:r>
      <w:r>
        <w:rPr>
          <w:rFonts w:hint="eastAsia" w:cs="Times New Roman" w:eastAsiaTheme="minorEastAsia"/>
          <w:color w:val="000000" w:themeColor="text1"/>
          <w:sz w:val="24"/>
          <w:highlight w:val="none"/>
          <w:lang w:val="en-US" w:eastAsia="zh-CN"/>
          <w14:textFill>
            <w14:solidFill>
              <w14:schemeClr w14:val="tx1"/>
            </w14:solidFill>
          </w14:textFill>
        </w:rPr>
        <w:t>、其他草地、水浇地、其他林地、采矿用地</w:t>
      </w:r>
      <w:r>
        <w:rPr>
          <w:rFonts w:hint="default" w:ascii="Times New Roman" w:hAnsi="Times New Roman" w:eastAsia="宋体" w:cs="Times New Roman"/>
          <w:color w:val="000000" w:themeColor="text1"/>
          <w:spacing w:val="0"/>
          <w:sz w:val="24"/>
          <w:szCs w:val="24"/>
          <w14:textFill>
            <w14:solidFill>
              <w14:schemeClr w14:val="tx1"/>
            </w14:solidFill>
          </w14:textFill>
        </w:rPr>
        <w:t>。</w:t>
      </w:r>
      <w:r>
        <w:rPr>
          <w:rFonts w:hint="default" w:ascii="Times New Roman" w:hAnsi="Times New Roman" w:cs="Times New Roman" w:eastAsiaTheme="minorEastAsia"/>
          <w:color w:val="000000" w:themeColor="text1"/>
          <w:spacing w:val="0"/>
          <w:kern w:val="0"/>
          <w:sz w:val="24"/>
          <w:szCs w:val="20"/>
          <w:highlight w:val="none"/>
          <w:lang w:val="en-US" w:eastAsia="zh-CN" w:bidi="ar-SA"/>
          <w14:textFill>
            <w14:solidFill>
              <w14:schemeClr w14:val="tx1"/>
            </w14:solidFill>
          </w14:textFill>
        </w:rPr>
        <w:t>本项目占地情况见表3.1-</w:t>
      </w:r>
      <w:r>
        <w:rPr>
          <w:rFonts w:hint="eastAsia" w:cs="Times New Roman" w:eastAsiaTheme="minorEastAsia"/>
          <w:color w:val="000000" w:themeColor="text1"/>
          <w:spacing w:val="0"/>
          <w:kern w:val="0"/>
          <w:sz w:val="24"/>
          <w:szCs w:val="20"/>
          <w:highlight w:val="none"/>
          <w:lang w:val="en-US" w:eastAsia="zh-CN" w:bidi="ar-SA"/>
          <w14:textFill>
            <w14:solidFill>
              <w14:schemeClr w14:val="tx1"/>
            </w14:solidFill>
          </w14:textFill>
        </w:rPr>
        <w:t>4</w:t>
      </w:r>
      <w:r>
        <w:rPr>
          <w:rFonts w:hint="default" w:ascii="Times New Roman" w:hAnsi="Times New Roman" w:cs="Times New Roman" w:eastAsiaTheme="minorEastAsia"/>
          <w:color w:val="000000" w:themeColor="text1"/>
          <w:spacing w:val="0"/>
          <w:kern w:val="0"/>
          <w:sz w:val="24"/>
          <w:szCs w:val="20"/>
          <w:highlight w:val="none"/>
          <w:lang w:val="en-US" w:eastAsia="zh-CN" w:bidi="ar-SA"/>
          <w14:textFill>
            <w14:solidFill>
              <w14:schemeClr w14:val="tx1"/>
            </w14:solidFill>
          </w14:textFill>
        </w:rPr>
        <w:t>。</w:t>
      </w:r>
    </w:p>
    <w:p w14:paraId="0D5E5CC6">
      <w:pPr>
        <w:keepNext w:val="0"/>
        <w:keepLines w:val="0"/>
        <w:pageBreakBefore w:val="0"/>
        <w:widowControl w:val="0"/>
        <w:kinsoku/>
        <w:wordWrap/>
        <w:overflowPunct/>
        <w:topLinePunct w:val="0"/>
        <w:autoSpaceDE/>
        <w:autoSpaceDN/>
        <w:bidi w:val="0"/>
        <w:adjustRightInd/>
        <w:snapToGrid/>
        <w:spacing w:line="240" w:lineRule="auto"/>
        <w:ind w:left="480" w:firstLine="480" w:firstLineChars="200"/>
        <w:textAlignment w:val="auto"/>
        <w:rPr>
          <w:rFonts w:hint="default" w:ascii="Times New Roman" w:hAnsi="Times New Roman" w:cs="Times New Roman" w:eastAsiaTheme="minorEastAsia"/>
          <w:b/>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b/>
          <w:color w:val="000000" w:themeColor="text1"/>
          <w:kern w:val="0"/>
          <w:sz w:val="24"/>
          <w:highlight w:val="none"/>
          <w:lang w:val="en-US" w:eastAsia="zh-CN"/>
          <w14:textFill>
            <w14:solidFill>
              <w14:schemeClr w14:val="tx1"/>
            </w14:solidFill>
          </w14:textFill>
        </w:rPr>
        <w:t>表3.1-</w:t>
      </w:r>
      <w:r>
        <w:rPr>
          <w:rFonts w:hint="eastAsia" w:cs="Times New Roman" w:eastAsiaTheme="minorEastAsia"/>
          <w:b/>
          <w:color w:val="000000" w:themeColor="text1"/>
          <w:kern w:val="0"/>
          <w:sz w:val="24"/>
          <w:highlight w:val="none"/>
          <w:lang w:val="en-US" w:eastAsia="zh-CN"/>
          <w14:textFill>
            <w14:solidFill>
              <w14:schemeClr w14:val="tx1"/>
            </w14:solidFill>
          </w14:textFill>
        </w:rPr>
        <w:t>4</w:t>
      </w:r>
      <w:r>
        <w:rPr>
          <w:rFonts w:hint="default" w:ascii="Times New Roman" w:hAnsi="Times New Roman" w:cs="Times New Roman" w:eastAsiaTheme="minorEastAsia"/>
          <w:b/>
          <w:color w:val="000000" w:themeColor="text1"/>
          <w:kern w:val="0"/>
          <w:sz w:val="24"/>
          <w:highlight w:val="none"/>
          <w:lang w:val="en-US" w:eastAsia="zh-CN"/>
          <w14:textFill>
            <w14:solidFill>
              <w14:schemeClr w14:val="tx1"/>
            </w14:solidFill>
          </w14:textFill>
        </w:rPr>
        <w:t xml:space="preserve">             本项目占地情况汇总表           单位：m</w:t>
      </w:r>
      <w:r>
        <w:rPr>
          <w:rFonts w:hint="default" w:ascii="Times New Roman" w:hAnsi="Times New Roman" w:cs="Times New Roman" w:eastAsiaTheme="minorEastAsia"/>
          <w:b/>
          <w:color w:val="000000" w:themeColor="text1"/>
          <w:kern w:val="0"/>
          <w:sz w:val="24"/>
          <w:highlight w:val="none"/>
          <w:vertAlign w:val="superscript"/>
          <w:lang w:val="en-US" w:eastAsia="zh-CN"/>
          <w14:textFill>
            <w14:solidFill>
              <w14:schemeClr w14:val="tx1"/>
            </w14:solidFill>
          </w14:textFill>
        </w:rPr>
        <w:t>2</w:t>
      </w:r>
    </w:p>
    <w:tbl>
      <w:tblPr>
        <w:tblStyle w:val="75"/>
        <w:tblW w:w="4671"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15" w:type="dxa"/>
          <w:left w:w="15" w:type="dxa"/>
          <w:bottom w:w="15" w:type="dxa"/>
          <w:right w:w="15" w:type="dxa"/>
        </w:tblCellMar>
      </w:tblPr>
      <w:tblGrid>
        <w:gridCol w:w="519"/>
        <w:gridCol w:w="1985"/>
        <w:gridCol w:w="1562"/>
        <w:gridCol w:w="2244"/>
        <w:gridCol w:w="2087"/>
      </w:tblGrid>
      <w:tr w14:paraId="35DEE98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99" w:hRule="atLeast"/>
          <w:tblHeader/>
          <w:jc w:val="center"/>
        </w:trPr>
        <w:tc>
          <w:tcPr>
            <w:tcW w:w="309" w:type="pct"/>
            <w:vAlign w:val="center"/>
          </w:tcPr>
          <w:p w14:paraId="56E69BE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序号</w:t>
            </w:r>
          </w:p>
        </w:tc>
        <w:tc>
          <w:tcPr>
            <w:tcW w:w="1181" w:type="pct"/>
            <w:vAlign w:val="center"/>
          </w:tcPr>
          <w:p w14:paraId="38B6242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项目</w:t>
            </w:r>
          </w:p>
        </w:tc>
        <w:tc>
          <w:tcPr>
            <w:tcW w:w="930" w:type="pct"/>
            <w:vAlign w:val="center"/>
          </w:tcPr>
          <w:p w14:paraId="4272E88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永久性征用地</w:t>
            </w:r>
          </w:p>
        </w:tc>
        <w:tc>
          <w:tcPr>
            <w:tcW w:w="1336" w:type="pct"/>
            <w:vAlign w:val="center"/>
          </w:tcPr>
          <w:p w14:paraId="7BCC77F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临时性征用地</w:t>
            </w:r>
          </w:p>
        </w:tc>
        <w:tc>
          <w:tcPr>
            <w:tcW w:w="1242" w:type="pct"/>
            <w:vAlign w:val="center"/>
          </w:tcPr>
          <w:p w14:paraId="733F544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备注</w:t>
            </w:r>
          </w:p>
        </w:tc>
      </w:tr>
      <w:tr w14:paraId="330C386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84" w:hRule="atLeast"/>
          <w:jc w:val="center"/>
        </w:trPr>
        <w:tc>
          <w:tcPr>
            <w:tcW w:w="5000" w:type="pct"/>
            <w:gridSpan w:val="5"/>
            <w:vAlign w:val="center"/>
          </w:tcPr>
          <w:p w14:paraId="5B11C55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风电场区</w:t>
            </w:r>
          </w:p>
        </w:tc>
      </w:tr>
      <w:tr w14:paraId="4B8A882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84" w:hRule="atLeast"/>
          <w:jc w:val="center"/>
        </w:trPr>
        <w:tc>
          <w:tcPr>
            <w:tcW w:w="309" w:type="pct"/>
            <w:vAlign w:val="center"/>
          </w:tcPr>
          <w:p w14:paraId="155DC58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1</w:t>
            </w:r>
          </w:p>
        </w:tc>
        <w:tc>
          <w:tcPr>
            <w:tcW w:w="1181" w:type="pct"/>
            <w:vAlign w:val="center"/>
          </w:tcPr>
          <w:p w14:paraId="7A89327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风机基础</w:t>
            </w:r>
          </w:p>
        </w:tc>
        <w:tc>
          <w:tcPr>
            <w:tcW w:w="930" w:type="pct"/>
            <w:vAlign w:val="center"/>
          </w:tcPr>
          <w:p w14:paraId="44D28B26">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jc w:val="center"/>
              <w:textAlignment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9500</w:t>
            </w:r>
          </w:p>
        </w:tc>
        <w:tc>
          <w:tcPr>
            <w:tcW w:w="1336" w:type="pct"/>
            <w:vAlign w:val="center"/>
          </w:tcPr>
          <w:p w14:paraId="2FDD3F5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w:t>
            </w:r>
          </w:p>
        </w:tc>
        <w:tc>
          <w:tcPr>
            <w:tcW w:w="1242" w:type="pct"/>
            <w:vAlign w:val="center"/>
          </w:tcPr>
          <w:p w14:paraId="25DE0CE1">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尺寸半径</w:t>
            </w:r>
            <w:r>
              <w:rPr>
                <w:rFonts w:hint="eastAsia" w:cs="Times New Roman" w:eastAsiaTheme="minorEastAsia"/>
                <w:color w:val="000000" w:themeColor="text1"/>
                <w:sz w:val="21"/>
                <w:szCs w:val="21"/>
                <w:highlight w:val="none"/>
                <w:lang w:val="en-US" w:eastAsia="zh-CN"/>
                <w14:textFill>
                  <w14:solidFill>
                    <w14:schemeClr w14:val="tx1"/>
                  </w14:solidFill>
                </w14:textFill>
              </w:rPr>
              <w:t>12</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的圆形</w:t>
            </w:r>
          </w:p>
        </w:tc>
      </w:tr>
      <w:tr w14:paraId="7AF8D0B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84" w:hRule="atLeast"/>
          <w:jc w:val="center"/>
        </w:trPr>
        <w:tc>
          <w:tcPr>
            <w:tcW w:w="309" w:type="pct"/>
            <w:vAlign w:val="center"/>
          </w:tcPr>
          <w:p w14:paraId="49DF374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w:t>
            </w:r>
          </w:p>
        </w:tc>
        <w:tc>
          <w:tcPr>
            <w:tcW w:w="1181" w:type="pct"/>
            <w:vAlign w:val="center"/>
          </w:tcPr>
          <w:p w14:paraId="2810B2A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箱变基础</w:t>
            </w:r>
          </w:p>
        </w:tc>
        <w:tc>
          <w:tcPr>
            <w:tcW w:w="930" w:type="pct"/>
            <w:vAlign w:val="center"/>
          </w:tcPr>
          <w:p w14:paraId="15BA2E75">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jc w:val="center"/>
              <w:textAlignment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1680</w:t>
            </w:r>
          </w:p>
        </w:tc>
        <w:tc>
          <w:tcPr>
            <w:tcW w:w="1336" w:type="pct"/>
            <w:vAlign w:val="center"/>
          </w:tcPr>
          <w:p w14:paraId="740CA5C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w:t>
            </w:r>
          </w:p>
        </w:tc>
        <w:tc>
          <w:tcPr>
            <w:tcW w:w="1242" w:type="pct"/>
            <w:vAlign w:val="center"/>
          </w:tcPr>
          <w:p w14:paraId="2B16C317">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尺寸</w:t>
            </w:r>
            <w:r>
              <w:rPr>
                <w:rFonts w:hint="eastAsia" w:cs="Times New Roman" w:eastAsiaTheme="minorEastAsia"/>
                <w:color w:val="000000" w:themeColor="text1"/>
                <w:sz w:val="21"/>
                <w:szCs w:val="21"/>
                <w:highlight w:val="none"/>
                <w:lang w:val="en-US" w:eastAsia="zh-CN"/>
                <w14:textFill>
                  <w14:solidFill>
                    <w14:schemeClr w14:val="tx1"/>
                  </w14:solidFill>
                </w14:textFill>
              </w:rPr>
              <w:t>8</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m×1</w:t>
            </w:r>
            <w:r>
              <w:rPr>
                <w:rFonts w:hint="eastAsia" w:cs="Times New Roman" w:eastAsiaTheme="minorEastAsia"/>
                <w:color w:val="000000" w:themeColor="text1"/>
                <w:sz w:val="21"/>
                <w:szCs w:val="21"/>
                <w:highlight w:val="none"/>
                <w:lang w:val="en-US" w:eastAsia="zh-CN"/>
                <w14:textFill>
                  <w14:solidFill>
                    <w14:schemeClr w14:val="tx1"/>
                  </w14:solidFill>
                </w14:textFill>
              </w:rPr>
              <w:t>0</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m</w:t>
            </w:r>
          </w:p>
        </w:tc>
      </w:tr>
      <w:tr w14:paraId="7519FEA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978" w:hRule="atLeast"/>
          <w:jc w:val="center"/>
        </w:trPr>
        <w:tc>
          <w:tcPr>
            <w:tcW w:w="309" w:type="pct"/>
            <w:vAlign w:val="center"/>
          </w:tcPr>
          <w:p w14:paraId="513350F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3</w:t>
            </w:r>
          </w:p>
        </w:tc>
        <w:tc>
          <w:tcPr>
            <w:tcW w:w="1181" w:type="pct"/>
            <w:vAlign w:val="center"/>
          </w:tcPr>
          <w:p w14:paraId="2AF3E1E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风机安装场地</w:t>
            </w:r>
          </w:p>
        </w:tc>
        <w:tc>
          <w:tcPr>
            <w:tcW w:w="930" w:type="pct"/>
            <w:tcBorders>
              <w:right w:val="single" w:color="auto" w:sz="4" w:space="0"/>
            </w:tcBorders>
            <w:vAlign w:val="center"/>
          </w:tcPr>
          <w:p w14:paraId="37E94EC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w:t>
            </w:r>
          </w:p>
        </w:tc>
        <w:tc>
          <w:tcPr>
            <w:tcW w:w="1336" w:type="pct"/>
            <w:vAlign w:val="center"/>
          </w:tcPr>
          <w:p w14:paraId="6D72A4EB">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65100</w:t>
            </w:r>
          </w:p>
        </w:tc>
        <w:tc>
          <w:tcPr>
            <w:tcW w:w="1242" w:type="pct"/>
            <w:vAlign w:val="center"/>
          </w:tcPr>
          <w:p w14:paraId="19459F72">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风机吊装场地尺寸</w:t>
            </w:r>
            <w:r>
              <w:rPr>
                <w:rFonts w:hint="eastAsia" w:cs="Times New Roman" w:eastAsiaTheme="minorEastAsia"/>
                <w:color w:val="000000" w:themeColor="text1"/>
                <w:sz w:val="21"/>
                <w:szCs w:val="21"/>
                <w:highlight w:val="none"/>
                <w:lang w:val="en-US" w:eastAsia="zh-CN"/>
                <w14:textFill>
                  <w14:solidFill>
                    <w14:schemeClr w14:val="tx1"/>
                  </w14:solidFill>
                </w14:textFill>
              </w:rPr>
              <w:t>50</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m×</w:t>
            </w:r>
            <w:r>
              <w:rPr>
                <w:rFonts w:hint="eastAsia" w:cs="Times New Roman" w:eastAsiaTheme="minorEastAsia"/>
                <w:color w:val="000000" w:themeColor="text1"/>
                <w:sz w:val="21"/>
                <w:szCs w:val="21"/>
                <w:highlight w:val="none"/>
                <w:lang w:val="en-US" w:eastAsia="zh-CN"/>
                <w14:textFill>
                  <w14:solidFill>
                    <w14:schemeClr w14:val="tx1"/>
                  </w14:solidFill>
                </w14:textFill>
              </w:rPr>
              <w:t>62</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m</w:t>
            </w:r>
          </w:p>
        </w:tc>
      </w:tr>
      <w:tr w14:paraId="3AA2477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84" w:hRule="atLeast"/>
          <w:jc w:val="center"/>
        </w:trPr>
        <w:tc>
          <w:tcPr>
            <w:tcW w:w="309" w:type="pct"/>
            <w:vAlign w:val="center"/>
          </w:tcPr>
          <w:p w14:paraId="5CA5F0B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4</w:t>
            </w:r>
          </w:p>
        </w:tc>
        <w:tc>
          <w:tcPr>
            <w:tcW w:w="1181" w:type="pct"/>
            <w:vAlign w:val="center"/>
          </w:tcPr>
          <w:p w14:paraId="2801B0F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进站道路</w:t>
            </w:r>
          </w:p>
        </w:tc>
        <w:tc>
          <w:tcPr>
            <w:tcW w:w="930" w:type="pct"/>
            <w:tcBorders>
              <w:right w:val="single" w:color="auto" w:sz="4" w:space="0"/>
            </w:tcBorders>
            <w:vAlign w:val="center"/>
          </w:tcPr>
          <w:p w14:paraId="57BB93A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120</w:t>
            </w:r>
          </w:p>
        </w:tc>
        <w:tc>
          <w:tcPr>
            <w:tcW w:w="1336" w:type="pct"/>
            <w:vAlign w:val="center"/>
          </w:tcPr>
          <w:p w14:paraId="707FCF3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w:t>
            </w:r>
          </w:p>
        </w:tc>
        <w:tc>
          <w:tcPr>
            <w:tcW w:w="1242" w:type="pct"/>
            <w:vAlign w:val="center"/>
          </w:tcPr>
          <w:p w14:paraId="5180E48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长20m，宽6m</w:t>
            </w:r>
          </w:p>
        </w:tc>
      </w:tr>
      <w:tr w14:paraId="7435782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84" w:hRule="atLeast"/>
          <w:jc w:val="center"/>
        </w:trPr>
        <w:tc>
          <w:tcPr>
            <w:tcW w:w="309" w:type="pct"/>
            <w:shd w:val="clear" w:color="auto" w:fill="auto"/>
            <w:vAlign w:val="center"/>
          </w:tcPr>
          <w:p w14:paraId="0C6435D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5</w:t>
            </w:r>
          </w:p>
        </w:tc>
        <w:tc>
          <w:tcPr>
            <w:tcW w:w="1181" w:type="pct"/>
            <w:vMerge w:val="restart"/>
            <w:vAlign w:val="center"/>
          </w:tcPr>
          <w:p w14:paraId="550726A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集电线路</w:t>
            </w:r>
          </w:p>
        </w:tc>
        <w:tc>
          <w:tcPr>
            <w:tcW w:w="930" w:type="pct"/>
            <w:tcBorders>
              <w:right w:val="single" w:color="auto" w:sz="4" w:space="0"/>
            </w:tcBorders>
            <w:vAlign w:val="center"/>
          </w:tcPr>
          <w:p w14:paraId="4C083BD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1505</w:t>
            </w:r>
          </w:p>
        </w:tc>
        <w:tc>
          <w:tcPr>
            <w:tcW w:w="1336" w:type="pct"/>
            <w:vAlign w:val="center"/>
          </w:tcPr>
          <w:p w14:paraId="0D08F70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w:t>
            </w:r>
          </w:p>
        </w:tc>
        <w:tc>
          <w:tcPr>
            <w:tcW w:w="1242" w:type="pct"/>
            <w:vAlign w:val="center"/>
          </w:tcPr>
          <w:p w14:paraId="18FF0E7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杆塔</w:t>
            </w:r>
          </w:p>
        </w:tc>
      </w:tr>
      <w:tr w14:paraId="4E19C65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84" w:hRule="atLeast"/>
          <w:jc w:val="center"/>
        </w:trPr>
        <w:tc>
          <w:tcPr>
            <w:tcW w:w="309" w:type="pct"/>
            <w:shd w:val="clear" w:color="auto" w:fill="auto"/>
            <w:vAlign w:val="center"/>
          </w:tcPr>
          <w:p w14:paraId="412B575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6</w:t>
            </w:r>
          </w:p>
        </w:tc>
        <w:tc>
          <w:tcPr>
            <w:tcW w:w="1181" w:type="pct"/>
            <w:vMerge w:val="continue"/>
            <w:vAlign w:val="center"/>
          </w:tcPr>
          <w:p w14:paraId="038BD0D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930" w:type="pct"/>
            <w:tcBorders>
              <w:right w:val="single" w:color="auto" w:sz="4" w:space="0"/>
            </w:tcBorders>
            <w:vAlign w:val="center"/>
          </w:tcPr>
          <w:p w14:paraId="745E233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w:t>
            </w:r>
          </w:p>
        </w:tc>
        <w:tc>
          <w:tcPr>
            <w:tcW w:w="1336" w:type="pct"/>
            <w:vAlign w:val="center"/>
          </w:tcPr>
          <w:p w14:paraId="05CAAD7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1050</w:t>
            </w:r>
          </w:p>
        </w:tc>
        <w:tc>
          <w:tcPr>
            <w:tcW w:w="1242" w:type="pct"/>
            <w:vAlign w:val="center"/>
          </w:tcPr>
          <w:p w14:paraId="0D26303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直埋线缆</w:t>
            </w:r>
          </w:p>
        </w:tc>
      </w:tr>
      <w:tr w14:paraId="1625278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84" w:hRule="atLeast"/>
          <w:jc w:val="center"/>
        </w:trPr>
        <w:tc>
          <w:tcPr>
            <w:tcW w:w="309" w:type="pct"/>
            <w:shd w:val="clear" w:color="auto" w:fill="auto"/>
            <w:vAlign w:val="center"/>
          </w:tcPr>
          <w:p w14:paraId="48DB71A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7</w:t>
            </w:r>
          </w:p>
        </w:tc>
        <w:tc>
          <w:tcPr>
            <w:tcW w:w="1181" w:type="pct"/>
            <w:vAlign w:val="center"/>
          </w:tcPr>
          <w:p w14:paraId="3681178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检修</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道路</w:t>
            </w:r>
          </w:p>
        </w:tc>
        <w:tc>
          <w:tcPr>
            <w:tcW w:w="930" w:type="pct"/>
            <w:tcBorders>
              <w:right w:val="single" w:color="auto" w:sz="4" w:space="0"/>
            </w:tcBorders>
            <w:vAlign w:val="center"/>
          </w:tcPr>
          <w:p w14:paraId="2C57322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138150</w:t>
            </w:r>
          </w:p>
        </w:tc>
        <w:tc>
          <w:tcPr>
            <w:tcW w:w="1336" w:type="pct"/>
            <w:vAlign w:val="center"/>
          </w:tcPr>
          <w:p w14:paraId="1D1E339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76750</w:t>
            </w:r>
          </w:p>
        </w:tc>
        <w:tc>
          <w:tcPr>
            <w:tcW w:w="1242" w:type="pct"/>
            <w:vAlign w:val="center"/>
          </w:tcPr>
          <w:p w14:paraId="1B86D31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施工道路(宽7m)部分恢复为检修道路(宽4.5m)</w:t>
            </w:r>
          </w:p>
        </w:tc>
      </w:tr>
      <w:tr w14:paraId="601F468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84" w:hRule="atLeast"/>
          <w:jc w:val="center"/>
        </w:trPr>
        <w:tc>
          <w:tcPr>
            <w:tcW w:w="309" w:type="pct"/>
            <w:shd w:val="clear" w:color="auto" w:fill="auto"/>
            <w:vAlign w:val="center"/>
          </w:tcPr>
          <w:p w14:paraId="71C590C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8</w:t>
            </w:r>
          </w:p>
        </w:tc>
        <w:tc>
          <w:tcPr>
            <w:tcW w:w="1181" w:type="pct"/>
            <w:vAlign w:val="center"/>
          </w:tcPr>
          <w:p w14:paraId="4E6E58B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施工临建</w:t>
            </w:r>
            <w:r>
              <w:rPr>
                <w:rFonts w:hint="eastAsia" w:cs="Times New Roman" w:eastAsiaTheme="minorEastAsia"/>
                <w:color w:val="000000" w:themeColor="text1"/>
                <w:sz w:val="21"/>
                <w:szCs w:val="21"/>
                <w:highlight w:val="none"/>
                <w:lang w:val="en-US" w:eastAsia="zh-CN"/>
                <w14:textFill>
                  <w14:solidFill>
                    <w14:schemeClr w14:val="tx1"/>
                  </w14:solidFill>
                </w14:textFill>
              </w:rPr>
              <w:t>及堆场</w:t>
            </w:r>
          </w:p>
        </w:tc>
        <w:tc>
          <w:tcPr>
            <w:tcW w:w="930" w:type="pct"/>
            <w:tcBorders>
              <w:right w:val="single" w:color="auto" w:sz="4" w:space="0"/>
            </w:tcBorders>
            <w:vAlign w:val="center"/>
          </w:tcPr>
          <w:p w14:paraId="54FE420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w:t>
            </w:r>
          </w:p>
        </w:tc>
        <w:tc>
          <w:tcPr>
            <w:tcW w:w="1336" w:type="pct"/>
            <w:vAlign w:val="center"/>
          </w:tcPr>
          <w:p w14:paraId="0791E245">
            <w:pPr>
              <w:keepNext w:val="0"/>
              <w:keepLines w:val="0"/>
              <w:pageBreakBefore w:val="0"/>
              <w:widowControl w:val="0"/>
              <w:kinsoku/>
              <w:wordWrap/>
              <w:overflowPunct/>
              <w:topLinePunct w:val="0"/>
              <w:autoSpaceDE/>
              <w:autoSpaceDN/>
              <w:bidi w:val="0"/>
              <w:adjustRightInd/>
              <w:snapToGrid/>
              <w:spacing w:line="240" w:lineRule="auto"/>
              <w:ind w:left="560" w:leftChars="200" w:firstLine="210" w:firstLineChars="100"/>
              <w:jc w:val="both"/>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40000</w:t>
            </w:r>
          </w:p>
        </w:tc>
        <w:tc>
          <w:tcPr>
            <w:tcW w:w="1242" w:type="pct"/>
            <w:vAlign w:val="center"/>
          </w:tcPr>
          <w:p w14:paraId="3F86B073">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r>
      <w:tr w14:paraId="038EC2D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84" w:hRule="atLeast"/>
          <w:jc w:val="center"/>
        </w:trPr>
        <w:tc>
          <w:tcPr>
            <w:tcW w:w="1491" w:type="pct"/>
            <w:gridSpan w:val="2"/>
            <w:vAlign w:val="center"/>
          </w:tcPr>
          <w:p w14:paraId="456BC839">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小计</w:t>
            </w:r>
          </w:p>
        </w:tc>
        <w:tc>
          <w:tcPr>
            <w:tcW w:w="930" w:type="pct"/>
            <w:tcBorders>
              <w:right w:val="single" w:color="auto" w:sz="4" w:space="0"/>
            </w:tcBorders>
            <w:vAlign w:val="center"/>
          </w:tcPr>
          <w:p w14:paraId="07AB056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150955</w:t>
            </w:r>
          </w:p>
        </w:tc>
        <w:tc>
          <w:tcPr>
            <w:tcW w:w="1336" w:type="pct"/>
            <w:vAlign w:val="center"/>
          </w:tcPr>
          <w:p w14:paraId="2B2FD2B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182900</w:t>
            </w:r>
          </w:p>
        </w:tc>
        <w:tc>
          <w:tcPr>
            <w:tcW w:w="1242" w:type="pct"/>
            <w:vAlign w:val="center"/>
          </w:tcPr>
          <w:p w14:paraId="62058E9F">
            <w:pPr>
              <w:keepNext w:val="0"/>
              <w:keepLines w:val="0"/>
              <w:pageBreakBefore w:val="0"/>
              <w:widowControl w:val="0"/>
              <w:kinsoku/>
              <w:wordWrap/>
              <w:overflowPunct/>
              <w:topLinePunct w:val="0"/>
              <w:autoSpaceDE/>
              <w:autoSpaceDN/>
              <w:bidi w:val="0"/>
              <w:adjustRightInd/>
              <w:snapToGrid/>
              <w:spacing w:line="240" w:lineRule="auto"/>
              <w:ind w:left="560" w:leftChars="20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r>
      <w:tr w14:paraId="2B6E2F4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414" w:hRule="atLeast"/>
          <w:jc w:val="center"/>
        </w:trPr>
        <w:tc>
          <w:tcPr>
            <w:tcW w:w="1491" w:type="pct"/>
            <w:gridSpan w:val="2"/>
            <w:vAlign w:val="center"/>
          </w:tcPr>
          <w:p w14:paraId="05012A07">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合计</w:t>
            </w:r>
          </w:p>
        </w:tc>
        <w:tc>
          <w:tcPr>
            <w:tcW w:w="2266" w:type="pct"/>
            <w:gridSpan w:val="2"/>
            <w:vAlign w:val="center"/>
          </w:tcPr>
          <w:p w14:paraId="21E126F9">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eastAsia="宋体" w:cs="Times New Roman"/>
                <w:i w:val="0"/>
                <w:iCs w:val="0"/>
                <w:color w:val="000000" w:themeColor="text1"/>
                <w:kern w:val="0"/>
                <w:sz w:val="21"/>
                <w:szCs w:val="21"/>
                <w:u w:val="none"/>
                <w:lang w:val="en-US" w:eastAsia="zh-CN" w:bidi="ar"/>
                <w14:textFill>
                  <w14:solidFill>
                    <w14:schemeClr w14:val="tx1"/>
                  </w14:solidFill>
                </w14:textFill>
              </w:rPr>
              <w:t>333855</w:t>
            </w:r>
          </w:p>
        </w:tc>
        <w:tc>
          <w:tcPr>
            <w:tcW w:w="1242" w:type="pct"/>
            <w:vAlign w:val="center"/>
          </w:tcPr>
          <w:p w14:paraId="6759299F">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r>
    </w:tbl>
    <w:p w14:paraId="05CBBBD0">
      <w:pPr>
        <w:bidi w:val="0"/>
        <w:rPr>
          <w:rFonts w:hint="default"/>
          <w:color w:val="FF0000"/>
          <w:lang w:val="en-US" w:eastAsia="zh-CN"/>
        </w:rPr>
      </w:pPr>
    </w:p>
    <w:p w14:paraId="5CEA0E58">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cs="Times New Roman" w:eastAsiaTheme="minorEastAsia"/>
          <w:b/>
          <w:bCs/>
          <w:color w:val="000000" w:themeColor="text1"/>
          <w:kern w:val="2"/>
          <w:sz w:val="24"/>
          <w:szCs w:val="20"/>
          <w:highlight w:val="none"/>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0"/>
          <w:highlight w:val="none"/>
          <w:lang w:val="en-US" w:eastAsia="zh-CN" w:bidi="ar-SA"/>
          <w14:textFill>
            <w14:solidFill>
              <w14:schemeClr w14:val="tx1"/>
            </w14:solidFill>
          </w14:textFill>
        </w:rPr>
        <w:t>（2）项目占用水源地情况</w:t>
      </w:r>
    </w:p>
    <w:p w14:paraId="68B4662D">
      <w:pPr>
        <w:keepNext w:val="0"/>
        <w:keepLines w:val="0"/>
        <w:pageBreakBefore w:val="0"/>
        <w:widowControl w:val="0"/>
        <w:numPr>
          <w:ilvl w:val="0"/>
          <w:numId w:val="0"/>
        </w:numPr>
        <w:tabs>
          <w:tab w:val="left" w:pos="1260"/>
        </w:tabs>
        <w:kinsoku/>
        <w:wordWrap/>
        <w:overflowPunct/>
        <w:topLinePunct w:val="0"/>
        <w:autoSpaceDE/>
        <w:autoSpaceDN/>
        <w:bidi w:val="0"/>
        <w:adjustRightInd/>
        <w:snapToGrid/>
        <w:spacing w:line="360" w:lineRule="auto"/>
        <w:ind w:left="0" w:leftChars="0" w:firstLine="480" w:firstLineChars="200"/>
        <w:textAlignment w:val="auto"/>
        <w:outlineLvl w:val="9"/>
        <w:rPr>
          <w:rFonts w:hint="default" w:ascii="Times New Roman" w:hAnsi="Times New Roman" w:cs="Times New Roman" w:eastAsiaTheme="minorEastAsia"/>
          <w:color w:val="000000" w:themeColor="text1"/>
          <w:kern w:val="2"/>
          <w:sz w:val="24"/>
          <w:szCs w:val="20"/>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4"/>
          <w:szCs w:val="20"/>
          <w:highlight w:val="none"/>
          <w:lang w:val="en-US" w:eastAsia="zh-CN" w:bidi="ar-SA"/>
          <w14:textFill>
            <w14:solidFill>
              <w14:schemeClr w14:val="tx1"/>
            </w14:solidFill>
          </w14:textFill>
        </w:rPr>
        <w:t>1）占用</w:t>
      </w:r>
      <w:r>
        <w:rPr>
          <w:rFonts w:hint="eastAsia" w:ascii="宋体" w:hAnsi="宋体" w:eastAsia="宋体" w:cs="宋体"/>
          <w:color w:val="000000" w:themeColor="text1"/>
          <w:sz w:val="24"/>
          <w:lang w:val="en-US" w:eastAsia="zh-CN"/>
          <w14:textFill>
            <w14:solidFill>
              <w14:schemeClr w14:val="tx1"/>
            </w14:solidFill>
          </w14:textFill>
        </w:rPr>
        <w:t>西山地下饮用水源地二级保护区</w:t>
      </w:r>
      <w:r>
        <w:rPr>
          <w:rFonts w:hint="default" w:ascii="Times New Roman" w:hAnsi="Times New Roman" w:cs="Times New Roman" w:eastAsiaTheme="minorEastAsia"/>
          <w:color w:val="000000" w:themeColor="text1"/>
          <w:kern w:val="2"/>
          <w:sz w:val="24"/>
          <w:szCs w:val="20"/>
          <w:highlight w:val="none"/>
          <w:lang w:val="en-US" w:eastAsia="zh-CN" w:bidi="ar-SA"/>
          <w14:textFill>
            <w14:solidFill>
              <w14:schemeClr w14:val="tx1"/>
            </w14:solidFill>
          </w14:textFill>
        </w:rPr>
        <w:t>情况</w:t>
      </w:r>
    </w:p>
    <w:p w14:paraId="16E43299">
      <w:pPr>
        <w:keepNext w:val="0"/>
        <w:keepLines w:val="0"/>
        <w:pageBreakBefore w:val="0"/>
        <w:widowControl w:val="0"/>
        <w:numPr>
          <w:ilvl w:val="0"/>
          <w:numId w:val="0"/>
        </w:numPr>
        <w:tabs>
          <w:tab w:val="left" w:pos="1260"/>
        </w:tabs>
        <w:kinsoku/>
        <w:wordWrap/>
        <w:overflowPunct/>
        <w:topLinePunct w:val="0"/>
        <w:autoSpaceDE/>
        <w:autoSpaceDN/>
        <w:bidi w:val="0"/>
        <w:adjustRightInd/>
        <w:snapToGrid/>
        <w:spacing w:line="360" w:lineRule="auto"/>
        <w:ind w:left="0" w:leftChars="0" w:firstLine="480" w:firstLineChars="200"/>
        <w:textAlignment w:val="auto"/>
        <w:outlineLvl w:val="9"/>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0"/>
          <w:highlight w:val="none"/>
          <w:lang w:val="en-US" w:eastAsia="zh-CN" w:bidi="ar-SA"/>
          <w14:textFill>
            <w14:solidFill>
              <w14:schemeClr w14:val="tx1"/>
            </w14:solidFill>
          </w14:textFill>
        </w:rPr>
        <w:t>①永久占地：风电场区</w:t>
      </w:r>
      <w:r>
        <w:rPr>
          <w:rFonts w:hint="eastAsia" w:cs="Times New Roman" w:eastAsiaTheme="minorEastAsia"/>
          <w:color w:val="000000" w:themeColor="text1"/>
          <w:kern w:val="2"/>
          <w:sz w:val="24"/>
          <w:szCs w:val="20"/>
          <w:highlight w:val="none"/>
          <w:lang w:val="en-US" w:eastAsia="zh-CN" w:bidi="ar-SA"/>
          <w14:textFill>
            <w14:solidFill>
              <w14:schemeClr w14:val="tx1"/>
            </w14:solidFill>
          </w14:textFill>
        </w:rPr>
        <w:t>3</w:t>
      </w:r>
      <w:r>
        <w:rPr>
          <w:rFonts w:hint="default" w:ascii="Times New Roman" w:hAnsi="Times New Roman" w:cs="Times New Roman" w:eastAsiaTheme="minorEastAsia"/>
          <w:color w:val="000000" w:themeColor="text1"/>
          <w:kern w:val="2"/>
          <w:sz w:val="24"/>
          <w:szCs w:val="20"/>
          <w:highlight w:val="none"/>
          <w:lang w:val="en-US" w:eastAsia="zh-CN" w:bidi="ar-SA"/>
          <w14:textFill>
            <w14:solidFill>
              <w14:schemeClr w14:val="tx1"/>
            </w14:solidFill>
          </w14:textFill>
        </w:rPr>
        <w:t>台风机及箱变、部分集电线路杆塔</w:t>
      </w:r>
      <w:r>
        <w:rPr>
          <w:rFonts w:hint="eastAsia" w:cs="Times New Roman" w:eastAsiaTheme="minorEastAsia"/>
          <w:color w:val="000000" w:themeColor="text1"/>
          <w:kern w:val="2"/>
          <w:sz w:val="24"/>
          <w:szCs w:val="20"/>
          <w:highlight w:val="none"/>
          <w:lang w:val="en-US" w:eastAsia="zh-CN" w:bidi="ar-SA"/>
          <w14:textFill>
            <w14:solidFill>
              <w14:schemeClr w14:val="tx1"/>
            </w14:solidFill>
          </w14:textFill>
        </w:rPr>
        <w:t>、检修道路</w:t>
      </w:r>
      <w:r>
        <w:rPr>
          <w:rFonts w:hint="default" w:ascii="Times New Roman" w:hAnsi="Times New Roman" w:cs="Times New Roman" w:eastAsiaTheme="minorEastAsia"/>
          <w:color w:val="000000" w:themeColor="text1"/>
          <w:kern w:val="2"/>
          <w:sz w:val="24"/>
          <w:szCs w:val="20"/>
          <w:highlight w:val="none"/>
          <w:lang w:val="en-US" w:eastAsia="zh-CN" w:bidi="ar-SA"/>
          <w14:textFill>
            <w14:solidFill>
              <w14:schemeClr w14:val="tx1"/>
            </w14:solidFill>
          </w14:textFill>
        </w:rPr>
        <w:t>等永久占地占用</w:t>
      </w:r>
      <w:r>
        <w:rPr>
          <w:rFonts w:hint="eastAsia" w:ascii="宋体" w:hAnsi="宋体" w:eastAsia="宋体" w:cs="宋体"/>
          <w:color w:val="000000" w:themeColor="text1"/>
          <w:sz w:val="24"/>
          <w:lang w:val="en-US" w:eastAsia="zh-CN"/>
          <w14:textFill>
            <w14:solidFill>
              <w14:schemeClr w14:val="tx1"/>
            </w14:solidFill>
          </w14:textFill>
        </w:rPr>
        <w:t>西山地下饮用水源地二级保护区</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w:t>
      </w:r>
    </w:p>
    <w:p w14:paraId="1B7DF6D1">
      <w:pPr>
        <w:keepNext w:val="0"/>
        <w:keepLines w:val="0"/>
        <w:pageBreakBefore w:val="0"/>
        <w:widowControl w:val="0"/>
        <w:numPr>
          <w:ilvl w:val="0"/>
          <w:numId w:val="0"/>
        </w:numPr>
        <w:tabs>
          <w:tab w:val="left" w:pos="1260"/>
        </w:tabs>
        <w:kinsoku/>
        <w:wordWrap/>
        <w:overflowPunct/>
        <w:topLinePunct w:val="0"/>
        <w:autoSpaceDE/>
        <w:autoSpaceDN/>
        <w:bidi w:val="0"/>
        <w:adjustRightInd/>
        <w:snapToGrid/>
        <w:spacing w:line="360" w:lineRule="auto"/>
        <w:ind w:left="0" w:leftChars="0" w:firstLine="480" w:firstLineChars="200"/>
        <w:textAlignment w:val="auto"/>
        <w:outlineLvl w:val="9"/>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②临时占地：</w:t>
      </w:r>
      <w:r>
        <w:rPr>
          <w:rFonts w:hint="default" w:ascii="Times New Roman" w:hAnsi="Times New Roman" w:cs="Times New Roman" w:eastAsiaTheme="minorEastAsia"/>
          <w:color w:val="000000" w:themeColor="text1"/>
          <w:kern w:val="2"/>
          <w:sz w:val="24"/>
          <w:szCs w:val="20"/>
          <w:highlight w:val="none"/>
          <w:lang w:val="en-US" w:eastAsia="zh-CN" w:bidi="ar-SA"/>
          <w14:textFill>
            <w14:solidFill>
              <w14:schemeClr w14:val="tx1"/>
            </w14:solidFill>
          </w14:textFill>
        </w:rPr>
        <w:t>场区</w:t>
      </w:r>
      <w:r>
        <w:rPr>
          <w:rFonts w:hint="eastAsia" w:cs="Times New Roman" w:eastAsiaTheme="minorEastAsia"/>
          <w:color w:val="000000" w:themeColor="text1"/>
          <w:kern w:val="2"/>
          <w:sz w:val="24"/>
          <w:szCs w:val="20"/>
          <w:highlight w:val="none"/>
          <w:lang w:val="en-US" w:eastAsia="zh-CN" w:bidi="ar-SA"/>
          <w14:textFill>
            <w14:solidFill>
              <w14:schemeClr w14:val="tx1"/>
            </w14:solidFill>
          </w14:textFill>
        </w:rPr>
        <w:t>3</w:t>
      </w:r>
      <w:r>
        <w:rPr>
          <w:rFonts w:hint="default" w:ascii="Times New Roman" w:hAnsi="Times New Roman" w:cs="Times New Roman" w:eastAsiaTheme="minorEastAsia"/>
          <w:color w:val="000000" w:themeColor="text1"/>
          <w:kern w:val="2"/>
          <w:sz w:val="24"/>
          <w:szCs w:val="20"/>
          <w:highlight w:val="none"/>
          <w:lang w:val="en-US" w:eastAsia="zh-CN" w:bidi="ar-SA"/>
          <w14:textFill>
            <w14:solidFill>
              <w14:schemeClr w14:val="tx1"/>
            </w14:solidFill>
          </w14:textFill>
        </w:rPr>
        <w:t>台风机吊装平台及部分临时施工道路临时占地占用</w:t>
      </w:r>
      <w:r>
        <w:rPr>
          <w:rFonts w:hint="eastAsia" w:ascii="宋体" w:hAnsi="宋体" w:eastAsia="宋体" w:cs="宋体"/>
          <w:color w:val="000000" w:themeColor="text1"/>
          <w:sz w:val="24"/>
          <w:lang w:val="en-US" w:eastAsia="zh-CN"/>
          <w14:textFill>
            <w14:solidFill>
              <w14:schemeClr w14:val="tx1"/>
            </w14:solidFill>
          </w14:textFill>
        </w:rPr>
        <w:t>西山地下饮用水源地二级保护区</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w:t>
      </w:r>
    </w:p>
    <w:p w14:paraId="32329612">
      <w:pPr>
        <w:keepNext w:val="0"/>
        <w:keepLines w:val="0"/>
        <w:pageBreakBefore w:val="0"/>
        <w:widowControl w:val="0"/>
        <w:numPr>
          <w:ilvl w:val="0"/>
          <w:numId w:val="0"/>
        </w:numPr>
        <w:tabs>
          <w:tab w:val="left" w:pos="1260"/>
        </w:tabs>
        <w:kinsoku/>
        <w:wordWrap/>
        <w:overflowPunct/>
        <w:topLinePunct w:val="0"/>
        <w:autoSpaceDE/>
        <w:autoSpaceDN/>
        <w:bidi w:val="0"/>
        <w:adjustRightInd/>
        <w:snapToGrid/>
        <w:spacing w:line="360" w:lineRule="auto"/>
        <w:ind w:left="0" w:leftChars="0" w:firstLine="480" w:firstLineChars="200"/>
        <w:textAlignment w:val="auto"/>
        <w:outlineLvl w:val="9"/>
        <w:rPr>
          <w:rFonts w:hint="default" w:ascii="Times New Roman" w:hAnsi="Times New Roman" w:cs="Times New Roman" w:eastAsiaTheme="minorEastAsia"/>
          <w:color w:val="000000" w:themeColor="text1"/>
          <w:kern w:val="0"/>
          <w:sz w:val="24"/>
          <w:szCs w:val="20"/>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4"/>
          <w:szCs w:val="20"/>
          <w:highlight w:val="none"/>
          <w:lang w:val="en-US" w:eastAsia="zh-CN" w:bidi="ar-SA"/>
          <w14:textFill>
            <w14:solidFill>
              <w14:schemeClr w14:val="tx1"/>
            </w14:solidFill>
          </w14:textFill>
        </w:rPr>
        <w:t>本项目占用</w:t>
      </w:r>
      <w:r>
        <w:rPr>
          <w:rFonts w:hint="eastAsia" w:ascii="宋体" w:hAnsi="宋体" w:eastAsia="宋体" w:cs="宋体"/>
          <w:color w:val="000000" w:themeColor="text1"/>
          <w:sz w:val="24"/>
          <w:lang w:val="en-US" w:eastAsia="zh-CN"/>
          <w14:textFill>
            <w14:solidFill>
              <w14:schemeClr w14:val="tx1"/>
            </w14:solidFill>
          </w14:textFill>
        </w:rPr>
        <w:t>西山地下饮用水源地二级保护区</w:t>
      </w:r>
      <w:r>
        <w:rPr>
          <w:rFonts w:hint="default" w:ascii="Times New Roman" w:hAnsi="Times New Roman" w:cs="Times New Roman" w:eastAsiaTheme="minorEastAsia"/>
          <w:color w:val="000000" w:themeColor="text1"/>
          <w:kern w:val="2"/>
          <w:sz w:val="24"/>
          <w:szCs w:val="20"/>
          <w:highlight w:val="none"/>
          <w:lang w:val="en-US" w:eastAsia="zh-CN" w:bidi="ar-SA"/>
          <w14:textFill>
            <w14:solidFill>
              <w14:schemeClr w14:val="tx1"/>
            </w14:solidFill>
          </w14:textFill>
        </w:rPr>
        <w:t>面积</w:t>
      </w:r>
      <w:r>
        <w:rPr>
          <w:rFonts w:hint="eastAsia" w:cs="Times New Roman" w:eastAsiaTheme="minorEastAsia"/>
          <w:color w:val="000000" w:themeColor="text1"/>
          <w:kern w:val="2"/>
          <w:sz w:val="24"/>
          <w:szCs w:val="20"/>
          <w:highlight w:val="none"/>
          <w:lang w:val="en-US" w:eastAsia="zh-CN" w:bidi="ar-SA"/>
          <w14:textFill>
            <w14:solidFill>
              <w14:schemeClr w14:val="tx1"/>
            </w14:solidFill>
          </w14:textFill>
        </w:rPr>
        <w:t>23387</w:t>
      </w:r>
      <w:r>
        <w:rPr>
          <w:rFonts w:hint="default" w:ascii="Times New Roman" w:hAnsi="Times New Roman" w:cs="Times New Roman" w:eastAsiaTheme="minorEastAsia"/>
          <w:color w:val="000000" w:themeColor="text1"/>
          <w:kern w:val="2"/>
          <w:sz w:val="24"/>
          <w:szCs w:val="20"/>
          <w:highlight w:val="none"/>
          <w:lang w:val="en-US" w:eastAsia="zh-CN" w:bidi="ar-SA"/>
          <w14:textFill>
            <w14:solidFill>
              <w14:schemeClr w14:val="tx1"/>
            </w14:solidFill>
          </w14:textFill>
        </w:rPr>
        <w:t>m</w:t>
      </w:r>
      <w:r>
        <w:rPr>
          <w:rFonts w:hint="default" w:ascii="Times New Roman" w:hAnsi="Times New Roman" w:cs="Times New Roman" w:eastAsiaTheme="minorEastAsia"/>
          <w:color w:val="000000" w:themeColor="text1"/>
          <w:kern w:val="2"/>
          <w:sz w:val="24"/>
          <w:szCs w:val="20"/>
          <w:highlight w:val="none"/>
          <w:vertAlign w:val="superscript"/>
          <w:lang w:val="en-US" w:eastAsia="zh-CN" w:bidi="ar-SA"/>
          <w14:textFill>
            <w14:solidFill>
              <w14:schemeClr w14:val="tx1"/>
            </w14:solidFill>
          </w14:textFill>
        </w:rPr>
        <w:t>2</w:t>
      </w:r>
      <w:r>
        <w:rPr>
          <w:rFonts w:hint="default" w:ascii="Times New Roman" w:hAnsi="Times New Roman" w:cs="Times New Roman" w:eastAsiaTheme="minorEastAsia"/>
          <w:color w:val="000000" w:themeColor="text1"/>
          <w:kern w:val="2"/>
          <w:sz w:val="24"/>
          <w:szCs w:val="20"/>
          <w:highlight w:val="none"/>
          <w:lang w:val="en-US" w:eastAsia="zh-CN" w:bidi="ar-SA"/>
          <w14:textFill>
            <w14:solidFill>
              <w14:schemeClr w14:val="tx1"/>
            </w14:solidFill>
          </w14:textFill>
        </w:rPr>
        <w:t>，其中</w:t>
      </w:r>
      <w:r>
        <w:rPr>
          <w:rFonts w:hint="default" w:ascii="Times New Roman" w:hAnsi="Times New Roman" w:cs="Times New Roman" w:eastAsiaTheme="minorEastAsia"/>
          <w:color w:val="000000" w:themeColor="text1"/>
          <w:kern w:val="0"/>
          <w:sz w:val="24"/>
          <w:szCs w:val="20"/>
          <w:highlight w:val="none"/>
          <w:lang w:val="en-US" w:eastAsia="zh-CN" w:bidi="ar-SA"/>
          <w14:textFill>
            <w14:solidFill>
              <w14:schemeClr w14:val="tx1"/>
            </w14:solidFill>
          </w14:textFill>
        </w:rPr>
        <w:t>永久占地面积约</w:t>
      </w:r>
      <w:r>
        <w:rPr>
          <w:rFonts w:hint="eastAsia" w:cs="Times New Roman" w:eastAsiaTheme="minorEastAsia"/>
          <w:color w:val="000000" w:themeColor="text1"/>
          <w:kern w:val="0"/>
          <w:sz w:val="24"/>
          <w:szCs w:val="20"/>
          <w:highlight w:val="none"/>
          <w:lang w:val="en-US" w:eastAsia="zh-CN" w:bidi="ar-SA"/>
          <w14:textFill>
            <w14:solidFill>
              <w14:schemeClr w14:val="tx1"/>
            </w14:solidFill>
          </w14:textFill>
        </w:rPr>
        <w:t>9637</w:t>
      </w:r>
      <w:r>
        <w:rPr>
          <w:rFonts w:hint="default" w:ascii="Times New Roman" w:hAnsi="Times New Roman" w:cs="Times New Roman" w:eastAsiaTheme="minorEastAsia"/>
          <w:color w:val="000000" w:themeColor="text1"/>
          <w:kern w:val="0"/>
          <w:sz w:val="24"/>
          <w:szCs w:val="20"/>
          <w:highlight w:val="none"/>
          <w:lang w:val="en-US" w:eastAsia="zh-CN" w:bidi="ar-SA"/>
          <w14:textFill>
            <w14:solidFill>
              <w14:schemeClr w14:val="tx1"/>
            </w14:solidFill>
          </w14:textFill>
        </w:rPr>
        <w:t>m</w:t>
      </w:r>
      <w:r>
        <w:rPr>
          <w:rFonts w:hint="default" w:ascii="Times New Roman" w:hAnsi="Times New Roman" w:cs="Times New Roman" w:eastAsiaTheme="minorEastAsia"/>
          <w:color w:val="000000" w:themeColor="text1"/>
          <w:kern w:val="0"/>
          <w:sz w:val="24"/>
          <w:szCs w:val="20"/>
          <w:highlight w:val="none"/>
          <w:vertAlign w:val="superscript"/>
          <w:lang w:val="en-US" w:eastAsia="zh-CN" w:bidi="ar-SA"/>
          <w14:textFill>
            <w14:solidFill>
              <w14:schemeClr w14:val="tx1"/>
            </w14:solidFill>
          </w14:textFill>
        </w:rPr>
        <w:t>2</w:t>
      </w:r>
      <w:r>
        <w:rPr>
          <w:rFonts w:hint="default" w:ascii="Times New Roman" w:hAnsi="Times New Roman" w:cs="Times New Roman" w:eastAsiaTheme="minorEastAsia"/>
          <w:color w:val="000000" w:themeColor="text1"/>
          <w:kern w:val="0"/>
          <w:sz w:val="24"/>
          <w:szCs w:val="20"/>
          <w:highlight w:val="none"/>
          <w:lang w:val="en-US" w:eastAsia="zh-CN" w:bidi="ar-SA"/>
          <w14:textFill>
            <w14:solidFill>
              <w14:schemeClr w14:val="tx1"/>
            </w14:solidFill>
          </w14:textFill>
        </w:rPr>
        <w:t>，临时占地面积约</w:t>
      </w:r>
      <w:r>
        <w:rPr>
          <w:rFonts w:hint="eastAsia" w:cs="Times New Roman" w:eastAsiaTheme="minorEastAsia"/>
          <w:color w:val="000000" w:themeColor="text1"/>
          <w:kern w:val="0"/>
          <w:sz w:val="24"/>
          <w:szCs w:val="20"/>
          <w:highlight w:val="none"/>
          <w:lang w:val="en-US" w:eastAsia="zh-CN" w:bidi="ar-SA"/>
          <w14:textFill>
            <w14:solidFill>
              <w14:schemeClr w14:val="tx1"/>
            </w14:solidFill>
          </w14:textFill>
        </w:rPr>
        <w:t>13750</w:t>
      </w:r>
      <w:r>
        <w:rPr>
          <w:rFonts w:hint="default" w:ascii="Times New Roman" w:hAnsi="Times New Roman" w:cs="Times New Roman" w:eastAsiaTheme="minorEastAsia"/>
          <w:color w:val="000000" w:themeColor="text1"/>
          <w:kern w:val="0"/>
          <w:sz w:val="24"/>
          <w:szCs w:val="20"/>
          <w:highlight w:val="none"/>
          <w:lang w:val="en-US" w:eastAsia="zh-CN" w:bidi="ar-SA"/>
          <w14:textFill>
            <w14:solidFill>
              <w14:schemeClr w14:val="tx1"/>
            </w14:solidFill>
          </w14:textFill>
        </w:rPr>
        <w:t>m</w:t>
      </w:r>
      <w:r>
        <w:rPr>
          <w:rFonts w:hint="default" w:ascii="Times New Roman" w:hAnsi="Times New Roman" w:cs="Times New Roman" w:eastAsiaTheme="minorEastAsia"/>
          <w:color w:val="000000" w:themeColor="text1"/>
          <w:kern w:val="0"/>
          <w:sz w:val="24"/>
          <w:szCs w:val="20"/>
          <w:highlight w:val="none"/>
          <w:vertAlign w:val="superscript"/>
          <w:lang w:val="en-US" w:eastAsia="zh-CN" w:bidi="ar-SA"/>
          <w14:textFill>
            <w14:solidFill>
              <w14:schemeClr w14:val="tx1"/>
            </w14:solidFill>
          </w14:textFill>
        </w:rPr>
        <w:t>2</w:t>
      </w:r>
      <w:r>
        <w:rPr>
          <w:rFonts w:hint="default" w:ascii="Times New Roman" w:hAnsi="Times New Roman" w:cs="Times New Roman" w:eastAsiaTheme="minorEastAsia"/>
          <w:color w:val="000000" w:themeColor="text1"/>
          <w:kern w:val="0"/>
          <w:sz w:val="24"/>
          <w:szCs w:val="20"/>
          <w:highlight w:val="none"/>
          <w:vertAlign w:val="baseline"/>
          <w:lang w:val="en-US" w:eastAsia="zh-CN" w:bidi="ar-SA"/>
          <w14:textFill>
            <w14:solidFill>
              <w14:schemeClr w14:val="tx1"/>
            </w14:solidFill>
          </w14:textFill>
        </w:rPr>
        <w:t>，详见表3.1-</w:t>
      </w:r>
      <w:r>
        <w:rPr>
          <w:rFonts w:hint="eastAsia" w:cs="Times New Roman" w:eastAsiaTheme="minorEastAsia"/>
          <w:color w:val="000000" w:themeColor="text1"/>
          <w:kern w:val="0"/>
          <w:sz w:val="24"/>
          <w:szCs w:val="20"/>
          <w:highlight w:val="none"/>
          <w:vertAlign w:val="baseline"/>
          <w:lang w:val="en-US" w:eastAsia="zh-CN" w:bidi="ar-SA"/>
          <w14:textFill>
            <w14:solidFill>
              <w14:schemeClr w14:val="tx1"/>
            </w14:solidFill>
          </w14:textFill>
        </w:rPr>
        <w:t>5</w:t>
      </w:r>
      <w:r>
        <w:rPr>
          <w:rFonts w:hint="default" w:ascii="Times New Roman" w:hAnsi="Times New Roman" w:cs="Times New Roman" w:eastAsiaTheme="minorEastAsia"/>
          <w:color w:val="000000" w:themeColor="text1"/>
          <w:kern w:val="0"/>
          <w:sz w:val="24"/>
          <w:szCs w:val="20"/>
          <w:highlight w:val="none"/>
          <w:vertAlign w:val="baseline"/>
          <w:lang w:val="en-US" w:eastAsia="zh-CN" w:bidi="ar-SA"/>
          <w14:textFill>
            <w14:solidFill>
              <w14:schemeClr w14:val="tx1"/>
            </w14:solidFill>
          </w14:textFill>
        </w:rPr>
        <w:t>。</w:t>
      </w:r>
    </w:p>
    <w:p w14:paraId="396D932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b/>
          <w:color w:val="000000" w:themeColor="text1"/>
          <w:kern w:val="0"/>
          <w:sz w:val="24"/>
          <w:highlight w:val="none"/>
          <w:lang w:val="en-US" w:eastAsia="zh-CN"/>
          <w14:textFill>
            <w14:solidFill>
              <w14:schemeClr w14:val="tx1"/>
            </w14:solidFill>
          </w14:textFill>
        </w:rPr>
        <w:t>表3.1-</w:t>
      </w:r>
      <w:r>
        <w:rPr>
          <w:rFonts w:hint="eastAsia" w:cs="Times New Roman" w:eastAsiaTheme="minorEastAsia"/>
          <w:b/>
          <w:color w:val="000000" w:themeColor="text1"/>
          <w:kern w:val="0"/>
          <w:sz w:val="24"/>
          <w:highlight w:val="none"/>
          <w:lang w:val="en-US" w:eastAsia="zh-CN"/>
          <w14:textFill>
            <w14:solidFill>
              <w14:schemeClr w14:val="tx1"/>
            </w14:solidFill>
          </w14:textFill>
        </w:rPr>
        <w:t>5</w:t>
      </w:r>
      <w:r>
        <w:rPr>
          <w:rFonts w:hint="default" w:ascii="Times New Roman" w:hAnsi="Times New Roman" w:cs="Times New Roman" w:eastAsiaTheme="minorEastAsia"/>
          <w:b/>
          <w:color w:val="000000" w:themeColor="text1"/>
          <w:kern w:val="0"/>
          <w:sz w:val="24"/>
          <w:highlight w:val="none"/>
          <w:lang w:val="en-US" w:eastAsia="zh-CN"/>
          <w14:textFill>
            <w14:solidFill>
              <w14:schemeClr w14:val="tx1"/>
            </w14:solidFill>
          </w14:textFill>
        </w:rPr>
        <w:t xml:space="preserve">    本项目占用</w:t>
      </w:r>
      <w:r>
        <w:rPr>
          <w:rFonts w:hint="eastAsia" w:ascii="Times New Roman" w:hAnsi="Times New Roman" w:cs="Times New Roman" w:eastAsiaTheme="minorEastAsia"/>
          <w:b/>
          <w:color w:val="000000" w:themeColor="text1"/>
          <w:kern w:val="0"/>
          <w:sz w:val="24"/>
          <w:highlight w:val="none"/>
          <w:lang w:val="en-US" w:eastAsia="zh-CN"/>
          <w14:textFill>
            <w14:solidFill>
              <w14:schemeClr w14:val="tx1"/>
            </w14:solidFill>
          </w14:textFill>
        </w:rPr>
        <w:t>西山地下饮用水源地二级保护区</w:t>
      </w:r>
      <w:r>
        <w:rPr>
          <w:rFonts w:hint="default" w:ascii="Times New Roman" w:hAnsi="Times New Roman" w:cs="Times New Roman" w:eastAsiaTheme="minorEastAsia"/>
          <w:b/>
          <w:color w:val="000000" w:themeColor="text1"/>
          <w:kern w:val="0"/>
          <w:sz w:val="24"/>
          <w:highlight w:val="none"/>
          <w:lang w:val="en-US" w:eastAsia="zh-CN"/>
          <w14:textFill>
            <w14:solidFill>
              <w14:schemeClr w14:val="tx1"/>
            </w14:solidFill>
          </w14:textFill>
        </w:rPr>
        <w:t>情况汇总表     单位：m</w:t>
      </w:r>
      <w:r>
        <w:rPr>
          <w:rFonts w:hint="default" w:ascii="Times New Roman" w:hAnsi="Times New Roman" w:cs="Times New Roman" w:eastAsiaTheme="minorEastAsia"/>
          <w:b/>
          <w:color w:val="000000" w:themeColor="text1"/>
          <w:kern w:val="0"/>
          <w:sz w:val="24"/>
          <w:highlight w:val="none"/>
          <w:vertAlign w:val="superscript"/>
          <w:lang w:val="en-US" w:eastAsia="zh-CN"/>
          <w14:textFill>
            <w14:solidFill>
              <w14:schemeClr w14:val="tx1"/>
            </w14:solidFill>
          </w14:textFill>
        </w:rPr>
        <w:t>2</w:t>
      </w:r>
    </w:p>
    <w:tbl>
      <w:tblPr>
        <w:tblStyle w:val="75"/>
        <w:tblW w:w="8983"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15" w:type="dxa"/>
          <w:left w:w="15" w:type="dxa"/>
          <w:bottom w:w="15" w:type="dxa"/>
          <w:right w:w="15" w:type="dxa"/>
        </w:tblCellMar>
      </w:tblPr>
      <w:tblGrid>
        <w:gridCol w:w="608"/>
        <w:gridCol w:w="2216"/>
        <w:gridCol w:w="1754"/>
        <w:gridCol w:w="2505"/>
        <w:gridCol w:w="1900"/>
      </w:tblGrid>
      <w:tr w14:paraId="32ED103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40" w:hRule="atLeast"/>
          <w:tblHeader/>
          <w:jc w:val="center"/>
        </w:trPr>
        <w:tc>
          <w:tcPr>
            <w:tcW w:w="608" w:type="dxa"/>
            <w:vAlign w:val="center"/>
          </w:tcPr>
          <w:p w14:paraId="7BF3701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序号</w:t>
            </w:r>
          </w:p>
        </w:tc>
        <w:tc>
          <w:tcPr>
            <w:tcW w:w="2216" w:type="dxa"/>
            <w:vAlign w:val="center"/>
          </w:tcPr>
          <w:p w14:paraId="0C81453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项目</w:t>
            </w:r>
          </w:p>
        </w:tc>
        <w:tc>
          <w:tcPr>
            <w:tcW w:w="1754" w:type="dxa"/>
            <w:vAlign w:val="center"/>
          </w:tcPr>
          <w:p w14:paraId="50F82F9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永久性征用地</w:t>
            </w:r>
          </w:p>
        </w:tc>
        <w:tc>
          <w:tcPr>
            <w:tcW w:w="2505" w:type="dxa"/>
            <w:vAlign w:val="center"/>
          </w:tcPr>
          <w:p w14:paraId="1E1F057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临时性征用地</w:t>
            </w:r>
          </w:p>
        </w:tc>
        <w:tc>
          <w:tcPr>
            <w:tcW w:w="1900" w:type="dxa"/>
            <w:vAlign w:val="center"/>
          </w:tcPr>
          <w:p w14:paraId="0DE64C4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备注</w:t>
            </w:r>
          </w:p>
        </w:tc>
      </w:tr>
      <w:tr w14:paraId="5F33332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40" w:hRule="atLeast"/>
          <w:jc w:val="center"/>
        </w:trPr>
        <w:tc>
          <w:tcPr>
            <w:tcW w:w="8983" w:type="dxa"/>
            <w:gridSpan w:val="5"/>
            <w:vAlign w:val="center"/>
          </w:tcPr>
          <w:p w14:paraId="785FD88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H5、H6、H9风机</w:t>
            </w:r>
          </w:p>
        </w:tc>
      </w:tr>
      <w:tr w14:paraId="28FCB11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40" w:hRule="atLeast"/>
          <w:jc w:val="center"/>
        </w:trPr>
        <w:tc>
          <w:tcPr>
            <w:tcW w:w="608" w:type="dxa"/>
            <w:vAlign w:val="center"/>
          </w:tcPr>
          <w:p w14:paraId="1E0B3F4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1</w:t>
            </w:r>
          </w:p>
        </w:tc>
        <w:tc>
          <w:tcPr>
            <w:tcW w:w="2216" w:type="dxa"/>
            <w:vAlign w:val="center"/>
          </w:tcPr>
          <w:p w14:paraId="229712C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风机基础</w:t>
            </w:r>
          </w:p>
        </w:tc>
        <w:tc>
          <w:tcPr>
            <w:tcW w:w="1754" w:type="dxa"/>
            <w:vAlign w:val="center"/>
          </w:tcPr>
          <w:p w14:paraId="27E62EC3">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jc w:val="center"/>
              <w:textAlignment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1357</w:t>
            </w:r>
          </w:p>
        </w:tc>
        <w:tc>
          <w:tcPr>
            <w:tcW w:w="2505" w:type="dxa"/>
            <w:vAlign w:val="center"/>
          </w:tcPr>
          <w:p w14:paraId="635F760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w:t>
            </w:r>
          </w:p>
        </w:tc>
        <w:tc>
          <w:tcPr>
            <w:tcW w:w="1900" w:type="dxa"/>
            <w:vAlign w:val="center"/>
          </w:tcPr>
          <w:p w14:paraId="481FA224">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共</w:t>
            </w:r>
            <w:r>
              <w:rPr>
                <w:rFonts w:hint="eastAsia" w:cs="Times New Roman" w:eastAsiaTheme="minorEastAsia"/>
                <w:color w:val="000000" w:themeColor="text1"/>
                <w:sz w:val="21"/>
                <w:szCs w:val="21"/>
                <w:highlight w:val="none"/>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台风机</w:t>
            </w:r>
          </w:p>
        </w:tc>
      </w:tr>
      <w:tr w14:paraId="1CAB51B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40" w:hRule="atLeast"/>
          <w:jc w:val="center"/>
        </w:trPr>
        <w:tc>
          <w:tcPr>
            <w:tcW w:w="608" w:type="dxa"/>
            <w:vAlign w:val="center"/>
          </w:tcPr>
          <w:p w14:paraId="0E55219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w:t>
            </w:r>
          </w:p>
        </w:tc>
        <w:tc>
          <w:tcPr>
            <w:tcW w:w="2216" w:type="dxa"/>
            <w:vAlign w:val="center"/>
          </w:tcPr>
          <w:p w14:paraId="5F8F6DC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箱变基础</w:t>
            </w:r>
          </w:p>
        </w:tc>
        <w:tc>
          <w:tcPr>
            <w:tcW w:w="1754" w:type="dxa"/>
            <w:vAlign w:val="center"/>
          </w:tcPr>
          <w:p w14:paraId="3E900A03">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jc w:val="center"/>
              <w:textAlignment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240</w:t>
            </w:r>
          </w:p>
        </w:tc>
        <w:tc>
          <w:tcPr>
            <w:tcW w:w="2505" w:type="dxa"/>
            <w:vAlign w:val="center"/>
          </w:tcPr>
          <w:p w14:paraId="55A42CD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w:t>
            </w:r>
          </w:p>
        </w:tc>
        <w:tc>
          <w:tcPr>
            <w:tcW w:w="1900" w:type="dxa"/>
            <w:vAlign w:val="center"/>
          </w:tcPr>
          <w:p w14:paraId="008826AD">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共</w:t>
            </w:r>
            <w:r>
              <w:rPr>
                <w:rFonts w:hint="eastAsia" w:cs="Times New Roman" w:eastAsiaTheme="minorEastAsia"/>
                <w:color w:val="000000" w:themeColor="text1"/>
                <w:sz w:val="21"/>
                <w:szCs w:val="21"/>
                <w:highlight w:val="none"/>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个箱变</w:t>
            </w:r>
          </w:p>
        </w:tc>
      </w:tr>
      <w:tr w14:paraId="2844FBE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40" w:hRule="atLeast"/>
          <w:jc w:val="center"/>
        </w:trPr>
        <w:tc>
          <w:tcPr>
            <w:tcW w:w="608" w:type="dxa"/>
            <w:vAlign w:val="center"/>
          </w:tcPr>
          <w:p w14:paraId="0C3306E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3</w:t>
            </w:r>
          </w:p>
        </w:tc>
        <w:tc>
          <w:tcPr>
            <w:tcW w:w="2216" w:type="dxa"/>
            <w:vAlign w:val="center"/>
          </w:tcPr>
          <w:p w14:paraId="0066C40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风机安装场地</w:t>
            </w:r>
          </w:p>
        </w:tc>
        <w:tc>
          <w:tcPr>
            <w:tcW w:w="1754" w:type="dxa"/>
            <w:tcBorders>
              <w:right w:val="single" w:color="auto" w:sz="4" w:space="0"/>
            </w:tcBorders>
            <w:vAlign w:val="center"/>
          </w:tcPr>
          <w:p w14:paraId="4802508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w:t>
            </w:r>
          </w:p>
        </w:tc>
        <w:tc>
          <w:tcPr>
            <w:tcW w:w="2505" w:type="dxa"/>
            <w:vAlign w:val="center"/>
          </w:tcPr>
          <w:p w14:paraId="468C3834">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9300</w:t>
            </w:r>
          </w:p>
        </w:tc>
        <w:tc>
          <w:tcPr>
            <w:tcW w:w="1900" w:type="dxa"/>
            <w:vAlign w:val="center"/>
          </w:tcPr>
          <w:p w14:paraId="1C0D7FFD">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共</w:t>
            </w:r>
            <w:r>
              <w:rPr>
                <w:rFonts w:hint="eastAsia" w:cs="Times New Roman" w:eastAsiaTheme="minorEastAsia"/>
                <w:color w:val="000000" w:themeColor="text1"/>
                <w:sz w:val="21"/>
                <w:szCs w:val="21"/>
                <w:highlight w:val="none"/>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个安装场地</w:t>
            </w:r>
          </w:p>
        </w:tc>
      </w:tr>
      <w:tr w14:paraId="263E7F8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40" w:hRule="atLeast"/>
          <w:jc w:val="center"/>
        </w:trPr>
        <w:tc>
          <w:tcPr>
            <w:tcW w:w="608" w:type="dxa"/>
            <w:shd w:val="clear" w:color="auto" w:fill="auto"/>
            <w:vAlign w:val="center"/>
          </w:tcPr>
          <w:p w14:paraId="5B0CEC7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4</w:t>
            </w:r>
          </w:p>
        </w:tc>
        <w:tc>
          <w:tcPr>
            <w:tcW w:w="2216" w:type="dxa"/>
            <w:vAlign w:val="top"/>
          </w:tcPr>
          <w:p w14:paraId="1E842D0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集电线路</w:t>
            </w:r>
          </w:p>
        </w:tc>
        <w:tc>
          <w:tcPr>
            <w:tcW w:w="1754" w:type="dxa"/>
            <w:tcBorders>
              <w:right w:val="single" w:color="auto" w:sz="4" w:space="0"/>
            </w:tcBorders>
            <w:vAlign w:val="center"/>
          </w:tcPr>
          <w:p w14:paraId="7FA088F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30</w:t>
            </w:r>
          </w:p>
        </w:tc>
        <w:tc>
          <w:tcPr>
            <w:tcW w:w="2505" w:type="dxa"/>
            <w:vAlign w:val="center"/>
          </w:tcPr>
          <w:p w14:paraId="7565850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w:t>
            </w:r>
          </w:p>
        </w:tc>
        <w:tc>
          <w:tcPr>
            <w:tcW w:w="1900" w:type="dxa"/>
            <w:vAlign w:val="center"/>
          </w:tcPr>
          <w:p w14:paraId="7F73A53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杆塔</w:t>
            </w:r>
            <w:r>
              <w:rPr>
                <w:rFonts w:hint="eastAsia" w:cs="Times New Roman" w:eastAsiaTheme="minorEastAsia"/>
                <w:color w:val="000000" w:themeColor="text1"/>
                <w:sz w:val="21"/>
                <w:szCs w:val="21"/>
                <w:highlight w:val="none"/>
                <w:lang w:val="en-US" w:eastAsia="zh-CN"/>
                <w14:textFill>
                  <w14:solidFill>
                    <w14:schemeClr w14:val="tx1"/>
                  </w14:solidFill>
                </w14:textFill>
              </w:rPr>
              <w:t>共计3基</w:t>
            </w:r>
          </w:p>
        </w:tc>
      </w:tr>
      <w:tr w14:paraId="3C83D47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40" w:hRule="atLeast"/>
          <w:jc w:val="center"/>
        </w:trPr>
        <w:tc>
          <w:tcPr>
            <w:tcW w:w="608" w:type="dxa"/>
            <w:shd w:val="clear" w:color="auto" w:fill="auto"/>
            <w:vAlign w:val="center"/>
          </w:tcPr>
          <w:p w14:paraId="5F8DC21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5</w:t>
            </w:r>
          </w:p>
        </w:tc>
        <w:tc>
          <w:tcPr>
            <w:tcW w:w="2216" w:type="dxa"/>
            <w:vAlign w:val="top"/>
          </w:tcPr>
          <w:p w14:paraId="0942502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临时施工道路</w:t>
            </w:r>
          </w:p>
        </w:tc>
        <w:tc>
          <w:tcPr>
            <w:tcW w:w="1754" w:type="dxa"/>
            <w:tcBorders>
              <w:right w:val="single" w:color="auto" w:sz="4" w:space="0"/>
            </w:tcBorders>
            <w:vAlign w:val="center"/>
          </w:tcPr>
          <w:p w14:paraId="3F0E57A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8010</w:t>
            </w:r>
          </w:p>
        </w:tc>
        <w:tc>
          <w:tcPr>
            <w:tcW w:w="2505" w:type="dxa"/>
            <w:vAlign w:val="center"/>
          </w:tcPr>
          <w:p w14:paraId="16E0F0D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4450</w:t>
            </w:r>
          </w:p>
        </w:tc>
        <w:tc>
          <w:tcPr>
            <w:tcW w:w="1900" w:type="dxa"/>
            <w:vAlign w:val="center"/>
          </w:tcPr>
          <w:p w14:paraId="0D19610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约1.78km，</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后期留作检修道路</w:t>
            </w:r>
          </w:p>
        </w:tc>
      </w:tr>
      <w:tr w14:paraId="49F932B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40" w:hRule="atLeast"/>
          <w:jc w:val="center"/>
        </w:trPr>
        <w:tc>
          <w:tcPr>
            <w:tcW w:w="2824" w:type="dxa"/>
            <w:gridSpan w:val="2"/>
            <w:vAlign w:val="center"/>
          </w:tcPr>
          <w:p w14:paraId="7876D704">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小计</w:t>
            </w:r>
          </w:p>
        </w:tc>
        <w:tc>
          <w:tcPr>
            <w:tcW w:w="1754" w:type="dxa"/>
            <w:tcBorders>
              <w:right w:val="single" w:color="auto" w:sz="4" w:space="0"/>
            </w:tcBorders>
            <w:vAlign w:val="center"/>
          </w:tcPr>
          <w:p w14:paraId="612FB5D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9637</w:t>
            </w:r>
          </w:p>
        </w:tc>
        <w:tc>
          <w:tcPr>
            <w:tcW w:w="2505" w:type="dxa"/>
            <w:vAlign w:val="center"/>
          </w:tcPr>
          <w:p w14:paraId="6D55287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13750</w:t>
            </w:r>
          </w:p>
        </w:tc>
        <w:tc>
          <w:tcPr>
            <w:tcW w:w="1900" w:type="dxa"/>
            <w:vAlign w:val="center"/>
          </w:tcPr>
          <w:p w14:paraId="597265B0">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r>
      <w:tr w14:paraId="0AE792D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40" w:hRule="atLeast"/>
          <w:jc w:val="center"/>
        </w:trPr>
        <w:tc>
          <w:tcPr>
            <w:tcW w:w="2824" w:type="dxa"/>
            <w:gridSpan w:val="2"/>
            <w:vAlign w:val="center"/>
          </w:tcPr>
          <w:p w14:paraId="15C5C103">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合计</w:t>
            </w:r>
          </w:p>
        </w:tc>
        <w:tc>
          <w:tcPr>
            <w:tcW w:w="4259" w:type="dxa"/>
            <w:gridSpan w:val="2"/>
            <w:vAlign w:val="center"/>
          </w:tcPr>
          <w:p w14:paraId="0F6C686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23387</w:t>
            </w:r>
          </w:p>
        </w:tc>
        <w:tc>
          <w:tcPr>
            <w:tcW w:w="1900" w:type="dxa"/>
            <w:vAlign w:val="center"/>
          </w:tcPr>
          <w:p w14:paraId="4BD4D7D6">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r>
    </w:tbl>
    <w:p w14:paraId="2105FACB">
      <w:pPr>
        <w:keepNext w:val="0"/>
        <w:keepLines w:val="0"/>
        <w:pageBreakBefore w:val="0"/>
        <w:widowControl w:val="0"/>
        <w:numPr>
          <w:ilvl w:val="0"/>
          <w:numId w:val="0"/>
        </w:numPr>
        <w:tabs>
          <w:tab w:val="left" w:pos="1260"/>
        </w:tabs>
        <w:kinsoku/>
        <w:wordWrap/>
        <w:overflowPunct/>
        <w:topLinePunct w:val="0"/>
        <w:autoSpaceDE/>
        <w:autoSpaceDN/>
        <w:bidi w:val="0"/>
        <w:adjustRightInd/>
        <w:snapToGrid/>
        <w:spacing w:line="360" w:lineRule="auto"/>
        <w:ind w:left="0" w:leftChars="0" w:firstLine="480" w:firstLineChars="200"/>
        <w:textAlignment w:val="auto"/>
        <w:outlineLvl w:val="9"/>
        <w:rPr>
          <w:rFonts w:hint="default" w:ascii="Times New Roman" w:hAnsi="Times New Roman" w:cs="Times New Roman" w:eastAsiaTheme="minorEastAsia"/>
          <w:snapToGrid w:val="0"/>
          <w:color w:val="FF0000"/>
          <w:sz w:val="24"/>
          <w:highlight w:val="none"/>
          <w:lang w:val="en-US" w:eastAsia="zh-CN"/>
        </w:rPr>
      </w:pPr>
    </w:p>
    <w:p w14:paraId="64AB7097">
      <w:pPr>
        <w:pStyle w:val="7"/>
        <w:rPr>
          <w:rFonts w:hint="default" w:ascii="Times New Roman" w:hAnsi="Times New Roman" w:cs="Times New Roman" w:eastAsiaTheme="minorEastAsia"/>
          <w:color w:val="000000" w:themeColor="text1"/>
          <w:kern w:val="2"/>
          <w:sz w:val="24"/>
          <w:szCs w:val="20"/>
          <w:highlight w:val="cyan"/>
          <w:lang w:val="en-US" w:eastAsia="zh-CN" w:bidi="ar-SA"/>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2）占用</w:t>
      </w:r>
      <w:r>
        <w:rPr>
          <w:rFonts w:hint="eastAsia" w:ascii="宋体" w:hAnsi="宋体" w:eastAsia="宋体"/>
          <w:color w:val="000000" w:themeColor="text1"/>
          <w:sz w:val="24"/>
          <w:highlight w:val="none"/>
          <w14:textFill>
            <w14:solidFill>
              <w14:schemeClr w14:val="tx1"/>
            </w14:solidFill>
          </w14:textFill>
        </w:rPr>
        <w:t>甘河子（含铁路专供）</w:t>
      </w:r>
      <w:r>
        <w:rPr>
          <w:rFonts w:hint="eastAsia" w:ascii="宋体" w:hAnsi="宋体" w:eastAsia="宋体"/>
          <w:color w:val="000000" w:themeColor="text1"/>
          <w:sz w:val="24"/>
          <w:highlight w:val="none"/>
          <w:lang w:val="en-US" w:eastAsia="zh-CN"/>
          <w14:textFill>
            <w14:solidFill>
              <w14:schemeClr w14:val="tx1"/>
            </w14:solidFill>
          </w14:textFill>
        </w:rPr>
        <w:t>地下饮用</w:t>
      </w:r>
      <w:r>
        <w:rPr>
          <w:rFonts w:hint="eastAsia" w:ascii="宋体" w:hAnsi="宋体" w:eastAsia="宋体"/>
          <w:color w:val="000000" w:themeColor="text1"/>
          <w:sz w:val="24"/>
          <w:highlight w:val="none"/>
          <w14:textFill>
            <w14:solidFill>
              <w14:schemeClr w14:val="tx1"/>
            </w14:solidFill>
          </w14:textFill>
        </w:rPr>
        <w:t>水源地</w:t>
      </w:r>
      <w:r>
        <w:rPr>
          <w:rFonts w:hint="eastAsia" w:ascii="宋体" w:hAnsi="宋体" w:eastAsia="宋体"/>
          <w:color w:val="000000" w:themeColor="text1"/>
          <w:sz w:val="24"/>
          <w:highlight w:val="none"/>
          <w:lang w:val="en-US" w:eastAsia="zh-CN"/>
          <w14:textFill>
            <w14:solidFill>
              <w14:schemeClr w14:val="tx1"/>
            </w14:solidFill>
          </w14:textFill>
        </w:rPr>
        <w:t>二级保护区</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情况</w:t>
      </w:r>
    </w:p>
    <w:p w14:paraId="3C09E96D">
      <w:pPr>
        <w:keepNext w:val="0"/>
        <w:keepLines w:val="0"/>
        <w:pageBreakBefore w:val="0"/>
        <w:widowControl w:val="0"/>
        <w:numPr>
          <w:ilvl w:val="0"/>
          <w:numId w:val="0"/>
        </w:numPr>
        <w:tabs>
          <w:tab w:val="left" w:pos="1260"/>
        </w:tabs>
        <w:kinsoku/>
        <w:wordWrap/>
        <w:overflowPunct/>
        <w:topLinePunct w:val="0"/>
        <w:autoSpaceDE/>
        <w:autoSpaceDN/>
        <w:bidi w:val="0"/>
        <w:adjustRightInd/>
        <w:snapToGrid/>
        <w:spacing w:line="360" w:lineRule="auto"/>
        <w:ind w:left="0" w:leftChars="0" w:firstLine="480" w:firstLineChars="200"/>
        <w:textAlignment w:val="auto"/>
        <w:outlineLvl w:val="9"/>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0"/>
          <w:highlight w:val="none"/>
          <w:lang w:val="en-US" w:eastAsia="zh-CN" w:bidi="ar-SA"/>
          <w14:textFill>
            <w14:solidFill>
              <w14:schemeClr w14:val="tx1"/>
            </w14:solidFill>
          </w14:textFill>
        </w:rPr>
        <w:t>①永久占地：风电场区</w:t>
      </w:r>
      <w:r>
        <w:rPr>
          <w:rFonts w:hint="eastAsia" w:ascii="Times New Roman" w:hAnsi="Times New Roman" w:cs="Times New Roman" w:eastAsiaTheme="minorEastAsia"/>
          <w:color w:val="000000" w:themeColor="text1"/>
          <w:kern w:val="2"/>
          <w:sz w:val="24"/>
          <w:szCs w:val="20"/>
          <w:highlight w:val="none"/>
          <w:lang w:val="en-US" w:eastAsia="zh-CN" w:bidi="ar-SA"/>
          <w14:textFill>
            <w14:solidFill>
              <w14:schemeClr w14:val="tx1"/>
            </w14:solidFill>
          </w14:textFill>
        </w:rPr>
        <w:t>3</w:t>
      </w:r>
      <w:r>
        <w:rPr>
          <w:rFonts w:hint="default" w:ascii="Times New Roman" w:hAnsi="Times New Roman" w:cs="Times New Roman" w:eastAsiaTheme="minorEastAsia"/>
          <w:color w:val="000000" w:themeColor="text1"/>
          <w:kern w:val="2"/>
          <w:sz w:val="24"/>
          <w:szCs w:val="20"/>
          <w:highlight w:val="none"/>
          <w:lang w:val="en-US" w:eastAsia="zh-CN" w:bidi="ar-SA"/>
          <w14:textFill>
            <w14:solidFill>
              <w14:schemeClr w14:val="tx1"/>
            </w14:solidFill>
          </w14:textFill>
        </w:rPr>
        <w:t>台风机及箱变、部分集电线路杆塔</w:t>
      </w:r>
      <w:r>
        <w:rPr>
          <w:rFonts w:hint="eastAsia" w:ascii="Times New Roman" w:hAnsi="Times New Roman" w:cs="Times New Roman" w:eastAsiaTheme="minorEastAsia"/>
          <w:color w:val="000000" w:themeColor="text1"/>
          <w:kern w:val="2"/>
          <w:sz w:val="24"/>
          <w:szCs w:val="20"/>
          <w:highlight w:val="none"/>
          <w:lang w:val="en-US" w:eastAsia="zh-CN" w:bidi="ar-SA"/>
          <w14:textFill>
            <w14:solidFill>
              <w14:schemeClr w14:val="tx1"/>
            </w14:solidFill>
          </w14:textFill>
        </w:rPr>
        <w:t>、检修道路</w:t>
      </w:r>
      <w:r>
        <w:rPr>
          <w:rFonts w:hint="default" w:ascii="Times New Roman" w:hAnsi="Times New Roman" w:cs="Times New Roman" w:eastAsiaTheme="minorEastAsia"/>
          <w:color w:val="000000" w:themeColor="text1"/>
          <w:kern w:val="2"/>
          <w:sz w:val="24"/>
          <w:szCs w:val="20"/>
          <w:highlight w:val="none"/>
          <w:lang w:val="en-US" w:eastAsia="zh-CN" w:bidi="ar-SA"/>
          <w14:textFill>
            <w14:solidFill>
              <w14:schemeClr w14:val="tx1"/>
            </w14:solidFill>
          </w14:textFill>
        </w:rPr>
        <w:t>等永久占地占用</w:t>
      </w:r>
      <w:r>
        <w:rPr>
          <w:rFonts w:hint="eastAsia" w:ascii="宋体" w:hAnsi="宋体" w:eastAsia="宋体"/>
          <w:color w:val="000000" w:themeColor="text1"/>
          <w:sz w:val="24"/>
          <w:highlight w:val="none"/>
          <w14:textFill>
            <w14:solidFill>
              <w14:schemeClr w14:val="tx1"/>
            </w14:solidFill>
          </w14:textFill>
        </w:rPr>
        <w:t>甘河子（含铁路专供）</w:t>
      </w:r>
      <w:r>
        <w:rPr>
          <w:rFonts w:hint="eastAsia" w:ascii="宋体" w:hAnsi="宋体" w:eastAsia="宋体"/>
          <w:color w:val="000000" w:themeColor="text1"/>
          <w:sz w:val="24"/>
          <w:highlight w:val="none"/>
          <w:lang w:val="en-US" w:eastAsia="zh-CN"/>
          <w14:textFill>
            <w14:solidFill>
              <w14:schemeClr w14:val="tx1"/>
            </w14:solidFill>
          </w14:textFill>
        </w:rPr>
        <w:t>地下饮用</w:t>
      </w:r>
      <w:r>
        <w:rPr>
          <w:rFonts w:hint="eastAsia" w:ascii="宋体" w:hAnsi="宋体" w:eastAsia="宋体"/>
          <w:color w:val="000000" w:themeColor="text1"/>
          <w:sz w:val="24"/>
          <w:highlight w:val="none"/>
          <w14:textFill>
            <w14:solidFill>
              <w14:schemeClr w14:val="tx1"/>
            </w14:solidFill>
          </w14:textFill>
        </w:rPr>
        <w:t>水源地</w:t>
      </w:r>
      <w:r>
        <w:rPr>
          <w:rFonts w:hint="eastAsia" w:ascii="宋体" w:hAnsi="宋体" w:eastAsia="宋体"/>
          <w:color w:val="000000" w:themeColor="text1"/>
          <w:sz w:val="24"/>
          <w:highlight w:val="none"/>
          <w:lang w:val="en-US" w:eastAsia="zh-CN"/>
          <w14:textFill>
            <w14:solidFill>
              <w14:schemeClr w14:val="tx1"/>
            </w14:solidFill>
          </w14:textFill>
        </w:rPr>
        <w:t>二级保护区</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w:t>
      </w:r>
    </w:p>
    <w:p w14:paraId="1A5E7539">
      <w:pPr>
        <w:keepNext w:val="0"/>
        <w:keepLines w:val="0"/>
        <w:pageBreakBefore w:val="0"/>
        <w:widowControl w:val="0"/>
        <w:numPr>
          <w:ilvl w:val="0"/>
          <w:numId w:val="0"/>
        </w:numPr>
        <w:tabs>
          <w:tab w:val="left" w:pos="1260"/>
        </w:tabs>
        <w:kinsoku/>
        <w:wordWrap/>
        <w:overflowPunct/>
        <w:topLinePunct w:val="0"/>
        <w:autoSpaceDE/>
        <w:autoSpaceDN/>
        <w:bidi w:val="0"/>
        <w:adjustRightInd/>
        <w:snapToGrid/>
        <w:spacing w:line="360" w:lineRule="auto"/>
        <w:ind w:left="0" w:leftChars="0" w:firstLine="480" w:firstLineChars="200"/>
        <w:textAlignment w:val="auto"/>
        <w:outlineLvl w:val="9"/>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②临时占地：</w:t>
      </w:r>
      <w:r>
        <w:rPr>
          <w:rFonts w:hint="default" w:ascii="Times New Roman" w:hAnsi="Times New Roman" w:cs="Times New Roman" w:eastAsiaTheme="minorEastAsia"/>
          <w:color w:val="000000" w:themeColor="text1"/>
          <w:kern w:val="2"/>
          <w:sz w:val="24"/>
          <w:szCs w:val="20"/>
          <w:highlight w:val="none"/>
          <w:lang w:val="en-US" w:eastAsia="zh-CN" w:bidi="ar-SA"/>
          <w14:textFill>
            <w14:solidFill>
              <w14:schemeClr w14:val="tx1"/>
            </w14:solidFill>
          </w14:textFill>
        </w:rPr>
        <w:t>场区</w:t>
      </w:r>
      <w:r>
        <w:rPr>
          <w:rFonts w:hint="eastAsia" w:cs="Times New Roman" w:eastAsiaTheme="minorEastAsia"/>
          <w:color w:val="000000" w:themeColor="text1"/>
          <w:kern w:val="2"/>
          <w:sz w:val="24"/>
          <w:szCs w:val="20"/>
          <w:highlight w:val="none"/>
          <w:lang w:val="en-US" w:eastAsia="zh-CN" w:bidi="ar-SA"/>
          <w14:textFill>
            <w14:solidFill>
              <w14:schemeClr w14:val="tx1"/>
            </w14:solidFill>
          </w14:textFill>
        </w:rPr>
        <w:t>3</w:t>
      </w:r>
      <w:r>
        <w:rPr>
          <w:rFonts w:hint="default" w:ascii="Times New Roman" w:hAnsi="Times New Roman" w:cs="Times New Roman" w:eastAsiaTheme="minorEastAsia"/>
          <w:color w:val="000000" w:themeColor="text1"/>
          <w:kern w:val="2"/>
          <w:sz w:val="24"/>
          <w:szCs w:val="20"/>
          <w:highlight w:val="none"/>
          <w:lang w:val="en-US" w:eastAsia="zh-CN" w:bidi="ar-SA"/>
          <w14:textFill>
            <w14:solidFill>
              <w14:schemeClr w14:val="tx1"/>
            </w14:solidFill>
          </w14:textFill>
        </w:rPr>
        <w:t>台风机吊装平台及部分临时施工道路临时占地占用</w:t>
      </w:r>
      <w:r>
        <w:rPr>
          <w:rFonts w:hint="eastAsia" w:ascii="宋体" w:hAnsi="宋体" w:eastAsia="宋体"/>
          <w:color w:val="000000" w:themeColor="text1"/>
          <w:sz w:val="24"/>
          <w:highlight w:val="none"/>
          <w14:textFill>
            <w14:solidFill>
              <w14:schemeClr w14:val="tx1"/>
            </w14:solidFill>
          </w14:textFill>
        </w:rPr>
        <w:t>甘河子（含铁路专供）</w:t>
      </w:r>
      <w:r>
        <w:rPr>
          <w:rFonts w:hint="eastAsia" w:ascii="宋体" w:hAnsi="宋体" w:eastAsia="宋体"/>
          <w:color w:val="000000" w:themeColor="text1"/>
          <w:sz w:val="24"/>
          <w:highlight w:val="none"/>
          <w:lang w:val="en-US" w:eastAsia="zh-CN"/>
          <w14:textFill>
            <w14:solidFill>
              <w14:schemeClr w14:val="tx1"/>
            </w14:solidFill>
          </w14:textFill>
        </w:rPr>
        <w:t>地下饮用</w:t>
      </w:r>
      <w:r>
        <w:rPr>
          <w:rFonts w:hint="eastAsia" w:ascii="宋体" w:hAnsi="宋体" w:eastAsia="宋体"/>
          <w:color w:val="000000" w:themeColor="text1"/>
          <w:sz w:val="24"/>
          <w:highlight w:val="none"/>
          <w14:textFill>
            <w14:solidFill>
              <w14:schemeClr w14:val="tx1"/>
            </w14:solidFill>
          </w14:textFill>
        </w:rPr>
        <w:t>水源地</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w:t>
      </w:r>
    </w:p>
    <w:p w14:paraId="58D1BCD1">
      <w:pPr>
        <w:keepNext w:val="0"/>
        <w:keepLines w:val="0"/>
        <w:pageBreakBefore w:val="0"/>
        <w:widowControl w:val="0"/>
        <w:numPr>
          <w:ilvl w:val="0"/>
          <w:numId w:val="0"/>
        </w:numPr>
        <w:tabs>
          <w:tab w:val="left" w:pos="1260"/>
        </w:tabs>
        <w:kinsoku/>
        <w:wordWrap/>
        <w:overflowPunct/>
        <w:topLinePunct w:val="0"/>
        <w:autoSpaceDE/>
        <w:autoSpaceDN/>
        <w:bidi w:val="0"/>
        <w:adjustRightInd/>
        <w:snapToGrid/>
        <w:spacing w:line="360" w:lineRule="auto"/>
        <w:ind w:left="0" w:leftChars="0" w:firstLine="480" w:firstLineChars="200"/>
        <w:textAlignment w:val="auto"/>
        <w:outlineLvl w:val="9"/>
        <w:rPr>
          <w:rFonts w:hint="default" w:ascii="Times New Roman" w:hAnsi="Times New Roman" w:cs="Times New Roman" w:eastAsiaTheme="minorEastAsia"/>
          <w:color w:val="000000" w:themeColor="text1"/>
          <w:kern w:val="0"/>
          <w:sz w:val="24"/>
          <w:szCs w:val="20"/>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4"/>
          <w:szCs w:val="20"/>
          <w:highlight w:val="none"/>
          <w:lang w:val="en-US" w:eastAsia="zh-CN" w:bidi="ar-SA"/>
          <w14:textFill>
            <w14:solidFill>
              <w14:schemeClr w14:val="tx1"/>
            </w14:solidFill>
          </w14:textFill>
        </w:rPr>
        <w:t>本项目占用</w:t>
      </w:r>
      <w:r>
        <w:rPr>
          <w:rFonts w:hint="eastAsia" w:ascii="宋体" w:hAnsi="宋体" w:eastAsia="宋体"/>
          <w:color w:val="000000" w:themeColor="text1"/>
          <w:sz w:val="24"/>
          <w:highlight w:val="none"/>
          <w14:textFill>
            <w14:solidFill>
              <w14:schemeClr w14:val="tx1"/>
            </w14:solidFill>
          </w14:textFill>
        </w:rPr>
        <w:t>甘河子（含铁路专供）</w:t>
      </w:r>
      <w:r>
        <w:rPr>
          <w:rFonts w:hint="eastAsia" w:ascii="宋体" w:hAnsi="宋体" w:eastAsia="宋体"/>
          <w:color w:val="000000" w:themeColor="text1"/>
          <w:sz w:val="24"/>
          <w:highlight w:val="none"/>
          <w:lang w:val="en-US" w:eastAsia="zh-CN"/>
          <w14:textFill>
            <w14:solidFill>
              <w14:schemeClr w14:val="tx1"/>
            </w14:solidFill>
          </w14:textFill>
        </w:rPr>
        <w:t>地下饮用</w:t>
      </w:r>
      <w:r>
        <w:rPr>
          <w:rFonts w:hint="eastAsia" w:ascii="宋体" w:hAnsi="宋体" w:eastAsia="宋体"/>
          <w:color w:val="000000" w:themeColor="text1"/>
          <w:sz w:val="24"/>
          <w:highlight w:val="none"/>
          <w14:textFill>
            <w14:solidFill>
              <w14:schemeClr w14:val="tx1"/>
            </w14:solidFill>
          </w14:textFill>
        </w:rPr>
        <w:t>水源地</w:t>
      </w:r>
      <w:r>
        <w:rPr>
          <w:rFonts w:hint="eastAsia" w:ascii="宋体" w:hAnsi="宋体" w:eastAsia="宋体"/>
          <w:color w:val="000000" w:themeColor="text1"/>
          <w:sz w:val="24"/>
          <w:highlight w:val="none"/>
          <w:lang w:val="en-US" w:eastAsia="zh-CN"/>
          <w14:textFill>
            <w14:solidFill>
              <w14:schemeClr w14:val="tx1"/>
            </w14:solidFill>
          </w14:textFill>
        </w:rPr>
        <w:t>二级保护区</w:t>
      </w:r>
      <w:r>
        <w:rPr>
          <w:rFonts w:hint="default" w:ascii="Times New Roman" w:hAnsi="Times New Roman" w:cs="Times New Roman" w:eastAsiaTheme="minorEastAsia"/>
          <w:color w:val="000000" w:themeColor="text1"/>
          <w:kern w:val="2"/>
          <w:sz w:val="24"/>
          <w:szCs w:val="20"/>
          <w:highlight w:val="none"/>
          <w:lang w:val="en-US" w:eastAsia="zh-CN" w:bidi="ar-SA"/>
          <w14:textFill>
            <w14:solidFill>
              <w14:schemeClr w14:val="tx1"/>
            </w14:solidFill>
          </w14:textFill>
        </w:rPr>
        <w:t>面积</w:t>
      </w:r>
      <w:r>
        <w:rPr>
          <w:rFonts w:hint="eastAsia" w:cs="Times New Roman" w:eastAsiaTheme="minorEastAsia"/>
          <w:color w:val="000000" w:themeColor="text1"/>
          <w:kern w:val="2"/>
          <w:sz w:val="24"/>
          <w:szCs w:val="20"/>
          <w:highlight w:val="none"/>
          <w:lang w:val="en-US" w:eastAsia="zh-CN" w:bidi="ar-SA"/>
          <w14:textFill>
            <w14:solidFill>
              <w14:schemeClr w14:val="tx1"/>
            </w14:solidFill>
          </w14:textFill>
        </w:rPr>
        <w:t>31557</w:t>
      </w:r>
      <w:r>
        <w:rPr>
          <w:rFonts w:hint="default" w:ascii="Times New Roman" w:hAnsi="Times New Roman" w:cs="Times New Roman" w:eastAsiaTheme="minorEastAsia"/>
          <w:color w:val="000000" w:themeColor="text1"/>
          <w:kern w:val="2"/>
          <w:sz w:val="24"/>
          <w:szCs w:val="20"/>
          <w:highlight w:val="none"/>
          <w:lang w:val="en-US" w:eastAsia="zh-CN" w:bidi="ar-SA"/>
          <w14:textFill>
            <w14:solidFill>
              <w14:schemeClr w14:val="tx1"/>
            </w14:solidFill>
          </w14:textFill>
        </w:rPr>
        <w:t>m</w:t>
      </w:r>
      <w:r>
        <w:rPr>
          <w:rFonts w:hint="default" w:ascii="Times New Roman" w:hAnsi="Times New Roman" w:cs="Times New Roman" w:eastAsiaTheme="minorEastAsia"/>
          <w:color w:val="000000" w:themeColor="text1"/>
          <w:kern w:val="2"/>
          <w:sz w:val="24"/>
          <w:szCs w:val="20"/>
          <w:highlight w:val="none"/>
          <w:vertAlign w:val="superscript"/>
          <w:lang w:val="en-US" w:eastAsia="zh-CN" w:bidi="ar-SA"/>
          <w14:textFill>
            <w14:solidFill>
              <w14:schemeClr w14:val="tx1"/>
            </w14:solidFill>
          </w14:textFill>
        </w:rPr>
        <w:t>2</w:t>
      </w:r>
      <w:r>
        <w:rPr>
          <w:rFonts w:hint="default" w:ascii="Times New Roman" w:hAnsi="Times New Roman" w:cs="Times New Roman" w:eastAsiaTheme="minorEastAsia"/>
          <w:color w:val="000000" w:themeColor="text1"/>
          <w:kern w:val="2"/>
          <w:sz w:val="24"/>
          <w:szCs w:val="20"/>
          <w:highlight w:val="none"/>
          <w:lang w:val="en-US" w:eastAsia="zh-CN" w:bidi="ar-SA"/>
          <w14:textFill>
            <w14:solidFill>
              <w14:schemeClr w14:val="tx1"/>
            </w14:solidFill>
          </w14:textFill>
        </w:rPr>
        <w:t>，其中</w:t>
      </w:r>
      <w:r>
        <w:rPr>
          <w:rFonts w:hint="default" w:ascii="Times New Roman" w:hAnsi="Times New Roman" w:cs="Times New Roman" w:eastAsiaTheme="minorEastAsia"/>
          <w:color w:val="000000" w:themeColor="text1"/>
          <w:kern w:val="0"/>
          <w:sz w:val="24"/>
          <w:szCs w:val="20"/>
          <w:highlight w:val="none"/>
          <w:lang w:val="en-US" w:eastAsia="zh-CN" w:bidi="ar-SA"/>
          <w14:textFill>
            <w14:solidFill>
              <w14:schemeClr w14:val="tx1"/>
            </w14:solidFill>
          </w14:textFill>
        </w:rPr>
        <w:t>永久占地面积约</w:t>
      </w:r>
      <w:r>
        <w:rPr>
          <w:rFonts w:hint="eastAsia" w:cs="Times New Roman" w:eastAsiaTheme="minorEastAsia"/>
          <w:color w:val="000000" w:themeColor="text1"/>
          <w:kern w:val="0"/>
          <w:sz w:val="24"/>
          <w:szCs w:val="20"/>
          <w:highlight w:val="none"/>
          <w:lang w:val="en-US" w:eastAsia="zh-CN" w:bidi="ar-SA"/>
          <w14:textFill>
            <w14:solidFill>
              <w14:schemeClr w14:val="tx1"/>
            </w14:solidFill>
          </w14:textFill>
        </w:rPr>
        <w:t>14932</w:t>
      </w:r>
      <w:r>
        <w:rPr>
          <w:rFonts w:hint="default" w:ascii="Times New Roman" w:hAnsi="Times New Roman" w:cs="Times New Roman" w:eastAsiaTheme="minorEastAsia"/>
          <w:color w:val="000000" w:themeColor="text1"/>
          <w:kern w:val="0"/>
          <w:sz w:val="24"/>
          <w:szCs w:val="20"/>
          <w:highlight w:val="none"/>
          <w:lang w:val="en-US" w:eastAsia="zh-CN" w:bidi="ar-SA"/>
          <w14:textFill>
            <w14:solidFill>
              <w14:schemeClr w14:val="tx1"/>
            </w14:solidFill>
          </w14:textFill>
        </w:rPr>
        <w:t>m</w:t>
      </w:r>
      <w:r>
        <w:rPr>
          <w:rFonts w:hint="default" w:ascii="Times New Roman" w:hAnsi="Times New Roman" w:cs="Times New Roman" w:eastAsiaTheme="minorEastAsia"/>
          <w:color w:val="000000" w:themeColor="text1"/>
          <w:kern w:val="0"/>
          <w:sz w:val="24"/>
          <w:szCs w:val="20"/>
          <w:highlight w:val="none"/>
          <w:vertAlign w:val="superscript"/>
          <w:lang w:val="en-US" w:eastAsia="zh-CN" w:bidi="ar-SA"/>
          <w14:textFill>
            <w14:solidFill>
              <w14:schemeClr w14:val="tx1"/>
            </w14:solidFill>
          </w14:textFill>
        </w:rPr>
        <w:t>2</w:t>
      </w:r>
      <w:r>
        <w:rPr>
          <w:rFonts w:hint="default" w:ascii="Times New Roman" w:hAnsi="Times New Roman" w:cs="Times New Roman" w:eastAsiaTheme="minorEastAsia"/>
          <w:color w:val="000000" w:themeColor="text1"/>
          <w:kern w:val="0"/>
          <w:sz w:val="24"/>
          <w:szCs w:val="20"/>
          <w:highlight w:val="none"/>
          <w:lang w:val="en-US" w:eastAsia="zh-CN" w:bidi="ar-SA"/>
          <w14:textFill>
            <w14:solidFill>
              <w14:schemeClr w14:val="tx1"/>
            </w14:solidFill>
          </w14:textFill>
        </w:rPr>
        <w:t>，临时占地面积约</w:t>
      </w:r>
      <w:r>
        <w:rPr>
          <w:rFonts w:hint="eastAsia" w:cs="Times New Roman" w:eastAsiaTheme="minorEastAsia"/>
          <w:color w:val="000000" w:themeColor="text1"/>
          <w:kern w:val="0"/>
          <w:sz w:val="24"/>
          <w:szCs w:val="20"/>
          <w:highlight w:val="none"/>
          <w:lang w:val="en-US" w:eastAsia="zh-CN" w:bidi="ar-SA"/>
          <w14:textFill>
            <w14:solidFill>
              <w14:schemeClr w14:val="tx1"/>
            </w14:solidFill>
          </w14:textFill>
        </w:rPr>
        <w:t>16625</w:t>
      </w:r>
      <w:r>
        <w:rPr>
          <w:rFonts w:hint="default" w:ascii="Times New Roman" w:hAnsi="Times New Roman" w:cs="Times New Roman" w:eastAsiaTheme="minorEastAsia"/>
          <w:color w:val="000000" w:themeColor="text1"/>
          <w:kern w:val="0"/>
          <w:sz w:val="24"/>
          <w:szCs w:val="20"/>
          <w:highlight w:val="none"/>
          <w:lang w:val="en-US" w:eastAsia="zh-CN" w:bidi="ar-SA"/>
          <w14:textFill>
            <w14:solidFill>
              <w14:schemeClr w14:val="tx1"/>
            </w14:solidFill>
          </w14:textFill>
        </w:rPr>
        <w:t>m</w:t>
      </w:r>
      <w:r>
        <w:rPr>
          <w:rFonts w:hint="default" w:ascii="Times New Roman" w:hAnsi="Times New Roman" w:cs="Times New Roman" w:eastAsiaTheme="minorEastAsia"/>
          <w:color w:val="000000" w:themeColor="text1"/>
          <w:kern w:val="0"/>
          <w:sz w:val="24"/>
          <w:szCs w:val="20"/>
          <w:highlight w:val="none"/>
          <w:vertAlign w:val="superscript"/>
          <w:lang w:val="en-US" w:eastAsia="zh-CN" w:bidi="ar-SA"/>
          <w14:textFill>
            <w14:solidFill>
              <w14:schemeClr w14:val="tx1"/>
            </w14:solidFill>
          </w14:textFill>
        </w:rPr>
        <w:t>2</w:t>
      </w:r>
      <w:r>
        <w:rPr>
          <w:rFonts w:hint="default" w:ascii="Times New Roman" w:hAnsi="Times New Roman" w:cs="Times New Roman" w:eastAsiaTheme="minorEastAsia"/>
          <w:color w:val="000000" w:themeColor="text1"/>
          <w:kern w:val="0"/>
          <w:sz w:val="24"/>
          <w:szCs w:val="20"/>
          <w:highlight w:val="none"/>
          <w:vertAlign w:val="baseline"/>
          <w:lang w:val="en-US" w:eastAsia="zh-CN" w:bidi="ar-SA"/>
          <w14:textFill>
            <w14:solidFill>
              <w14:schemeClr w14:val="tx1"/>
            </w14:solidFill>
          </w14:textFill>
        </w:rPr>
        <w:t>，详见表3.1-</w:t>
      </w:r>
      <w:r>
        <w:rPr>
          <w:rFonts w:hint="eastAsia" w:ascii="Times New Roman" w:hAnsi="Times New Roman" w:cs="Times New Roman" w:eastAsiaTheme="minorEastAsia"/>
          <w:color w:val="000000" w:themeColor="text1"/>
          <w:kern w:val="0"/>
          <w:sz w:val="24"/>
          <w:szCs w:val="20"/>
          <w:highlight w:val="none"/>
          <w:vertAlign w:val="baseline"/>
          <w:lang w:val="en-US" w:eastAsia="zh-CN" w:bidi="ar-SA"/>
          <w14:textFill>
            <w14:solidFill>
              <w14:schemeClr w14:val="tx1"/>
            </w14:solidFill>
          </w14:textFill>
        </w:rPr>
        <w:t>6</w:t>
      </w:r>
      <w:r>
        <w:rPr>
          <w:rFonts w:hint="default" w:ascii="Times New Roman" w:hAnsi="Times New Roman" w:cs="Times New Roman" w:eastAsiaTheme="minorEastAsia"/>
          <w:color w:val="000000" w:themeColor="text1"/>
          <w:kern w:val="0"/>
          <w:sz w:val="24"/>
          <w:szCs w:val="20"/>
          <w:highlight w:val="none"/>
          <w:vertAlign w:val="baseline"/>
          <w:lang w:val="en-US" w:eastAsia="zh-CN" w:bidi="ar-SA"/>
          <w14:textFill>
            <w14:solidFill>
              <w14:schemeClr w14:val="tx1"/>
            </w14:solidFill>
          </w14:textFill>
        </w:rPr>
        <w:t>。</w:t>
      </w:r>
    </w:p>
    <w:p w14:paraId="4006A41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b/>
          <w:color w:val="000000" w:themeColor="text1"/>
          <w:kern w:val="0"/>
          <w:sz w:val="24"/>
          <w:highlight w:val="none"/>
          <w:lang w:val="en-US" w:eastAsia="zh-CN"/>
          <w14:textFill>
            <w14:solidFill>
              <w14:schemeClr w14:val="tx1"/>
            </w14:solidFill>
          </w14:textFill>
        </w:rPr>
        <w:t>表3.1-</w:t>
      </w:r>
      <w:r>
        <w:rPr>
          <w:rFonts w:hint="eastAsia" w:ascii="Times New Roman" w:hAnsi="Times New Roman" w:cs="Times New Roman" w:eastAsiaTheme="minorEastAsia"/>
          <w:b/>
          <w:color w:val="000000" w:themeColor="text1"/>
          <w:kern w:val="0"/>
          <w:sz w:val="24"/>
          <w:highlight w:val="none"/>
          <w:lang w:val="en-US" w:eastAsia="zh-CN"/>
          <w14:textFill>
            <w14:solidFill>
              <w14:schemeClr w14:val="tx1"/>
            </w14:solidFill>
          </w14:textFill>
        </w:rPr>
        <w:t>6</w:t>
      </w:r>
      <w:r>
        <w:rPr>
          <w:rFonts w:hint="default" w:ascii="Times New Roman" w:hAnsi="Times New Roman" w:cs="Times New Roman" w:eastAsiaTheme="minorEastAsia"/>
          <w:b/>
          <w:color w:val="000000" w:themeColor="text1"/>
          <w:kern w:val="0"/>
          <w:sz w:val="24"/>
          <w:highlight w:val="none"/>
          <w:lang w:val="en-US" w:eastAsia="zh-CN"/>
          <w14:textFill>
            <w14:solidFill>
              <w14:schemeClr w14:val="tx1"/>
            </w14:solidFill>
          </w14:textFill>
        </w:rPr>
        <w:t xml:space="preserve">    本项目占用</w:t>
      </w:r>
      <w:r>
        <w:rPr>
          <w:rFonts w:hint="eastAsia" w:ascii="Times New Roman" w:hAnsi="Times New Roman" w:cs="Times New Roman" w:eastAsiaTheme="minorEastAsia"/>
          <w:b/>
          <w:color w:val="000000" w:themeColor="text1"/>
          <w:kern w:val="0"/>
          <w:sz w:val="24"/>
          <w:highlight w:val="none"/>
          <w:lang w:val="en-US" w:eastAsia="zh-CN"/>
          <w14:textFill>
            <w14:solidFill>
              <w14:schemeClr w14:val="tx1"/>
            </w14:solidFill>
          </w14:textFill>
        </w:rPr>
        <w:t>甘河子（含铁路专供）地下饮用水源地</w:t>
      </w:r>
      <w:r>
        <w:rPr>
          <w:rFonts w:hint="default" w:ascii="Times New Roman" w:hAnsi="Times New Roman" w:cs="Times New Roman" w:eastAsiaTheme="minorEastAsia"/>
          <w:b/>
          <w:color w:val="000000" w:themeColor="text1"/>
          <w:kern w:val="0"/>
          <w:sz w:val="24"/>
          <w:highlight w:val="none"/>
          <w:lang w:val="en-US" w:eastAsia="zh-CN"/>
          <w14:textFill>
            <w14:solidFill>
              <w14:schemeClr w14:val="tx1"/>
            </w14:solidFill>
          </w14:textFill>
        </w:rPr>
        <w:t>情况汇总表  单位：m</w:t>
      </w:r>
      <w:r>
        <w:rPr>
          <w:rFonts w:hint="default" w:ascii="Times New Roman" w:hAnsi="Times New Roman" w:cs="Times New Roman" w:eastAsiaTheme="minorEastAsia"/>
          <w:b/>
          <w:color w:val="000000" w:themeColor="text1"/>
          <w:kern w:val="0"/>
          <w:sz w:val="24"/>
          <w:highlight w:val="none"/>
          <w:vertAlign w:val="superscript"/>
          <w:lang w:val="en-US" w:eastAsia="zh-CN"/>
          <w14:textFill>
            <w14:solidFill>
              <w14:schemeClr w14:val="tx1"/>
            </w14:solidFill>
          </w14:textFill>
        </w:rPr>
        <w:t>2</w:t>
      </w:r>
    </w:p>
    <w:tbl>
      <w:tblPr>
        <w:tblStyle w:val="75"/>
        <w:tblW w:w="8983"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15" w:type="dxa"/>
          <w:left w:w="15" w:type="dxa"/>
          <w:bottom w:w="15" w:type="dxa"/>
          <w:right w:w="15" w:type="dxa"/>
        </w:tblCellMar>
      </w:tblPr>
      <w:tblGrid>
        <w:gridCol w:w="608"/>
        <w:gridCol w:w="2216"/>
        <w:gridCol w:w="1754"/>
        <w:gridCol w:w="2505"/>
        <w:gridCol w:w="1900"/>
      </w:tblGrid>
      <w:tr w14:paraId="796F4EC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40" w:hRule="atLeast"/>
          <w:tblHeader/>
          <w:jc w:val="center"/>
        </w:trPr>
        <w:tc>
          <w:tcPr>
            <w:tcW w:w="608" w:type="dxa"/>
            <w:vAlign w:val="center"/>
          </w:tcPr>
          <w:p w14:paraId="2666CE5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序号</w:t>
            </w:r>
          </w:p>
        </w:tc>
        <w:tc>
          <w:tcPr>
            <w:tcW w:w="2216" w:type="dxa"/>
            <w:vAlign w:val="center"/>
          </w:tcPr>
          <w:p w14:paraId="31A0D4D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项目</w:t>
            </w:r>
          </w:p>
        </w:tc>
        <w:tc>
          <w:tcPr>
            <w:tcW w:w="1754" w:type="dxa"/>
            <w:vAlign w:val="center"/>
          </w:tcPr>
          <w:p w14:paraId="1FF24EF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永久性征用地</w:t>
            </w:r>
          </w:p>
        </w:tc>
        <w:tc>
          <w:tcPr>
            <w:tcW w:w="2505" w:type="dxa"/>
            <w:vAlign w:val="center"/>
          </w:tcPr>
          <w:p w14:paraId="52C3B5D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临时性征用地</w:t>
            </w:r>
          </w:p>
        </w:tc>
        <w:tc>
          <w:tcPr>
            <w:tcW w:w="1900" w:type="dxa"/>
            <w:vAlign w:val="center"/>
          </w:tcPr>
          <w:p w14:paraId="0D12E26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备注</w:t>
            </w:r>
          </w:p>
        </w:tc>
      </w:tr>
      <w:tr w14:paraId="1271D56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40" w:hRule="atLeast"/>
          <w:jc w:val="center"/>
        </w:trPr>
        <w:tc>
          <w:tcPr>
            <w:tcW w:w="8983" w:type="dxa"/>
            <w:gridSpan w:val="5"/>
            <w:vAlign w:val="center"/>
          </w:tcPr>
          <w:p w14:paraId="624CFBA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H1、H2、H3风机</w:t>
            </w:r>
          </w:p>
        </w:tc>
      </w:tr>
      <w:tr w14:paraId="5B3A4E7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40" w:hRule="atLeast"/>
          <w:jc w:val="center"/>
        </w:trPr>
        <w:tc>
          <w:tcPr>
            <w:tcW w:w="608" w:type="dxa"/>
            <w:vAlign w:val="center"/>
          </w:tcPr>
          <w:p w14:paraId="12D5F5D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1</w:t>
            </w:r>
          </w:p>
        </w:tc>
        <w:tc>
          <w:tcPr>
            <w:tcW w:w="2216" w:type="dxa"/>
            <w:vAlign w:val="center"/>
          </w:tcPr>
          <w:p w14:paraId="588C6CF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风机基础</w:t>
            </w:r>
          </w:p>
        </w:tc>
        <w:tc>
          <w:tcPr>
            <w:tcW w:w="1754" w:type="dxa"/>
            <w:vAlign w:val="center"/>
          </w:tcPr>
          <w:p w14:paraId="20C9D66D">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jc w:val="center"/>
              <w:textAlignment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1357</w:t>
            </w:r>
          </w:p>
        </w:tc>
        <w:tc>
          <w:tcPr>
            <w:tcW w:w="2505" w:type="dxa"/>
            <w:vAlign w:val="center"/>
          </w:tcPr>
          <w:p w14:paraId="7814589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w:t>
            </w:r>
          </w:p>
        </w:tc>
        <w:tc>
          <w:tcPr>
            <w:tcW w:w="1900" w:type="dxa"/>
            <w:vAlign w:val="center"/>
          </w:tcPr>
          <w:p w14:paraId="6DCE7305">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共</w:t>
            </w:r>
            <w:r>
              <w:rPr>
                <w:rFonts w:hint="eastAsia" w:cs="Times New Roman" w:eastAsiaTheme="minorEastAsia"/>
                <w:color w:val="000000" w:themeColor="text1"/>
                <w:sz w:val="21"/>
                <w:szCs w:val="21"/>
                <w:highlight w:val="none"/>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台风机</w:t>
            </w:r>
          </w:p>
        </w:tc>
      </w:tr>
      <w:tr w14:paraId="28DC961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40" w:hRule="atLeast"/>
          <w:jc w:val="center"/>
        </w:trPr>
        <w:tc>
          <w:tcPr>
            <w:tcW w:w="608" w:type="dxa"/>
            <w:vAlign w:val="center"/>
          </w:tcPr>
          <w:p w14:paraId="3F68835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w:t>
            </w:r>
          </w:p>
        </w:tc>
        <w:tc>
          <w:tcPr>
            <w:tcW w:w="2216" w:type="dxa"/>
            <w:vAlign w:val="center"/>
          </w:tcPr>
          <w:p w14:paraId="186AE92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箱变基础</w:t>
            </w:r>
          </w:p>
        </w:tc>
        <w:tc>
          <w:tcPr>
            <w:tcW w:w="1754" w:type="dxa"/>
            <w:vAlign w:val="center"/>
          </w:tcPr>
          <w:p w14:paraId="2E8F420F">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jc w:val="center"/>
              <w:textAlignment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240</w:t>
            </w:r>
          </w:p>
        </w:tc>
        <w:tc>
          <w:tcPr>
            <w:tcW w:w="2505" w:type="dxa"/>
            <w:vAlign w:val="center"/>
          </w:tcPr>
          <w:p w14:paraId="371D072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w:t>
            </w:r>
          </w:p>
        </w:tc>
        <w:tc>
          <w:tcPr>
            <w:tcW w:w="1900" w:type="dxa"/>
            <w:vAlign w:val="center"/>
          </w:tcPr>
          <w:p w14:paraId="37E30CB4">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共</w:t>
            </w:r>
            <w:r>
              <w:rPr>
                <w:rFonts w:hint="eastAsia" w:cs="Times New Roman" w:eastAsiaTheme="minorEastAsia"/>
                <w:color w:val="000000" w:themeColor="text1"/>
                <w:sz w:val="21"/>
                <w:szCs w:val="21"/>
                <w:highlight w:val="none"/>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个箱变</w:t>
            </w:r>
          </w:p>
        </w:tc>
      </w:tr>
      <w:tr w14:paraId="31119A5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40" w:hRule="atLeast"/>
          <w:jc w:val="center"/>
        </w:trPr>
        <w:tc>
          <w:tcPr>
            <w:tcW w:w="608" w:type="dxa"/>
            <w:vAlign w:val="center"/>
          </w:tcPr>
          <w:p w14:paraId="019FF11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3</w:t>
            </w:r>
          </w:p>
        </w:tc>
        <w:tc>
          <w:tcPr>
            <w:tcW w:w="2216" w:type="dxa"/>
            <w:vAlign w:val="center"/>
          </w:tcPr>
          <w:p w14:paraId="11122A6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风机安装场地</w:t>
            </w:r>
          </w:p>
        </w:tc>
        <w:tc>
          <w:tcPr>
            <w:tcW w:w="1754" w:type="dxa"/>
            <w:tcBorders>
              <w:right w:val="single" w:color="auto" w:sz="4" w:space="0"/>
            </w:tcBorders>
            <w:vAlign w:val="center"/>
          </w:tcPr>
          <w:p w14:paraId="684A462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w:t>
            </w:r>
          </w:p>
        </w:tc>
        <w:tc>
          <w:tcPr>
            <w:tcW w:w="2505" w:type="dxa"/>
            <w:vAlign w:val="center"/>
          </w:tcPr>
          <w:p w14:paraId="5B73C5FC">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9300</w:t>
            </w:r>
          </w:p>
        </w:tc>
        <w:tc>
          <w:tcPr>
            <w:tcW w:w="1900" w:type="dxa"/>
            <w:vAlign w:val="center"/>
          </w:tcPr>
          <w:p w14:paraId="3A05317A">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共</w:t>
            </w:r>
            <w:r>
              <w:rPr>
                <w:rFonts w:hint="eastAsia" w:cs="Times New Roman" w:eastAsiaTheme="minorEastAsia"/>
                <w:color w:val="000000" w:themeColor="text1"/>
                <w:sz w:val="21"/>
                <w:szCs w:val="21"/>
                <w:highlight w:val="none"/>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个安装场地</w:t>
            </w:r>
          </w:p>
        </w:tc>
      </w:tr>
      <w:tr w14:paraId="292A007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40" w:hRule="atLeast"/>
          <w:jc w:val="center"/>
        </w:trPr>
        <w:tc>
          <w:tcPr>
            <w:tcW w:w="608" w:type="dxa"/>
            <w:shd w:val="clear" w:color="auto" w:fill="auto"/>
            <w:vAlign w:val="center"/>
          </w:tcPr>
          <w:p w14:paraId="1C2AE0C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4</w:t>
            </w:r>
          </w:p>
        </w:tc>
        <w:tc>
          <w:tcPr>
            <w:tcW w:w="2216" w:type="dxa"/>
            <w:vAlign w:val="top"/>
          </w:tcPr>
          <w:p w14:paraId="3521A2F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集电线路</w:t>
            </w:r>
          </w:p>
        </w:tc>
        <w:tc>
          <w:tcPr>
            <w:tcW w:w="1754" w:type="dxa"/>
            <w:tcBorders>
              <w:right w:val="single" w:color="auto" w:sz="4" w:space="0"/>
            </w:tcBorders>
            <w:vAlign w:val="center"/>
          </w:tcPr>
          <w:p w14:paraId="4A4CF78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150</w:t>
            </w:r>
          </w:p>
        </w:tc>
        <w:tc>
          <w:tcPr>
            <w:tcW w:w="2505" w:type="dxa"/>
            <w:vAlign w:val="center"/>
          </w:tcPr>
          <w:p w14:paraId="7BE6611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w:t>
            </w:r>
          </w:p>
        </w:tc>
        <w:tc>
          <w:tcPr>
            <w:tcW w:w="1900" w:type="dxa"/>
            <w:vAlign w:val="center"/>
          </w:tcPr>
          <w:p w14:paraId="5DFB8B5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杆塔</w:t>
            </w:r>
            <w:r>
              <w:rPr>
                <w:rFonts w:hint="eastAsia" w:cs="Times New Roman" w:eastAsiaTheme="minorEastAsia"/>
                <w:color w:val="000000" w:themeColor="text1"/>
                <w:sz w:val="21"/>
                <w:szCs w:val="21"/>
                <w:highlight w:val="none"/>
                <w:lang w:val="en-US" w:eastAsia="zh-CN"/>
                <w14:textFill>
                  <w14:solidFill>
                    <w14:schemeClr w14:val="tx1"/>
                  </w14:solidFill>
                </w14:textFill>
              </w:rPr>
              <w:t>共计15基</w:t>
            </w:r>
          </w:p>
        </w:tc>
      </w:tr>
      <w:tr w14:paraId="4B7BB72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40" w:hRule="atLeast"/>
          <w:jc w:val="center"/>
        </w:trPr>
        <w:tc>
          <w:tcPr>
            <w:tcW w:w="608" w:type="dxa"/>
            <w:shd w:val="clear" w:color="auto" w:fill="auto"/>
            <w:vAlign w:val="center"/>
          </w:tcPr>
          <w:p w14:paraId="31DD6CB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5</w:t>
            </w:r>
          </w:p>
        </w:tc>
        <w:tc>
          <w:tcPr>
            <w:tcW w:w="2216" w:type="dxa"/>
            <w:vAlign w:val="top"/>
          </w:tcPr>
          <w:p w14:paraId="3168882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临时施工道路</w:t>
            </w:r>
          </w:p>
        </w:tc>
        <w:tc>
          <w:tcPr>
            <w:tcW w:w="1754" w:type="dxa"/>
            <w:tcBorders>
              <w:right w:val="single" w:color="auto" w:sz="4" w:space="0"/>
            </w:tcBorders>
            <w:vAlign w:val="center"/>
          </w:tcPr>
          <w:p w14:paraId="5497786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13185</w:t>
            </w:r>
          </w:p>
        </w:tc>
        <w:tc>
          <w:tcPr>
            <w:tcW w:w="2505" w:type="dxa"/>
            <w:vAlign w:val="center"/>
          </w:tcPr>
          <w:p w14:paraId="6B3BCFE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7325</w:t>
            </w:r>
          </w:p>
        </w:tc>
        <w:tc>
          <w:tcPr>
            <w:tcW w:w="1900" w:type="dxa"/>
            <w:vAlign w:val="center"/>
          </w:tcPr>
          <w:p w14:paraId="5CDDF4E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约2.93km，</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后期留作检修道路</w:t>
            </w:r>
          </w:p>
        </w:tc>
      </w:tr>
      <w:tr w14:paraId="300601F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40" w:hRule="atLeast"/>
          <w:jc w:val="center"/>
        </w:trPr>
        <w:tc>
          <w:tcPr>
            <w:tcW w:w="2824" w:type="dxa"/>
            <w:gridSpan w:val="2"/>
            <w:vAlign w:val="center"/>
          </w:tcPr>
          <w:p w14:paraId="23EB1634">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小计</w:t>
            </w:r>
          </w:p>
        </w:tc>
        <w:tc>
          <w:tcPr>
            <w:tcW w:w="1754" w:type="dxa"/>
            <w:tcBorders>
              <w:right w:val="single" w:color="auto" w:sz="4" w:space="0"/>
            </w:tcBorders>
            <w:vAlign w:val="center"/>
          </w:tcPr>
          <w:p w14:paraId="48366B5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14932</w:t>
            </w:r>
          </w:p>
        </w:tc>
        <w:tc>
          <w:tcPr>
            <w:tcW w:w="2505" w:type="dxa"/>
            <w:vAlign w:val="center"/>
          </w:tcPr>
          <w:p w14:paraId="091B169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16625</w:t>
            </w:r>
          </w:p>
        </w:tc>
        <w:tc>
          <w:tcPr>
            <w:tcW w:w="1900" w:type="dxa"/>
            <w:vAlign w:val="center"/>
          </w:tcPr>
          <w:p w14:paraId="070AD785">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cyan"/>
                <w:lang w:val="en-US" w:eastAsia="zh-CN"/>
                <w14:textFill>
                  <w14:solidFill>
                    <w14:schemeClr w14:val="tx1"/>
                  </w14:solidFill>
                </w14:textFill>
              </w:rPr>
            </w:pPr>
          </w:p>
        </w:tc>
      </w:tr>
      <w:tr w14:paraId="62906BC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40" w:hRule="atLeast"/>
          <w:jc w:val="center"/>
        </w:trPr>
        <w:tc>
          <w:tcPr>
            <w:tcW w:w="2824" w:type="dxa"/>
            <w:gridSpan w:val="2"/>
            <w:vAlign w:val="center"/>
          </w:tcPr>
          <w:p w14:paraId="625D5BFD">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合计</w:t>
            </w:r>
          </w:p>
        </w:tc>
        <w:tc>
          <w:tcPr>
            <w:tcW w:w="4259" w:type="dxa"/>
            <w:gridSpan w:val="2"/>
            <w:vAlign w:val="center"/>
          </w:tcPr>
          <w:p w14:paraId="098C973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31557</w:t>
            </w:r>
          </w:p>
        </w:tc>
        <w:tc>
          <w:tcPr>
            <w:tcW w:w="1900" w:type="dxa"/>
            <w:vAlign w:val="center"/>
          </w:tcPr>
          <w:p w14:paraId="15F51284">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cyan"/>
                <w:lang w:val="en-US" w:eastAsia="zh-CN"/>
                <w14:textFill>
                  <w14:solidFill>
                    <w14:schemeClr w14:val="tx1"/>
                  </w14:solidFill>
                </w14:textFill>
              </w:rPr>
            </w:pPr>
          </w:p>
        </w:tc>
      </w:tr>
    </w:tbl>
    <w:p w14:paraId="1BC6892F">
      <w:pPr>
        <w:keepNext w:val="0"/>
        <w:keepLines w:val="0"/>
        <w:pageBreakBefore w:val="0"/>
        <w:widowControl w:val="0"/>
        <w:numPr>
          <w:ilvl w:val="0"/>
          <w:numId w:val="0"/>
        </w:numPr>
        <w:tabs>
          <w:tab w:val="left" w:pos="1260"/>
        </w:tabs>
        <w:kinsoku/>
        <w:wordWrap/>
        <w:overflowPunct/>
        <w:topLinePunct w:val="0"/>
        <w:autoSpaceDE/>
        <w:autoSpaceDN/>
        <w:bidi w:val="0"/>
        <w:adjustRightInd/>
        <w:snapToGrid/>
        <w:spacing w:line="360" w:lineRule="auto"/>
        <w:ind w:left="0" w:leftChars="0" w:firstLine="480" w:firstLineChars="200"/>
        <w:textAlignment w:val="auto"/>
        <w:outlineLvl w:val="9"/>
        <w:rPr>
          <w:rFonts w:hint="default" w:ascii="Times New Roman" w:hAnsi="Times New Roman" w:cs="Times New Roman" w:eastAsiaTheme="minorEastAsia"/>
          <w:snapToGrid w:val="0"/>
          <w:color w:val="FF0000"/>
          <w:sz w:val="24"/>
          <w:highlight w:val="none"/>
          <w:lang w:val="en-US" w:eastAsia="zh-CN"/>
        </w:rPr>
      </w:pPr>
    </w:p>
    <w:p w14:paraId="1F547E28">
      <w:pPr>
        <w:pStyle w:val="7"/>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eastAsia" w:cs="Times New Roman" w:eastAsiaTheme="minorEastAsia"/>
          <w:snapToGrid w:val="0"/>
          <w:color w:val="000000" w:themeColor="text1"/>
          <w:sz w:val="24"/>
          <w:highlight w:val="none"/>
          <w:lang w:val="en-US" w:eastAsia="zh-CN"/>
          <w14:textFill>
            <w14:solidFill>
              <w14:schemeClr w14:val="tx1"/>
            </w14:solidFill>
          </w14:textFill>
        </w:rPr>
        <w:t>3</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）占用乌拉泊、柴西、柴北、西山、甘河子（含铁路专供）准保护区情况</w:t>
      </w:r>
    </w:p>
    <w:p w14:paraId="266B0E20">
      <w:pPr>
        <w:keepNext w:val="0"/>
        <w:keepLines w:val="0"/>
        <w:pageBreakBefore w:val="0"/>
        <w:widowControl w:val="0"/>
        <w:numPr>
          <w:ilvl w:val="0"/>
          <w:numId w:val="0"/>
        </w:numPr>
        <w:tabs>
          <w:tab w:val="left" w:pos="1260"/>
        </w:tabs>
        <w:kinsoku/>
        <w:wordWrap/>
        <w:overflowPunct/>
        <w:topLinePunct w:val="0"/>
        <w:autoSpaceDE/>
        <w:autoSpaceDN/>
        <w:bidi w:val="0"/>
        <w:adjustRightInd/>
        <w:snapToGrid/>
        <w:spacing w:line="360" w:lineRule="auto"/>
        <w:ind w:left="0" w:leftChars="0" w:firstLine="480" w:firstLineChars="200"/>
        <w:textAlignment w:val="auto"/>
        <w:outlineLvl w:val="9"/>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①永久占地：</w:t>
      </w:r>
      <w:r>
        <w:rPr>
          <w:rFonts w:hint="default" w:ascii="Times New Roman" w:hAnsi="Times New Roman" w:cs="Times New Roman" w:eastAsiaTheme="minorEastAsia"/>
          <w:color w:val="000000" w:themeColor="text1"/>
          <w:kern w:val="2"/>
          <w:sz w:val="24"/>
          <w:szCs w:val="20"/>
          <w:highlight w:val="none"/>
          <w:lang w:val="en-US" w:eastAsia="zh-CN" w:bidi="ar-SA"/>
          <w14:textFill>
            <w14:solidFill>
              <w14:schemeClr w14:val="tx1"/>
            </w14:solidFill>
          </w14:textFill>
        </w:rPr>
        <w:t>风电场区</w:t>
      </w:r>
      <w:r>
        <w:rPr>
          <w:rFonts w:hint="eastAsia" w:ascii="Times New Roman" w:hAnsi="Times New Roman" w:cs="Times New Roman" w:eastAsiaTheme="minorEastAsia"/>
          <w:color w:val="000000" w:themeColor="text1"/>
          <w:kern w:val="2"/>
          <w:sz w:val="24"/>
          <w:szCs w:val="20"/>
          <w:highlight w:val="none"/>
          <w:lang w:val="en-US" w:eastAsia="zh-CN" w:bidi="ar-SA"/>
          <w14:textFill>
            <w14:solidFill>
              <w14:schemeClr w14:val="tx1"/>
            </w14:solidFill>
          </w14:textFill>
        </w:rPr>
        <w:t>7</w:t>
      </w:r>
      <w:r>
        <w:rPr>
          <w:rFonts w:hint="default" w:ascii="Times New Roman" w:hAnsi="Times New Roman" w:cs="Times New Roman" w:eastAsiaTheme="minorEastAsia"/>
          <w:color w:val="000000" w:themeColor="text1"/>
          <w:kern w:val="2"/>
          <w:sz w:val="24"/>
          <w:szCs w:val="20"/>
          <w:highlight w:val="none"/>
          <w:lang w:val="en-US" w:eastAsia="zh-CN" w:bidi="ar-SA"/>
          <w14:textFill>
            <w14:solidFill>
              <w14:schemeClr w14:val="tx1"/>
            </w14:solidFill>
          </w14:textFill>
        </w:rPr>
        <w:t>台风机及箱变、部分集电线路杆塔</w:t>
      </w:r>
      <w:r>
        <w:rPr>
          <w:rFonts w:hint="eastAsia" w:ascii="Times New Roman" w:hAnsi="Times New Roman" w:cs="Times New Roman" w:eastAsiaTheme="minorEastAsia"/>
          <w:color w:val="000000" w:themeColor="text1"/>
          <w:kern w:val="2"/>
          <w:sz w:val="24"/>
          <w:szCs w:val="20"/>
          <w:highlight w:val="none"/>
          <w:lang w:val="en-US" w:eastAsia="zh-CN" w:bidi="ar-SA"/>
          <w14:textFill>
            <w14:solidFill>
              <w14:schemeClr w14:val="tx1"/>
            </w14:solidFill>
          </w14:textFill>
        </w:rPr>
        <w:t>、检修道路</w:t>
      </w:r>
      <w:r>
        <w:rPr>
          <w:rFonts w:hint="default" w:ascii="Times New Roman" w:hAnsi="Times New Roman" w:cs="Times New Roman" w:eastAsiaTheme="minorEastAsia"/>
          <w:color w:val="000000" w:themeColor="text1"/>
          <w:kern w:val="2"/>
          <w:sz w:val="24"/>
          <w:szCs w:val="20"/>
          <w:highlight w:val="none"/>
          <w:lang w:val="en-US" w:eastAsia="zh-CN" w:bidi="ar-SA"/>
          <w14:textFill>
            <w14:solidFill>
              <w14:schemeClr w14:val="tx1"/>
            </w14:solidFill>
          </w14:textFill>
        </w:rPr>
        <w:t>等永久占地占用</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乌拉泊、柴西、柴北、西山、甘河子（含铁路专供）准保护区。</w:t>
      </w:r>
    </w:p>
    <w:p w14:paraId="4D2B88EE">
      <w:pPr>
        <w:keepNext w:val="0"/>
        <w:keepLines w:val="0"/>
        <w:pageBreakBefore w:val="0"/>
        <w:widowControl w:val="0"/>
        <w:numPr>
          <w:ilvl w:val="0"/>
          <w:numId w:val="0"/>
        </w:numPr>
        <w:tabs>
          <w:tab w:val="left" w:pos="1260"/>
        </w:tabs>
        <w:kinsoku/>
        <w:wordWrap/>
        <w:overflowPunct/>
        <w:topLinePunct w:val="0"/>
        <w:autoSpaceDE/>
        <w:autoSpaceDN/>
        <w:bidi w:val="0"/>
        <w:adjustRightInd/>
        <w:snapToGrid/>
        <w:spacing w:line="360" w:lineRule="auto"/>
        <w:ind w:left="0" w:leftChars="0" w:firstLine="480" w:firstLineChars="200"/>
        <w:textAlignment w:val="auto"/>
        <w:outlineLvl w:val="9"/>
        <w:rPr>
          <w:rFonts w:hint="default" w:ascii="Times New Roman" w:hAnsi="Times New Roman" w:cs="Times New Roman" w:eastAsiaTheme="minorEastAsia"/>
          <w:color w:val="000000" w:themeColor="text1"/>
          <w:kern w:val="0"/>
          <w:sz w:val="24"/>
          <w:szCs w:val="20"/>
          <w:highlight w:val="yellow"/>
          <w:vertAlign w:val="baseline"/>
          <w:lang w:val="en-US" w:eastAsia="zh-CN" w:bidi="ar-SA"/>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②临时占地：</w:t>
      </w:r>
      <w:r>
        <w:rPr>
          <w:rFonts w:hint="default" w:ascii="Times New Roman" w:hAnsi="Times New Roman" w:cs="Times New Roman" w:eastAsiaTheme="minorEastAsia"/>
          <w:color w:val="000000" w:themeColor="text1"/>
          <w:kern w:val="2"/>
          <w:sz w:val="24"/>
          <w:szCs w:val="20"/>
          <w:highlight w:val="none"/>
          <w:lang w:val="en-US" w:eastAsia="zh-CN" w:bidi="ar-SA"/>
          <w14:textFill>
            <w14:solidFill>
              <w14:schemeClr w14:val="tx1"/>
            </w14:solidFill>
          </w14:textFill>
        </w:rPr>
        <w:t>场区</w:t>
      </w:r>
      <w:r>
        <w:rPr>
          <w:rFonts w:hint="eastAsia" w:cs="Times New Roman" w:eastAsiaTheme="minorEastAsia"/>
          <w:color w:val="000000" w:themeColor="text1"/>
          <w:kern w:val="2"/>
          <w:sz w:val="24"/>
          <w:szCs w:val="20"/>
          <w:highlight w:val="none"/>
          <w:lang w:val="en-US" w:eastAsia="zh-CN" w:bidi="ar-SA"/>
          <w14:textFill>
            <w14:solidFill>
              <w14:schemeClr w14:val="tx1"/>
            </w14:solidFill>
          </w14:textFill>
        </w:rPr>
        <w:t>7</w:t>
      </w:r>
      <w:r>
        <w:rPr>
          <w:rFonts w:hint="default" w:ascii="Times New Roman" w:hAnsi="Times New Roman" w:cs="Times New Roman" w:eastAsiaTheme="minorEastAsia"/>
          <w:color w:val="000000" w:themeColor="text1"/>
          <w:kern w:val="2"/>
          <w:sz w:val="24"/>
          <w:szCs w:val="20"/>
          <w:highlight w:val="none"/>
          <w:lang w:val="en-US" w:eastAsia="zh-CN" w:bidi="ar-SA"/>
          <w14:textFill>
            <w14:solidFill>
              <w14:schemeClr w14:val="tx1"/>
            </w14:solidFill>
          </w14:textFill>
        </w:rPr>
        <w:t>台风机吊装平台</w:t>
      </w:r>
      <w:r>
        <w:rPr>
          <w:rFonts w:hint="eastAsia" w:ascii="Times New Roman" w:hAnsi="Times New Roman" w:cs="Times New Roman" w:eastAsiaTheme="minorEastAsia"/>
          <w:color w:val="000000" w:themeColor="text1"/>
          <w:kern w:val="2"/>
          <w:sz w:val="24"/>
          <w:szCs w:val="20"/>
          <w:highlight w:val="none"/>
          <w:lang w:val="en-US" w:eastAsia="zh-CN" w:bidi="ar-SA"/>
          <w14:textFill>
            <w14:solidFill>
              <w14:schemeClr w14:val="tx1"/>
            </w14:solidFill>
          </w14:textFill>
        </w:rPr>
        <w:t>、</w:t>
      </w:r>
      <w:r>
        <w:rPr>
          <w:rFonts w:hint="default" w:ascii="Times New Roman" w:hAnsi="Times New Roman" w:cs="Times New Roman" w:eastAsiaTheme="minorEastAsia"/>
          <w:color w:val="000000" w:themeColor="text1"/>
          <w:kern w:val="2"/>
          <w:sz w:val="24"/>
          <w:szCs w:val="20"/>
          <w:highlight w:val="none"/>
          <w:lang w:val="en-US" w:eastAsia="zh-CN" w:bidi="ar-SA"/>
          <w14:textFill>
            <w14:solidFill>
              <w14:schemeClr w14:val="tx1"/>
            </w14:solidFill>
          </w14:textFill>
        </w:rPr>
        <w:t>部分临时施工道路</w:t>
      </w:r>
      <w:r>
        <w:rPr>
          <w:rFonts w:hint="eastAsia" w:ascii="Times New Roman" w:hAnsi="Times New Roman" w:cs="Times New Roman" w:eastAsiaTheme="minorEastAsia"/>
          <w:color w:val="000000" w:themeColor="text1"/>
          <w:kern w:val="2"/>
          <w:sz w:val="24"/>
          <w:szCs w:val="20"/>
          <w:highlight w:val="none"/>
          <w:lang w:val="en-US" w:eastAsia="zh-CN" w:bidi="ar-SA"/>
          <w14:textFill>
            <w14:solidFill>
              <w14:schemeClr w14:val="tx1"/>
            </w14:solidFill>
          </w14:textFill>
        </w:rPr>
        <w:t>及地埋电缆</w:t>
      </w:r>
      <w:r>
        <w:rPr>
          <w:rFonts w:hint="default" w:ascii="Times New Roman" w:hAnsi="Times New Roman" w:cs="Times New Roman" w:eastAsiaTheme="minorEastAsia"/>
          <w:color w:val="000000" w:themeColor="text1"/>
          <w:kern w:val="2"/>
          <w:sz w:val="24"/>
          <w:szCs w:val="20"/>
          <w:highlight w:val="none"/>
          <w:lang w:val="en-US" w:eastAsia="zh-CN" w:bidi="ar-SA"/>
          <w14:textFill>
            <w14:solidFill>
              <w14:schemeClr w14:val="tx1"/>
            </w14:solidFill>
          </w14:textFill>
        </w:rPr>
        <w:t>临时占地占用</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乌拉泊、柴西、柴北、西山、甘河子（含铁路专供）准保护区。</w:t>
      </w:r>
    </w:p>
    <w:p w14:paraId="50CA78F5">
      <w:pPr>
        <w:keepNext w:val="0"/>
        <w:keepLines w:val="0"/>
        <w:pageBreakBefore w:val="0"/>
        <w:widowControl w:val="0"/>
        <w:numPr>
          <w:ilvl w:val="0"/>
          <w:numId w:val="0"/>
        </w:numPr>
        <w:tabs>
          <w:tab w:val="left" w:pos="1260"/>
        </w:tabs>
        <w:kinsoku/>
        <w:wordWrap/>
        <w:overflowPunct/>
        <w:topLinePunct w:val="0"/>
        <w:autoSpaceDE/>
        <w:autoSpaceDN/>
        <w:bidi w:val="0"/>
        <w:adjustRightInd/>
        <w:snapToGrid/>
        <w:spacing w:line="360" w:lineRule="auto"/>
        <w:ind w:left="0" w:leftChars="0" w:firstLine="480" w:firstLineChars="200"/>
        <w:textAlignment w:val="auto"/>
        <w:outlineLvl w:val="9"/>
        <w:rPr>
          <w:rFonts w:hint="default" w:ascii="Times New Roman" w:hAnsi="Times New Roman" w:cs="Times New Roman" w:eastAsiaTheme="minorEastAsia"/>
          <w:color w:val="FF0000"/>
          <w:kern w:val="0"/>
          <w:sz w:val="24"/>
          <w:szCs w:val="20"/>
          <w:highlight w:val="none"/>
          <w:vertAlign w:val="baseline"/>
          <w:lang w:val="en-US" w:eastAsia="zh-CN" w:bidi="ar-SA"/>
        </w:rPr>
      </w:pPr>
      <w:r>
        <w:rPr>
          <w:rFonts w:hint="default" w:ascii="Times New Roman" w:hAnsi="Times New Roman" w:cs="Times New Roman" w:eastAsiaTheme="minorEastAsia"/>
          <w:color w:val="000000" w:themeColor="text1"/>
          <w:kern w:val="0"/>
          <w:sz w:val="24"/>
          <w:szCs w:val="20"/>
          <w:highlight w:val="none"/>
          <w:vertAlign w:val="baseline"/>
          <w:lang w:val="en-US" w:eastAsia="zh-CN" w:bidi="ar-SA"/>
          <w14:textFill>
            <w14:solidFill>
              <w14:schemeClr w14:val="tx1"/>
            </w14:solidFill>
          </w14:textFill>
        </w:rPr>
        <w:t>本项目占用</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乌拉泊、柴西、柴北、西山、甘河子（含铁路专供）准保护区</w:t>
      </w:r>
      <w:r>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面积</w:t>
      </w:r>
      <w:r>
        <w:rPr>
          <w:rFonts w:hint="eastAsia" w:cs="Times New Roman" w:eastAsiaTheme="minorEastAsia"/>
          <w:color w:val="000000" w:themeColor="text1"/>
          <w:kern w:val="2"/>
          <w:sz w:val="24"/>
          <w:szCs w:val="20"/>
          <w:highlight w:val="none"/>
          <w:lang w:val="en-US" w:eastAsia="zh-CN" w:bidi="ar-SA"/>
          <w14:textFill>
            <w14:solidFill>
              <w14:schemeClr w14:val="tx1"/>
            </w14:solidFill>
          </w14:textFill>
        </w:rPr>
        <w:t>83297</w:t>
      </w:r>
      <w:r>
        <w:rPr>
          <w:rFonts w:hint="default" w:ascii="Times New Roman" w:hAnsi="Times New Roman" w:cs="Times New Roman" w:eastAsiaTheme="minorEastAsia"/>
          <w:color w:val="000000" w:themeColor="text1"/>
          <w:kern w:val="2"/>
          <w:sz w:val="24"/>
          <w:szCs w:val="20"/>
          <w:highlight w:val="none"/>
          <w:lang w:val="en-US" w:eastAsia="zh-CN" w:bidi="ar-SA"/>
          <w14:textFill>
            <w14:solidFill>
              <w14:schemeClr w14:val="tx1"/>
            </w14:solidFill>
          </w14:textFill>
        </w:rPr>
        <w:t>m</w:t>
      </w:r>
      <w:r>
        <w:rPr>
          <w:rFonts w:hint="default" w:ascii="Times New Roman" w:hAnsi="Times New Roman" w:cs="Times New Roman" w:eastAsiaTheme="minorEastAsia"/>
          <w:color w:val="000000" w:themeColor="text1"/>
          <w:kern w:val="2"/>
          <w:sz w:val="24"/>
          <w:szCs w:val="20"/>
          <w:highlight w:val="none"/>
          <w:vertAlign w:val="superscript"/>
          <w:lang w:val="en-US" w:eastAsia="zh-CN" w:bidi="ar-SA"/>
          <w14:textFill>
            <w14:solidFill>
              <w14:schemeClr w14:val="tx1"/>
            </w14:solidFill>
          </w14:textFill>
        </w:rPr>
        <w:t>2</w:t>
      </w:r>
      <w:r>
        <w:rPr>
          <w:rFonts w:hint="default" w:ascii="Times New Roman" w:hAnsi="Times New Roman" w:cs="Times New Roman" w:eastAsiaTheme="minorEastAsia"/>
          <w:color w:val="000000" w:themeColor="text1"/>
          <w:kern w:val="2"/>
          <w:sz w:val="24"/>
          <w:szCs w:val="20"/>
          <w:highlight w:val="none"/>
          <w:lang w:val="en-US" w:eastAsia="zh-CN" w:bidi="ar-SA"/>
          <w14:textFill>
            <w14:solidFill>
              <w14:schemeClr w14:val="tx1"/>
            </w14:solidFill>
          </w14:textFill>
        </w:rPr>
        <w:t>，其中</w:t>
      </w:r>
      <w:r>
        <w:rPr>
          <w:rFonts w:hint="default" w:ascii="Times New Roman" w:hAnsi="Times New Roman" w:cs="Times New Roman" w:eastAsiaTheme="minorEastAsia"/>
          <w:color w:val="000000" w:themeColor="text1"/>
          <w:kern w:val="0"/>
          <w:sz w:val="24"/>
          <w:szCs w:val="20"/>
          <w:highlight w:val="none"/>
          <w:lang w:val="en-US" w:eastAsia="zh-CN" w:bidi="ar-SA"/>
          <w14:textFill>
            <w14:solidFill>
              <w14:schemeClr w14:val="tx1"/>
            </w14:solidFill>
          </w14:textFill>
        </w:rPr>
        <w:t>永久占地面积约</w:t>
      </w:r>
      <w:r>
        <w:rPr>
          <w:rFonts w:hint="eastAsia" w:cs="Times New Roman" w:eastAsiaTheme="minorEastAsia"/>
          <w:color w:val="000000" w:themeColor="text1"/>
          <w:kern w:val="0"/>
          <w:sz w:val="24"/>
          <w:szCs w:val="20"/>
          <w:highlight w:val="none"/>
          <w:lang w:val="en-US" w:eastAsia="zh-CN" w:bidi="ar-SA"/>
          <w14:textFill>
            <w14:solidFill>
              <w14:schemeClr w14:val="tx1"/>
            </w14:solidFill>
          </w14:textFill>
        </w:rPr>
        <w:t>27547</w:t>
      </w:r>
      <w:r>
        <w:rPr>
          <w:rFonts w:hint="default" w:ascii="Times New Roman" w:hAnsi="Times New Roman" w:cs="Times New Roman" w:eastAsiaTheme="minorEastAsia"/>
          <w:color w:val="000000" w:themeColor="text1"/>
          <w:kern w:val="0"/>
          <w:sz w:val="24"/>
          <w:szCs w:val="20"/>
          <w:highlight w:val="none"/>
          <w:lang w:val="en-US" w:eastAsia="zh-CN" w:bidi="ar-SA"/>
          <w14:textFill>
            <w14:solidFill>
              <w14:schemeClr w14:val="tx1"/>
            </w14:solidFill>
          </w14:textFill>
        </w:rPr>
        <w:t>m</w:t>
      </w:r>
      <w:r>
        <w:rPr>
          <w:rFonts w:hint="default" w:ascii="Times New Roman" w:hAnsi="Times New Roman" w:cs="Times New Roman" w:eastAsiaTheme="minorEastAsia"/>
          <w:color w:val="000000" w:themeColor="text1"/>
          <w:kern w:val="0"/>
          <w:sz w:val="24"/>
          <w:szCs w:val="20"/>
          <w:highlight w:val="none"/>
          <w:vertAlign w:val="superscript"/>
          <w:lang w:val="en-US" w:eastAsia="zh-CN" w:bidi="ar-SA"/>
          <w14:textFill>
            <w14:solidFill>
              <w14:schemeClr w14:val="tx1"/>
            </w14:solidFill>
          </w14:textFill>
        </w:rPr>
        <w:t>2</w:t>
      </w:r>
      <w:r>
        <w:rPr>
          <w:rFonts w:hint="default" w:ascii="Times New Roman" w:hAnsi="Times New Roman" w:cs="Times New Roman" w:eastAsiaTheme="minorEastAsia"/>
          <w:color w:val="000000" w:themeColor="text1"/>
          <w:kern w:val="0"/>
          <w:sz w:val="24"/>
          <w:szCs w:val="20"/>
          <w:highlight w:val="none"/>
          <w:lang w:val="en-US" w:eastAsia="zh-CN" w:bidi="ar-SA"/>
          <w14:textFill>
            <w14:solidFill>
              <w14:schemeClr w14:val="tx1"/>
            </w14:solidFill>
          </w14:textFill>
        </w:rPr>
        <w:t>，临时占地面积约</w:t>
      </w:r>
      <w:r>
        <w:rPr>
          <w:rFonts w:hint="eastAsia" w:cs="Times New Roman" w:eastAsiaTheme="minorEastAsia"/>
          <w:color w:val="000000" w:themeColor="text1"/>
          <w:kern w:val="0"/>
          <w:sz w:val="24"/>
          <w:szCs w:val="20"/>
          <w:highlight w:val="none"/>
          <w:lang w:val="en-US" w:eastAsia="zh-CN" w:bidi="ar-SA"/>
          <w14:textFill>
            <w14:solidFill>
              <w14:schemeClr w14:val="tx1"/>
            </w14:solidFill>
          </w14:textFill>
        </w:rPr>
        <w:t>55750</w:t>
      </w:r>
      <w:r>
        <w:rPr>
          <w:rFonts w:hint="default" w:ascii="Times New Roman" w:hAnsi="Times New Roman" w:cs="Times New Roman" w:eastAsiaTheme="minorEastAsia"/>
          <w:color w:val="000000" w:themeColor="text1"/>
          <w:kern w:val="0"/>
          <w:sz w:val="24"/>
          <w:szCs w:val="20"/>
          <w:highlight w:val="none"/>
          <w:lang w:val="en-US" w:eastAsia="zh-CN" w:bidi="ar-SA"/>
          <w14:textFill>
            <w14:solidFill>
              <w14:schemeClr w14:val="tx1"/>
            </w14:solidFill>
          </w14:textFill>
        </w:rPr>
        <w:t>m</w:t>
      </w:r>
      <w:r>
        <w:rPr>
          <w:rFonts w:hint="default" w:ascii="Times New Roman" w:hAnsi="Times New Roman" w:cs="Times New Roman" w:eastAsiaTheme="minorEastAsia"/>
          <w:color w:val="000000" w:themeColor="text1"/>
          <w:kern w:val="0"/>
          <w:sz w:val="24"/>
          <w:szCs w:val="20"/>
          <w:highlight w:val="none"/>
          <w:vertAlign w:val="superscript"/>
          <w:lang w:val="en-US" w:eastAsia="zh-CN" w:bidi="ar-SA"/>
          <w14:textFill>
            <w14:solidFill>
              <w14:schemeClr w14:val="tx1"/>
            </w14:solidFill>
          </w14:textFill>
        </w:rPr>
        <w:t>2</w:t>
      </w:r>
      <w:r>
        <w:rPr>
          <w:rFonts w:hint="default" w:ascii="Times New Roman" w:hAnsi="Times New Roman" w:cs="Times New Roman" w:eastAsiaTheme="minorEastAsia"/>
          <w:color w:val="000000" w:themeColor="text1"/>
          <w:kern w:val="0"/>
          <w:sz w:val="24"/>
          <w:szCs w:val="20"/>
          <w:highlight w:val="none"/>
          <w:vertAlign w:val="baseline"/>
          <w:lang w:val="en-US" w:eastAsia="zh-CN" w:bidi="ar-SA"/>
          <w14:textFill>
            <w14:solidFill>
              <w14:schemeClr w14:val="tx1"/>
            </w14:solidFill>
          </w14:textFill>
        </w:rPr>
        <w:t>，详见表3.1-</w:t>
      </w:r>
      <w:r>
        <w:rPr>
          <w:rFonts w:hint="eastAsia" w:cs="Times New Roman" w:eastAsiaTheme="minorEastAsia"/>
          <w:color w:val="000000" w:themeColor="text1"/>
          <w:kern w:val="0"/>
          <w:sz w:val="24"/>
          <w:szCs w:val="20"/>
          <w:highlight w:val="none"/>
          <w:vertAlign w:val="baseline"/>
          <w:lang w:val="en-US" w:eastAsia="zh-CN" w:bidi="ar-SA"/>
          <w14:textFill>
            <w14:solidFill>
              <w14:schemeClr w14:val="tx1"/>
            </w14:solidFill>
          </w14:textFill>
        </w:rPr>
        <w:t>7</w:t>
      </w:r>
      <w:r>
        <w:rPr>
          <w:rFonts w:hint="default" w:ascii="Times New Roman" w:hAnsi="Times New Roman" w:cs="Times New Roman" w:eastAsiaTheme="minorEastAsia"/>
          <w:color w:val="000000" w:themeColor="text1"/>
          <w:kern w:val="0"/>
          <w:sz w:val="24"/>
          <w:szCs w:val="20"/>
          <w:highlight w:val="none"/>
          <w:vertAlign w:val="baseline"/>
          <w:lang w:val="en-US" w:eastAsia="zh-CN" w:bidi="ar-SA"/>
          <w14:textFill>
            <w14:solidFill>
              <w14:schemeClr w14:val="tx1"/>
            </w14:solidFill>
          </w14:textFill>
        </w:rPr>
        <w:t>。</w:t>
      </w:r>
    </w:p>
    <w:p w14:paraId="742BA0D3">
      <w:pPr>
        <w:keepNext w:val="0"/>
        <w:keepLines w:val="0"/>
        <w:pageBreakBefore w:val="0"/>
        <w:widowControl w:val="0"/>
        <w:kinsoku/>
        <w:wordWrap/>
        <w:overflowPunct/>
        <w:topLinePunct w:val="0"/>
        <w:autoSpaceDE/>
        <w:autoSpaceDN/>
        <w:bidi w:val="0"/>
        <w:adjustRightInd/>
        <w:snapToGrid/>
        <w:spacing w:line="240" w:lineRule="auto"/>
        <w:ind w:left="480" w:firstLine="480" w:firstLineChars="200"/>
        <w:textAlignment w:val="auto"/>
        <w:rPr>
          <w:rFonts w:hint="default" w:ascii="Times New Roman" w:hAnsi="Times New Roman" w:cs="Times New Roman" w:eastAsiaTheme="minorEastAsia"/>
          <w:b/>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b/>
          <w:color w:val="000000" w:themeColor="text1"/>
          <w:kern w:val="0"/>
          <w:sz w:val="24"/>
          <w:highlight w:val="none"/>
          <w:lang w:val="en-US" w:eastAsia="zh-CN"/>
          <w14:textFill>
            <w14:solidFill>
              <w14:schemeClr w14:val="tx1"/>
            </w14:solidFill>
          </w14:textFill>
        </w:rPr>
        <w:t>表3.1-</w:t>
      </w:r>
      <w:r>
        <w:rPr>
          <w:rFonts w:hint="eastAsia" w:cs="Times New Roman" w:eastAsiaTheme="minorEastAsia"/>
          <w:b/>
          <w:color w:val="000000" w:themeColor="text1"/>
          <w:kern w:val="0"/>
          <w:sz w:val="24"/>
          <w:highlight w:val="none"/>
          <w:lang w:val="en-US" w:eastAsia="zh-CN"/>
          <w14:textFill>
            <w14:solidFill>
              <w14:schemeClr w14:val="tx1"/>
            </w14:solidFill>
          </w14:textFill>
        </w:rPr>
        <w:t>7</w:t>
      </w:r>
      <w:r>
        <w:rPr>
          <w:rFonts w:hint="default" w:ascii="Times New Roman" w:hAnsi="Times New Roman" w:cs="Times New Roman" w:eastAsiaTheme="minorEastAsia"/>
          <w:b/>
          <w:color w:val="000000" w:themeColor="text1"/>
          <w:kern w:val="0"/>
          <w:sz w:val="24"/>
          <w:highlight w:val="none"/>
          <w:lang w:val="en-US" w:eastAsia="zh-CN"/>
          <w14:textFill>
            <w14:solidFill>
              <w14:schemeClr w14:val="tx1"/>
            </w14:solidFill>
          </w14:textFill>
        </w:rPr>
        <w:t xml:space="preserve">     本项目占地用水源地准保护区情况汇总表      单位：m</w:t>
      </w:r>
      <w:r>
        <w:rPr>
          <w:rFonts w:hint="default" w:ascii="Times New Roman" w:hAnsi="Times New Roman" w:cs="Times New Roman" w:eastAsiaTheme="minorEastAsia"/>
          <w:b/>
          <w:color w:val="000000" w:themeColor="text1"/>
          <w:kern w:val="0"/>
          <w:sz w:val="24"/>
          <w:highlight w:val="none"/>
          <w:vertAlign w:val="superscript"/>
          <w:lang w:val="en-US" w:eastAsia="zh-CN"/>
          <w14:textFill>
            <w14:solidFill>
              <w14:schemeClr w14:val="tx1"/>
            </w14:solidFill>
          </w14:textFill>
        </w:rPr>
        <w:t>2</w:t>
      </w:r>
    </w:p>
    <w:tbl>
      <w:tblPr>
        <w:tblStyle w:val="75"/>
        <w:tblW w:w="8983"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15" w:type="dxa"/>
          <w:left w:w="15" w:type="dxa"/>
          <w:bottom w:w="15" w:type="dxa"/>
          <w:right w:w="15" w:type="dxa"/>
        </w:tblCellMar>
      </w:tblPr>
      <w:tblGrid>
        <w:gridCol w:w="608"/>
        <w:gridCol w:w="2216"/>
        <w:gridCol w:w="1754"/>
        <w:gridCol w:w="2505"/>
        <w:gridCol w:w="1900"/>
      </w:tblGrid>
      <w:tr w14:paraId="0BFDC5D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40" w:hRule="atLeast"/>
          <w:tblHeader/>
          <w:jc w:val="center"/>
        </w:trPr>
        <w:tc>
          <w:tcPr>
            <w:tcW w:w="608" w:type="dxa"/>
            <w:vAlign w:val="center"/>
          </w:tcPr>
          <w:p w14:paraId="617849D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序号</w:t>
            </w:r>
          </w:p>
        </w:tc>
        <w:tc>
          <w:tcPr>
            <w:tcW w:w="2216" w:type="dxa"/>
            <w:vAlign w:val="center"/>
          </w:tcPr>
          <w:p w14:paraId="654EBD1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项目</w:t>
            </w:r>
          </w:p>
        </w:tc>
        <w:tc>
          <w:tcPr>
            <w:tcW w:w="1754" w:type="dxa"/>
            <w:vAlign w:val="center"/>
          </w:tcPr>
          <w:p w14:paraId="38E3F4B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永久性征用地</w:t>
            </w:r>
          </w:p>
        </w:tc>
        <w:tc>
          <w:tcPr>
            <w:tcW w:w="2505" w:type="dxa"/>
            <w:vAlign w:val="center"/>
          </w:tcPr>
          <w:p w14:paraId="05B6BBF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临时性征用地</w:t>
            </w:r>
          </w:p>
        </w:tc>
        <w:tc>
          <w:tcPr>
            <w:tcW w:w="1900" w:type="dxa"/>
            <w:vAlign w:val="center"/>
          </w:tcPr>
          <w:p w14:paraId="7237B92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备注</w:t>
            </w:r>
          </w:p>
        </w:tc>
      </w:tr>
      <w:tr w14:paraId="5174A83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40" w:hRule="atLeast"/>
          <w:jc w:val="center"/>
        </w:trPr>
        <w:tc>
          <w:tcPr>
            <w:tcW w:w="8983" w:type="dxa"/>
            <w:gridSpan w:val="5"/>
            <w:vAlign w:val="center"/>
          </w:tcPr>
          <w:p w14:paraId="61299AB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H4、H7、H8、H10～H13风机</w:t>
            </w:r>
          </w:p>
        </w:tc>
      </w:tr>
      <w:tr w14:paraId="25D9ABD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40" w:hRule="atLeast"/>
          <w:jc w:val="center"/>
        </w:trPr>
        <w:tc>
          <w:tcPr>
            <w:tcW w:w="608" w:type="dxa"/>
            <w:vAlign w:val="center"/>
          </w:tcPr>
          <w:p w14:paraId="6A17BA8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1</w:t>
            </w:r>
          </w:p>
        </w:tc>
        <w:tc>
          <w:tcPr>
            <w:tcW w:w="2216" w:type="dxa"/>
            <w:vAlign w:val="center"/>
          </w:tcPr>
          <w:p w14:paraId="1137B7B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风机基础</w:t>
            </w:r>
          </w:p>
        </w:tc>
        <w:tc>
          <w:tcPr>
            <w:tcW w:w="1754" w:type="dxa"/>
            <w:vAlign w:val="center"/>
          </w:tcPr>
          <w:p w14:paraId="649AED6C">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jc w:val="center"/>
              <w:textAlignment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3167</w:t>
            </w:r>
          </w:p>
        </w:tc>
        <w:tc>
          <w:tcPr>
            <w:tcW w:w="2505" w:type="dxa"/>
            <w:vAlign w:val="center"/>
          </w:tcPr>
          <w:p w14:paraId="32D465F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w:t>
            </w:r>
          </w:p>
        </w:tc>
        <w:tc>
          <w:tcPr>
            <w:tcW w:w="1900" w:type="dxa"/>
            <w:vAlign w:val="center"/>
          </w:tcPr>
          <w:p w14:paraId="5511A48F">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共</w:t>
            </w:r>
            <w:r>
              <w:rPr>
                <w:rFonts w:hint="eastAsia" w:cs="Times New Roman" w:eastAsiaTheme="minorEastAsia"/>
                <w:color w:val="000000" w:themeColor="text1"/>
                <w:sz w:val="21"/>
                <w:szCs w:val="21"/>
                <w:highlight w:val="none"/>
                <w:lang w:val="en-US" w:eastAsia="zh-CN"/>
                <w14:textFill>
                  <w14:solidFill>
                    <w14:schemeClr w14:val="tx1"/>
                  </w14:solidFill>
                </w14:textFill>
              </w:rPr>
              <w:t>7</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台风机</w:t>
            </w:r>
          </w:p>
        </w:tc>
      </w:tr>
      <w:tr w14:paraId="22A5877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40" w:hRule="atLeast"/>
          <w:jc w:val="center"/>
        </w:trPr>
        <w:tc>
          <w:tcPr>
            <w:tcW w:w="608" w:type="dxa"/>
            <w:vAlign w:val="center"/>
          </w:tcPr>
          <w:p w14:paraId="653F328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w:t>
            </w:r>
          </w:p>
        </w:tc>
        <w:tc>
          <w:tcPr>
            <w:tcW w:w="2216" w:type="dxa"/>
            <w:vAlign w:val="center"/>
          </w:tcPr>
          <w:p w14:paraId="4990145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箱变基础</w:t>
            </w:r>
          </w:p>
        </w:tc>
        <w:tc>
          <w:tcPr>
            <w:tcW w:w="1754" w:type="dxa"/>
            <w:vAlign w:val="center"/>
          </w:tcPr>
          <w:p w14:paraId="52037718">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jc w:val="center"/>
              <w:textAlignment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560</w:t>
            </w:r>
          </w:p>
        </w:tc>
        <w:tc>
          <w:tcPr>
            <w:tcW w:w="2505" w:type="dxa"/>
            <w:vAlign w:val="center"/>
          </w:tcPr>
          <w:p w14:paraId="34D6E9A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w:t>
            </w:r>
          </w:p>
        </w:tc>
        <w:tc>
          <w:tcPr>
            <w:tcW w:w="1900" w:type="dxa"/>
            <w:vAlign w:val="center"/>
          </w:tcPr>
          <w:p w14:paraId="5E650BBF">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共</w:t>
            </w:r>
            <w:r>
              <w:rPr>
                <w:rFonts w:hint="eastAsia" w:cs="Times New Roman" w:eastAsiaTheme="minorEastAsia"/>
                <w:color w:val="000000" w:themeColor="text1"/>
                <w:sz w:val="21"/>
                <w:szCs w:val="21"/>
                <w:highlight w:val="none"/>
                <w:lang w:val="en-US" w:eastAsia="zh-CN"/>
                <w14:textFill>
                  <w14:solidFill>
                    <w14:schemeClr w14:val="tx1"/>
                  </w14:solidFill>
                </w14:textFill>
              </w:rPr>
              <w:t>7</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个箱变</w:t>
            </w:r>
          </w:p>
        </w:tc>
      </w:tr>
      <w:tr w14:paraId="6CDDD56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40" w:hRule="atLeast"/>
          <w:jc w:val="center"/>
        </w:trPr>
        <w:tc>
          <w:tcPr>
            <w:tcW w:w="608" w:type="dxa"/>
            <w:vAlign w:val="center"/>
          </w:tcPr>
          <w:p w14:paraId="392B27F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3</w:t>
            </w:r>
          </w:p>
        </w:tc>
        <w:tc>
          <w:tcPr>
            <w:tcW w:w="2216" w:type="dxa"/>
            <w:vAlign w:val="center"/>
          </w:tcPr>
          <w:p w14:paraId="13543B1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风机安装场地</w:t>
            </w:r>
          </w:p>
        </w:tc>
        <w:tc>
          <w:tcPr>
            <w:tcW w:w="1754" w:type="dxa"/>
            <w:tcBorders>
              <w:right w:val="single" w:color="auto" w:sz="4" w:space="0"/>
            </w:tcBorders>
            <w:vAlign w:val="center"/>
          </w:tcPr>
          <w:p w14:paraId="1BD44AF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w:t>
            </w:r>
          </w:p>
        </w:tc>
        <w:tc>
          <w:tcPr>
            <w:tcW w:w="2505" w:type="dxa"/>
            <w:vAlign w:val="center"/>
          </w:tcPr>
          <w:p w14:paraId="2A28CC62">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21700</w:t>
            </w:r>
          </w:p>
        </w:tc>
        <w:tc>
          <w:tcPr>
            <w:tcW w:w="1900" w:type="dxa"/>
            <w:vAlign w:val="center"/>
          </w:tcPr>
          <w:p w14:paraId="0AE718D5">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共</w:t>
            </w:r>
            <w:r>
              <w:rPr>
                <w:rFonts w:hint="eastAsia" w:cs="Times New Roman" w:eastAsiaTheme="minorEastAsia"/>
                <w:color w:val="000000" w:themeColor="text1"/>
                <w:sz w:val="21"/>
                <w:szCs w:val="21"/>
                <w:highlight w:val="none"/>
                <w:lang w:val="en-US" w:eastAsia="zh-CN"/>
                <w14:textFill>
                  <w14:solidFill>
                    <w14:schemeClr w14:val="tx1"/>
                  </w14:solidFill>
                </w14:textFill>
              </w:rPr>
              <w:t>7</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个安装场地</w:t>
            </w:r>
          </w:p>
        </w:tc>
      </w:tr>
      <w:tr w14:paraId="567CC7C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40" w:hRule="atLeast"/>
          <w:jc w:val="center"/>
        </w:trPr>
        <w:tc>
          <w:tcPr>
            <w:tcW w:w="608" w:type="dxa"/>
            <w:shd w:val="clear" w:color="auto" w:fill="auto"/>
            <w:vAlign w:val="center"/>
          </w:tcPr>
          <w:p w14:paraId="4921D64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4</w:t>
            </w:r>
          </w:p>
        </w:tc>
        <w:tc>
          <w:tcPr>
            <w:tcW w:w="2216" w:type="dxa"/>
            <w:vMerge w:val="restart"/>
            <w:vAlign w:val="top"/>
          </w:tcPr>
          <w:p w14:paraId="7D40351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集电线路</w:t>
            </w:r>
          </w:p>
          <w:p w14:paraId="4AD6B12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（长10.66km）</w:t>
            </w:r>
          </w:p>
        </w:tc>
        <w:tc>
          <w:tcPr>
            <w:tcW w:w="1754" w:type="dxa"/>
            <w:tcBorders>
              <w:right w:val="single" w:color="auto" w:sz="4" w:space="0"/>
            </w:tcBorders>
            <w:vAlign w:val="center"/>
          </w:tcPr>
          <w:p w14:paraId="5C2EB9A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420</w:t>
            </w:r>
          </w:p>
        </w:tc>
        <w:tc>
          <w:tcPr>
            <w:tcW w:w="2505" w:type="dxa"/>
            <w:vAlign w:val="center"/>
          </w:tcPr>
          <w:p w14:paraId="7B65429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w:t>
            </w:r>
          </w:p>
        </w:tc>
        <w:tc>
          <w:tcPr>
            <w:tcW w:w="1900" w:type="dxa"/>
            <w:vAlign w:val="center"/>
          </w:tcPr>
          <w:p w14:paraId="6587C14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杆塔</w:t>
            </w:r>
            <w:r>
              <w:rPr>
                <w:rFonts w:hint="eastAsia" w:cs="Times New Roman" w:eastAsiaTheme="minorEastAsia"/>
                <w:color w:val="000000" w:themeColor="text1"/>
                <w:sz w:val="21"/>
                <w:szCs w:val="21"/>
                <w:highlight w:val="none"/>
                <w:lang w:val="en-US" w:eastAsia="zh-CN"/>
                <w14:textFill>
                  <w14:solidFill>
                    <w14:schemeClr w14:val="tx1"/>
                  </w14:solidFill>
                </w14:textFill>
              </w:rPr>
              <w:t>共计42基</w:t>
            </w:r>
          </w:p>
        </w:tc>
      </w:tr>
      <w:tr w14:paraId="1E5792A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40" w:hRule="atLeast"/>
          <w:jc w:val="center"/>
        </w:trPr>
        <w:tc>
          <w:tcPr>
            <w:tcW w:w="608" w:type="dxa"/>
            <w:shd w:val="clear" w:color="auto" w:fill="auto"/>
            <w:vAlign w:val="center"/>
          </w:tcPr>
          <w:p w14:paraId="0530458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5</w:t>
            </w:r>
          </w:p>
        </w:tc>
        <w:tc>
          <w:tcPr>
            <w:tcW w:w="2216" w:type="dxa"/>
            <w:vMerge w:val="continue"/>
            <w:vAlign w:val="center"/>
          </w:tcPr>
          <w:p w14:paraId="5310C9C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1754" w:type="dxa"/>
            <w:tcBorders>
              <w:right w:val="single" w:color="auto" w:sz="4" w:space="0"/>
            </w:tcBorders>
            <w:vAlign w:val="center"/>
          </w:tcPr>
          <w:p w14:paraId="77CC763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w:t>
            </w:r>
          </w:p>
        </w:tc>
        <w:tc>
          <w:tcPr>
            <w:tcW w:w="2505" w:type="dxa"/>
            <w:vAlign w:val="center"/>
          </w:tcPr>
          <w:p w14:paraId="319EB0C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1050</w:t>
            </w:r>
          </w:p>
        </w:tc>
        <w:tc>
          <w:tcPr>
            <w:tcW w:w="1900" w:type="dxa"/>
            <w:vAlign w:val="center"/>
          </w:tcPr>
          <w:p w14:paraId="55EEBC8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直埋线缆</w:t>
            </w:r>
          </w:p>
        </w:tc>
      </w:tr>
      <w:tr w14:paraId="1409B7C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40" w:hRule="atLeast"/>
          <w:jc w:val="center"/>
        </w:trPr>
        <w:tc>
          <w:tcPr>
            <w:tcW w:w="608" w:type="dxa"/>
            <w:shd w:val="clear" w:color="auto" w:fill="auto"/>
            <w:vAlign w:val="center"/>
          </w:tcPr>
          <w:p w14:paraId="7D88D99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6</w:t>
            </w:r>
          </w:p>
        </w:tc>
        <w:tc>
          <w:tcPr>
            <w:tcW w:w="2216" w:type="dxa"/>
            <w:vAlign w:val="center"/>
          </w:tcPr>
          <w:p w14:paraId="28E6F88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临时施工道路</w:t>
            </w:r>
          </w:p>
        </w:tc>
        <w:tc>
          <w:tcPr>
            <w:tcW w:w="1754" w:type="dxa"/>
            <w:tcBorders>
              <w:right w:val="single" w:color="auto" w:sz="4" w:space="0"/>
            </w:tcBorders>
            <w:vAlign w:val="center"/>
          </w:tcPr>
          <w:p w14:paraId="4BD8E5C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23400</w:t>
            </w:r>
          </w:p>
        </w:tc>
        <w:tc>
          <w:tcPr>
            <w:tcW w:w="2505" w:type="dxa"/>
            <w:vAlign w:val="center"/>
          </w:tcPr>
          <w:p w14:paraId="1BC177B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13</w:t>
            </w:r>
            <w:r>
              <w:rPr>
                <w:rFonts w:hint="eastAsia" w:cs="Times New Roman" w:eastAsiaTheme="minorEastAsia"/>
                <w:color w:val="000000" w:themeColor="text1"/>
                <w:sz w:val="21"/>
                <w:szCs w:val="21"/>
                <w:highlight w:val="none"/>
                <w:lang w:val="en-US" w:eastAsia="zh-CN"/>
                <w14:textFill>
                  <w14:solidFill>
                    <w14:schemeClr w14:val="tx1"/>
                  </w14:solidFill>
                </w14:textFill>
              </w:rPr>
              <w:t>000</w:t>
            </w:r>
          </w:p>
        </w:tc>
        <w:tc>
          <w:tcPr>
            <w:tcW w:w="1900" w:type="dxa"/>
            <w:vAlign w:val="center"/>
          </w:tcPr>
          <w:p w14:paraId="1B43A63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约5.2km，</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后期留作检修道路</w:t>
            </w:r>
          </w:p>
        </w:tc>
      </w:tr>
      <w:tr w14:paraId="192DA7A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40" w:hRule="atLeast"/>
          <w:jc w:val="center"/>
        </w:trPr>
        <w:tc>
          <w:tcPr>
            <w:tcW w:w="608" w:type="dxa"/>
            <w:shd w:val="clear" w:color="auto" w:fill="auto"/>
            <w:vAlign w:val="center"/>
          </w:tcPr>
          <w:p w14:paraId="65F4257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7</w:t>
            </w:r>
          </w:p>
        </w:tc>
        <w:tc>
          <w:tcPr>
            <w:tcW w:w="2216" w:type="dxa"/>
            <w:vAlign w:val="center"/>
          </w:tcPr>
          <w:p w14:paraId="748A143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施工临建场地</w:t>
            </w:r>
          </w:p>
        </w:tc>
        <w:tc>
          <w:tcPr>
            <w:tcW w:w="1754" w:type="dxa"/>
            <w:tcBorders>
              <w:right w:val="single" w:color="auto" w:sz="4" w:space="0"/>
            </w:tcBorders>
            <w:vAlign w:val="center"/>
          </w:tcPr>
          <w:p w14:paraId="2748E0D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w:t>
            </w:r>
          </w:p>
        </w:tc>
        <w:tc>
          <w:tcPr>
            <w:tcW w:w="2505" w:type="dxa"/>
            <w:vAlign w:val="center"/>
          </w:tcPr>
          <w:p w14:paraId="33BE653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20000</w:t>
            </w:r>
          </w:p>
        </w:tc>
        <w:tc>
          <w:tcPr>
            <w:tcW w:w="1900" w:type="dxa"/>
            <w:vAlign w:val="center"/>
          </w:tcPr>
          <w:p w14:paraId="0048FDA3">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r>
      <w:tr w14:paraId="63AEADD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40" w:hRule="atLeast"/>
          <w:jc w:val="center"/>
        </w:trPr>
        <w:tc>
          <w:tcPr>
            <w:tcW w:w="2824" w:type="dxa"/>
            <w:gridSpan w:val="2"/>
            <w:vAlign w:val="center"/>
          </w:tcPr>
          <w:p w14:paraId="607B6A92">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小计</w:t>
            </w:r>
          </w:p>
        </w:tc>
        <w:tc>
          <w:tcPr>
            <w:tcW w:w="1754" w:type="dxa"/>
            <w:tcBorders>
              <w:right w:val="single" w:color="auto" w:sz="4" w:space="0"/>
            </w:tcBorders>
            <w:vAlign w:val="center"/>
          </w:tcPr>
          <w:p w14:paraId="3B6BB20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27547</w:t>
            </w:r>
          </w:p>
        </w:tc>
        <w:tc>
          <w:tcPr>
            <w:tcW w:w="2505" w:type="dxa"/>
            <w:vAlign w:val="center"/>
          </w:tcPr>
          <w:p w14:paraId="2A976D2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55750</w:t>
            </w:r>
          </w:p>
        </w:tc>
        <w:tc>
          <w:tcPr>
            <w:tcW w:w="1900" w:type="dxa"/>
            <w:vAlign w:val="center"/>
          </w:tcPr>
          <w:p w14:paraId="416BEBAD">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r>
      <w:tr w14:paraId="45864EA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40" w:hRule="atLeast"/>
          <w:jc w:val="center"/>
        </w:trPr>
        <w:tc>
          <w:tcPr>
            <w:tcW w:w="2824" w:type="dxa"/>
            <w:gridSpan w:val="2"/>
            <w:vAlign w:val="center"/>
          </w:tcPr>
          <w:p w14:paraId="3882D840">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合计</w:t>
            </w:r>
          </w:p>
        </w:tc>
        <w:tc>
          <w:tcPr>
            <w:tcW w:w="4259" w:type="dxa"/>
            <w:gridSpan w:val="2"/>
            <w:vAlign w:val="center"/>
          </w:tcPr>
          <w:p w14:paraId="477E4A0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eastAsia="宋体" w:cs="Times New Roman"/>
                <w:i w:val="0"/>
                <w:iCs w:val="0"/>
                <w:color w:val="000000" w:themeColor="text1"/>
                <w:kern w:val="0"/>
                <w:sz w:val="21"/>
                <w:szCs w:val="21"/>
                <w:u w:val="none"/>
                <w:lang w:val="en-US" w:eastAsia="zh-CN" w:bidi="ar"/>
                <w14:textFill>
                  <w14:solidFill>
                    <w14:schemeClr w14:val="tx1"/>
                  </w14:solidFill>
                </w14:textFill>
              </w:rPr>
              <w:t>83297</w:t>
            </w:r>
          </w:p>
        </w:tc>
        <w:tc>
          <w:tcPr>
            <w:tcW w:w="1900" w:type="dxa"/>
            <w:vAlign w:val="center"/>
          </w:tcPr>
          <w:p w14:paraId="0C5142A5">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r>
    </w:tbl>
    <w:p w14:paraId="4A07549A">
      <w:pPr>
        <w:pStyle w:val="7"/>
        <w:jc w:val="both"/>
        <w:rPr>
          <w:rFonts w:hint="default"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t>3.1.</w:t>
      </w:r>
      <w:r>
        <w:rPr>
          <w:rFonts w:hint="eastAsia" w:cs="Times New Roman" w:eastAsiaTheme="minorEastAsia"/>
          <w:b/>
          <w:bCs/>
          <w:snapToGrid w:val="0"/>
          <w:color w:val="000000" w:themeColor="text1"/>
          <w:sz w:val="24"/>
          <w:highlight w:val="none"/>
          <w:lang w:val="en-US" w:eastAsia="zh-CN"/>
          <w14:textFill>
            <w14:solidFill>
              <w14:schemeClr w14:val="tx1"/>
            </w14:solidFill>
          </w14:textFill>
        </w:rPr>
        <w:t>6</w:t>
      </w:r>
      <w:r>
        <w:rPr>
          <w:rFonts w:hint="default"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t>.2 土石方平衡</w:t>
      </w:r>
    </w:p>
    <w:p w14:paraId="46D2297F">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本项目风电场区施工过程中土石方主要来自风机基础、箱变基础、道路、</w:t>
      </w:r>
      <w:r>
        <w:rPr>
          <w:rFonts w:hint="eastAsia" w:cs="Times New Roman" w:eastAsiaTheme="minorEastAsia"/>
          <w:snapToGrid w:val="0"/>
          <w:color w:val="000000" w:themeColor="text1"/>
          <w:sz w:val="24"/>
          <w:highlight w:val="none"/>
          <w:lang w:val="en-US" w:eastAsia="zh-CN"/>
          <w14:textFill>
            <w14:solidFill>
              <w14:schemeClr w14:val="tx1"/>
            </w14:solidFill>
          </w14:textFill>
        </w:rPr>
        <w:t>集电</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线路塔基和临时吊装平台等土建施工。本项目开挖土方</w:t>
      </w:r>
      <w:r>
        <w:rPr>
          <w:rFonts w:hint="eastAsia" w:cs="Times New Roman" w:eastAsiaTheme="minorEastAsia"/>
          <w:snapToGrid w:val="0"/>
          <w:color w:val="000000" w:themeColor="text1"/>
          <w:sz w:val="24"/>
          <w:highlight w:val="none"/>
          <w:lang w:val="en-US" w:eastAsia="zh-CN"/>
          <w14:textFill>
            <w14:solidFill>
              <w14:schemeClr w14:val="tx1"/>
            </w14:solidFill>
          </w14:textFill>
        </w:rPr>
        <w:t>21.1322</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万m</w:t>
      </w:r>
      <w:r>
        <w:rPr>
          <w:rFonts w:hint="default" w:ascii="Times New Roman" w:hAnsi="Times New Roman" w:cs="Times New Roman" w:eastAsiaTheme="minorEastAsia"/>
          <w:snapToGrid w:val="0"/>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，回填土方</w:t>
      </w:r>
      <w:r>
        <w:rPr>
          <w:rFonts w:hint="eastAsia" w:cs="Times New Roman" w:eastAsiaTheme="minorEastAsia"/>
          <w:snapToGrid w:val="0"/>
          <w:color w:val="000000" w:themeColor="text1"/>
          <w:sz w:val="24"/>
          <w:highlight w:val="none"/>
          <w:lang w:val="en-US" w:eastAsia="zh-CN"/>
          <w14:textFill>
            <w14:solidFill>
              <w14:schemeClr w14:val="tx1"/>
            </w14:solidFill>
          </w14:textFill>
        </w:rPr>
        <w:t>19.827</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万m</w:t>
      </w:r>
      <w:r>
        <w:rPr>
          <w:rFonts w:hint="default" w:ascii="Times New Roman" w:hAnsi="Times New Roman" w:cs="Times New Roman" w:eastAsiaTheme="minorEastAsia"/>
          <w:snapToGrid w:val="0"/>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，外借土方（外购垫层料）</w:t>
      </w:r>
      <w:r>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1.3052</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万m</w:t>
      </w:r>
      <w:r>
        <w:rPr>
          <w:rFonts w:hint="default" w:ascii="Times New Roman" w:hAnsi="Times New Roman" w:cs="Times New Roman" w:eastAsiaTheme="minorEastAsia"/>
          <w:snapToGrid w:val="0"/>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，无排弃土方。</w:t>
      </w:r>
    </w:p>
    <w:p w14:paraId="6E414DB1">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本项目土石方平衡详见表3.1-</w:t>
      </w:r>
      <w:r>
        <w:rPr>
          <w:rFonts w:hint="eastAsia" w:cs="Times New Roman" w:eastAsiaTheme="minorEastAsia"/>
          <w:snapToGrid w:val="0"/>
          <w:color w:val="000000" w:themeColor="text1"/>
          <w:sz w:val="24"/>
          <w:highlight w:val="none"/>
          <w:lang w:val="en-US" w:eastAsia="zh-CN"/>
          <w14:textFill>
            <w14:solidFill>
              <w14:schemeClr w14:val="tx1"/>
            </w14:solidFill>
          </w14:textFill>
        </w:rPr>
        <w:t>8</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w:t>
      </w:r>
    </w:p>
    <w:p w14:paraId="61B82B2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color w:val="000000" w:themeColor="text1"/>
          <w:kern w:val="0"/>
          <w:sz w:val="24"/>
          <w:highlight w:val="none"/>
          <w:vertAlign w:val="superscript"/>
          <w:lang w:val="en-US" w:eastAsia="zh-CN"/>
          <w14:textFill>
            <w14:solidFill>
              <w14:schemeClr w14:val="tx1"/>
            </w14:solidFill>
          </w14:textFill>
        </w:rPr>
      </w:pPr>
      <w:r>
        <w:rPr>
          <w:rFonts w:hint="eastAsia" w:cs="Times New Roman" w:eastAsiaTheme="minorEastAsia"/>
          <w:b/>
          <w:color w:val="000000" w:themeColor="text1"/>
          <w:kern w:val="0"/>
          <w:sz w:val="24"/>
          <w:highlight w:val="none"/>
          <w:lang w:val="en-US" w:eastAsia="zh-CN"/>
          <w14:textFill>
            <w14:solidFill>
              <w14:schemeClr w14:val="tx1"/>
            </w14:solidFill>
          </w14:textFill>
        </w:rPr>
        <w:t xml:space="preserve"> </w:t>
      </w:r>
      <w:r>
        <w:rPr>
          <w:rFonts w:hint="default" w:ascii="Times New Roman" w:hAnsi="Times New Roman" w:cs="Times New Roman" w:eastAsiaTheme="minorEastAsia"/>
          <w:b/>
          <w:color w:val="000000" w:themeColor="text1"/>
          <w:kern w:val="0"/>
          <w:sz w:val="24"/>
          <w:highlight w:val="none"/>
          <w:lang w:val="en-US" w:eastAsia="zh-CN"/>
          <w14:textFill>
            <w14:solidFill>
              <w14:schemeClr w14:val="tx1"/>
            </w14:solidFill>
          </w14:textFill>
        </w:rPr>
        <w:t>表3.1-</w:t>
      </w:r>
      <w:r>
        <w:rPr>
          <w:rFonts w:hint="eastAsia" w:cs="Times New Roman" w:eastAsiaTheme="minorEastAsia"/>
          <w:b/>
          <w:color w:val="000000" w:themeColor="text1"/>
          <w:kern w:val="0"/>
          <w:sz w:val="24"/>
          <w:highlight w:val="none"/>
          <w:lang w:val="en-US" w:eastAsia="zh-CN"/>
          <w14:textFill>
            <w14:solidFill>
              <w14:schemeClr w14:val="tx1"/>
            </w14:solidFill>
          </w14:textFill>
        </w:rPr>
        <w:t>8</w:t>
      </w:r>
      <w:r>
        <w:rPr>
          <w:rFonts w:hint="default" w:ascii="Times New Roman" w:hAnsi="Times New Roman" w:cs="Times New Roman" w:eastAsiaTheme="minorEastAsia"/>
          <w:b/>
          <w:color w:val="000000" w:themeColor="text1"/>
          <w:kern w:val="0"/>
          <w:sz w:val="24"/>
          <w:highlight w:val="none"/>
          <w:lang w:val="en-US" w:eastAsia="zh-CN"/>
          <w14:textFill>
            <w14:solidFill>
              <w14:schemeClr w14:val="tx1"/>
            </w14:solidFill>
          </w14:textFill>
        </w:rPr>
        <w:t xml:space="preserve">   </w:t>
      </w:r>
      <w:r>
        <w:rPr>
          <w:rFonts w:hint="eastAsia" w:cs="Times New Roman" w:eastAsiaTheme="minorEastAsia"/>
          <w:b/>
          <w:color w:val="000000" w:themeColor="text1"/>
          <w:kern w:val="0"/>
          <w:sz w:val="24"/>
          <w:highlight w:val="none"/>
          <w:lang w:val="en-US" w:eastAsia="zh-CN"/>
          <w14:textFill>
            <w14:solidFill>
              <w14:schemeClr w14:val="tx1"/>
            </w14:solidFill>
          </w14:textFill>
        </w:rPr>
        <w:t xml:space="preserve">             </w:t>
      </w:r>
      <w:r>
        <w:rPr>
          <w:rFonts w:hint="default" w:ascii="Times New Roman" w:hAnsi="Times New Roman" w:cs="Times New Roman" w:eastAsiaTheme="minorEastAsia"/>
          <w:b/>
          <w:color w:val="000000" w:themeColor="text1"/>
          <w:kern w:val="0"/>
          <w:sz w:val="24"/>
          <w:highlight w:val="none"/>
          <w:lang w:val="en-US" w:eastAsia="zh-CN"/>
          <w14:textFill>
            <w14:solidFill>
              <w14:schemeClr w14:val="tx1"/>
            </w14:solidFill>
          </w14:textFill>
        </w:rPr>
        <w:t xml:space="preserve"> 土石方平衡表                 单位：</w:t>
      </w:r>
      <w:r>
        <w:rPr>
          <w:rFonts w:hint="eastAsia" w:cs="Times New Roman" w:eastAsiaTheme="minorEastAsia"/>
          <w:b/>
          <w:color w:val="000000" w:themeColor="text1"/>
          <w:kern w:val="0"/>
          <w:sz w:val="24"/>
          <w:highlight w:val="none"/>
          <w:lang w:val="en-US" w:eastAsia="zh-CN"/>
          <w14:textFill>
            <w14:solidFill>
              <w14:schemeClr w14:val="tx1"/>
            </w14:solidFill>
          </w14:textFill>
        </w:rPr>
        <w:t>万</w:t>
      </w:r>
      <w:r>
        <w:rPr>
          <w:rFonts w:hint="default" w:ascii="Times New Roman" w:hAnsi="Times New Roman" w:cs="Times New Roman" w:eastAsiaTheme="minorEastAsia"/>
          <w:b/>
          <w:color w:val="000000" w:themeColor="text1"/>
          <w:kern w:val="0"/>
          <w:sz w:val="24"/>
          <w:highlight w:val="none"/>
          <w:lang w:val="en-US" w:eastAsia="zh-CN"/>
          <w14:textFill>
            <w14:solidFill>
              <w14:schemeClr w14:val="tx1"/>
            </w14:solidFill>
          </w14:textFill>
        </w:rPr>
        <w:t>m</w:t>
      </w:r>
      <w:r>
        <w:rPr>
          <w:rFonts w:hint="default" w:ascii="Times New Roman" w:hAnsi="Times New Roman" w:cs="Times New Roman" w:eastAsiaTheme="minorEastAsia"/>
          <w:b/>
          <w:color w:val="000000" w:themeColor="text1"/>
          <w:kern w:val="0"/>
          <w:sz w:val="24"/>
          <w:highlight w:val="none"/>
          <w:vertAlign w:val="superscript"/>
          <w:lang w:val="en-US" w:eastAsia="zh-CN"/>
          <w14:textFill>
            <w14:solidFill>
              <w14:schemeClr w14:val="tx1"/>
            </w14:solidFill>
          </w14:textFill>
        </w:rPr>
        <w:t>3</w:t>
      </w:r>
    </w:p>
    <w:tbl>
      <w:tblPr>
        <w:tblStyle w:val="76"/>
        <w:tblW w:w="4996"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85"/>
        <w:gridCol w:w="2703"/>
        <w:gridCol w:w="1165"/>
        <w:gridCol w:w="1260"/>
        <w:gridCol w:w="1110"/>
        <w:gridCol w:w="1022"/>
        <w:gridCol w:w="1022"/>
      </w:tblGrid>
      <w:tr w14:paraId="0F12B4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83" w:type="pct"/>
            <w:tcBorders>
              <w:tl2br w:val="nil"/>
              <w:tr2bl w:val="nil"/>
            </w:tcBorders>
            <w:vAlign w:val="center"/>
          </w:tcPr>
          <w:p w14:paraId="68274D0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项目区</w:t>
            </w:r>
          </w:p>
        </w:tc>
        <w:tc>
          <w:tcPr>
            <w:tcW w:w="1473" w:type="pct"/>
            <w:tcBorders>
              <w:tl2br w:val="nil"/>
              <w:tr2bl w:val="nil"/>
            </w:tcBorders>
            <w:vAlign w:val="center"/>
          </w:tcPr>
          <w:p w14:paraId="0C1FB45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项目土石方工程量</w:t>
            </w:r>
          </w:p>
        </w:tc>
        <w:tc>
          <w:tcPr>
            <w:tcW w:w="635" w:type="pct"/>
            <w:tcBorders>
              <w:tl2br w:val="nil"/>
              <w:tr2bl w:val="nil"/>
            </w:tcBorders>
            <w:vAlign w:val="center"/>
          </w:tcPr>
          <w:p w14:paraId="65713B7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开挖</w:t>
            </w:r>
          </w:p>
        </w:tc>
        <w:tc>
          <w:tcPr>
            <w:tcW w:w="687" w:type="pct"/>
            <w:tcBorders>
              <w:tl2br w:val="nil"/>
              <w:tr2bl w:val="nil"/>
            </w:tcBorders>
            <w:vAlign w:val="center"/>
          </w:tcPr>
          <w:p w14:paraId="444D73C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回填</w:t>
            </w:r>
          </w:p>
        </w:tc>
        <w:tc>
          <w:tcPr>
            <w:tcW w:w="605" w:type="pct"/>
            <w:tcBorders>
              <w:tl2br w:val="nil"/>
              <w:tr2bl w:val="nil"/>
            </w:tcBorders>
            <w:vAlign w:val="center"/>
          </w:tcPr>
          <w:p w14:paraId="7AF1D95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调入</w:t>
            </w:r>
          </w:p>
        </w:tc>
        <w:tc>
          <w:tcPr>
            <w:tcW w:w="557" w:type="pct"/>
            <w:tcBorders>
              <w:tl2br w:val="nil"/>
              <w:tr2bl w:val="nil"/>
            </w:tcBorders>
            <w:vAlign w:val="center"/>
          </w:tcPr>
          <w:p w14:paraId="207F06B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调出</w:t>
            </w:r>
          </w:p>
        </w:tc>
        <w:tc>
          <w:tcPr>
            <w:tcW w:w="557" w:type="pct"/>
            <w:tcBorders>
              <w:tl2br w:val="nil"/>
              <w:tr2bl w:val="nil"/>
            </w:tcBorders>
            <w:vAlign w:val="center"/>
          </w:tcPr>
          <w:p w14:paraId="4296F3E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外借</w:t>
            </w:r>
          </w:p>
        </w:tc>
      </w:tr>
      <w:tr w14:paraId="1EA413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83" w:type="pct"/>
            <w:vMerge w:val="restart"/>
            <w:tcBorders>
              <w:tl2br w:val="nil"/>
              <w:tr2bl w:val="nil"/>
            </w:tcBorders>
            <w:vAlign w:val="center"/>
          </w:tcPr>
          <w:p w14:paraId="5503AA3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风电场区</w:t>
            </w:r>
          </w:p>
        </w:tc>
        <w:tc>
          <w:tcPr>
            <w:tcW w:w="1473" w:type="pct"/>
            <w:tcBorders>
              <w:tl2br w:val="nil"/>
              <w:tr2bl w:val="nil"/>
            </w:tcBorders>
            <w:vAlign w:val="center"/>
          </w:tcPr>
          <w:p w14:paraId="2DAD661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风电基础开挖及回填</w:t>
            </w:r>
          </w:p>
        </w:tc>
        <w:tc>
          <w:tcPr>
            <w:tcW w:w="635" w:type="pct"/>
            <w:tcBorders>
              <w:tl2br w:val="nil"/>
              <w:tr2bl w:val="nil"/>
            </w:tcBorders>
            <w:vAlign w:val="center"/>
          </w:tcPr>
          <w:p w14:paraId="6BC05FF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8.838</w:t>
            </w:r>
          </w:p>
        </w:tc>
        <w:tc>
          <w:tcPr>
            <w:tcW w:w="687" w:type="pct"/>
            <w:tcBorders>
              <w:tl2br w:val="nil"/>
              <w:tr2bl w:val="nil"/>
            </w:tcBorders>
            <w:vAlign w:val="center"/>
          </w:tcPr>
          <w:p w14:paraId="22E5BF4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6.6105</w:t>
            </w:r>
          </w:p>
        </w:tc>
        <w:tc>
          <w:tcPr>
            <w:tcW w:w="605" w:type="pct"/>
            <w:tcBorders>
              <w:tl2br w:val="nil"/>
              <w:tr2bl w:val="nil"/>
            </w:tcBorders>
            <w:vAlign w:val="center"/>
          </w:tcPr>
          <w:p w14:paraId="38A6533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0.9125</w:t>
            </w:r>
          </w:p>
        </w:tc>
        <w:tc>
          <w:tcPr>
            <w:tcW w:w="1022" w:type="dxa"/>
            <w:tcBorders>
              <w:tl2br w:val="nil"/>
              <w:tr2bl w:val="nil"/>
            </w:tcBorders>
            <w:vAlign w:val="center"/>
          </w:tcPr>
          <w:p w14:paraId="44459E1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2.50</w:t>
            </w:r>
          </w:p>
        </w:tc>
        <w:tc>
          <w:tcPr>
            <w:tcW w:w="557" w:type="pct"/>
            <w:tcBorders>
              <w:tl2br w:val="nil"/>
              <w:tr2bl w:val="nil"/>
            </w:tcBorders>
            <w:vAlign w:val="center"/>
          </w:tcPr>
          <w:p w14:paraId="1688034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0.6615</w:t>
            </w:r>
          </w:p>
        </w:tc>
      </w:tr>
      <w:tr w14:paraId="2C478C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83" w:type="pct"/>
            <w:vMerge w:val="continue"/>
            <w:tcBorders>
              <w:tl2br w:val="nil"/>
              <w:tr2bl w:val="nil"/>
            </w:tcBorders>
            <w:vAlign w:val="center"/>
          </w:tcPr>
          <w:p w14:paraId="1657329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1473" w:type="pct"/>
            <w:tcBorders>
              <w:tl2br w:val="nil"/>
              <w:tr2bl w:val="nil"/>
            </w:tcBorders>
            <w:vAlign w:val="center"/>
          </w:tcPr>
          <w:p w14:paraId="1775625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箱变基础开挖及回填</w:t>
            </w:r>
          </w:p>
        </w:tc>
        <w:tc>
          <w:tcPr>
            <w:tcW w:w="635" w:type="pct"/>
            <w:tcBorders>
              <w:tl2br w:val="nil"/>
              <w:tr2bl w:val="nil"/>
            </w:tcBorders>
            <w:vAlign w:val="center"/>
          </w:tcPr>
          <w:p w14:paraId="422FE21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0.3402</w:t>
            </w:r>
          </w:p>
        </w:tc>
        <w:tc>
          <w:tcPr>
            <w:tcW w:w="687" w:type="pct"/>
            <w:tcBorders>
              <w:tl2br w:val="nil"/>
              <w:tr2bl w:val="nil"/>
            </w:tcBorders>
            <w:vAlign w:val="center"/>
          </w:tcPr>
          <w:p w14:paraId="1202E2A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0.1</w:t>
            </w: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365</w:t>
            </w:r>
          </w:p>
        </w:tc>
        <w:tc>
          <w:tcPr>
            <w:tcW w:w="605" w:type="pct"/>
            <w:tcBorders>
              <w:tl2br w:val="nil"/>
              <w:tr2bl w:val="nil"/>
            </w:tcBorders>
            <w:vAlign w:val="center"/>
          </w:tcPr>
          <w:p w14:paraId="51BC2CB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w:t>
            </w:r>
          </w:p>
        </w:tc>
        <w:tc>
          <w:tcPr>
            <w:tcW w:w="1022" w:type="dxa"/>
            <w:tcBorders>
              <w:tl2br w:val="nil"/>
              <w:tr2bl w:val="nil"/>
            </w:tcBorders>
            <w:vAlign w:val="center"/>
          </w:tcPr>
          <w:p w14:paraId="652F8B3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0.2037</w:t>
            </w:r>
          </w:p>
        </w:tc>
        <w:tc>
          <w:tcPr>
            <w:tcW w:w="557" w:type="pct"/>
            <w:tcBorders>
              <w:tl2br w:val="nil"/>
              <w:tr2bl w:val="nil"/>
            </w:tcBorders>
            <w:vAlign w:val="center"/>
          </w:tcPr>
          <w:p w14:paraId="207B80F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0.2037</w:t>
            </w:r>
          </w:p>
        </w:tc>
      </w:tr>
      <w:tr w14:paraId="7D2764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83" w:type="pct"/>
            <w:vMerge w:val="continue"/>
            <w:tcBorders>
              <w:tl2br w:val="nil"/>
              <w:tr2bl w:val="nil"/>
            </w:tcBorders>
            <w:vAlign w:val="center"/>
          </w:tcPr>
          <w:p w14:paraId="438A24C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1473" w:type="pct"/>
            <w:tcBorders>
              <w:tl2br w:val="nil"/>
              <w:tr2bl w:val="nil"/>
            </w:tcBorders>
            <w:vAlign w:val="center"/>
          </w:tcPr>
          <w:p w14:paraId="6E097358">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风机吊装平台平整</w:t>
            </w:r>
          </w:p>
        </w:tc>
        <w:tc>
          <w:tcPr>
            <w:tcW w:w="635" w:type="pct"/>
            <w:tcBorders>
              <w:tl2br w:val="nil"/>
              <w:tr2bl w:val="nil"/>
            </w:tcBorders>
            <w:vAlign w:val="center"/>
          </w:tcPr>
          <w:p w14:paraId="7C28345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4.2</w:t>
            </w:r>
          </w:p>
        </w:tc>
        <w:tc>
          <w:tcPr>
            <w:tcW w:w="687" w:type="pct"/>
            <w:tcBorders>
              <w:tl2br w:val="nil"/>
              <w:tr2bl w:val="nil"/>
            </w:tcBorders>
            <w:vAlign w:val="center"/>
          </w:tcPr>
          <w:p w14:paraId="19AB996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4.62</w:t>
            </w:r>
          </w:p>
        </w:tc>
        <w:tc>
          <w:tcPr>
            <w:tcW w:w="605" w:type="pct"/>
            <w:tcBorders>
              <w:tl2br w:val="nil"/>
              <w:tr2bl w:val="nil"/>
            </w:tcBorders>
            <w:vAlign w:val="center"/>
          </w:tcPr>
          <w:p w14:paraId="6BB581A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1.02</w:t>
            </w:r>
          </w:p>
        </w:tc>
        <w:tc>
          <w:tcPr>
            <w:tcW w:w="557" w:type="pct"/>
            <w:tcBorders>
              <w:tl2br w:val="nil"/>
              <w:tr2bl w:val="nil"/>
            </w:tcBorders>
            <w:vAlign w:val="center"/>
          </w:tcPr>
          <w:p w14:paraId="17FCD94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0.15</w:t>
            </w:r>
          </w:p>
        </w:tc>
        <w:tc>
          <w:tcPr>
            <w:tcW w:w="557" w:type="pct"/>
            <w:tcBorders>
              <w:tl2br w:val="nil"/>
              <w:tr2bl w:val="nil"/>
            </w:tcBorders>
            <w:vAlign w:val="center"/>
          </w:tcPr>
          <w:p w14:paraId="3D17DA3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0.15</w:t>
            </w:r>
          </w:p>
        </w:tc>
      </w:tr>
      <w:tr w14:paraId="4AA29C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83" w:type="pct"/>
            <w:vMerge w:val="continue"/>
            <w:tcBorders>
              <w:tl2br w:val="nil"/>
              <w:tr2bl w:val="nil"/>
            </w:tcBorders>
            <w:vAlign w:val="center"/>
          </w:tcPr>
          <w:p w14:paraId="4762E8F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1473" w:type="pct"/>
            <w:tcBorders>
              <w:tl2br w:val="nil"/>
              <w:tr2bl w:val="nil"/>
            </w:tcBorders>
            <w:vAlign w:val="center"/>
          </w:tcPr>
          <w:p w14:paraId="737E43D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集电线路直埋电缆</w:t>
            </w:r>
          </w:p>
        </w:tc>
        <w:tc>
          <w:tcPr>
            <w:tcW w:w="635" w:type="pct"/>
            <w:tcBorders>
              <w:tl2br w:val="nil"/>
              <w:tr2bl w:val="nil"/>
            </w:tcBorders>
            <w:vAlign w:val="center"/>
          </w:tcPr>
          <w:p w14:paraId="04B92A9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0.2</w:t>
            </w:r>
          </w:p>
        </w:tc>
        <w:tc>
          <w:tcPr>
            <w:tcW w:w="687" w:type="pct"/>
            <w:tcBorders>
              <w:tl2br w:val="nil"/>
              <w:tr2bl w:val="nil"/>
            </w:tcBorders>
            <w:vAlign w:val="center"/>
          </w:tcPr>
          <w:p w14:paraId="488DDF3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0.</w:t>
            </w: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w:t>
            </w:r>
          </w:p>
        </w:tc>
        <w:tc>
          <w:tcPr>
            <w:tcW w:w="605" w:type="pct"/>
            <w:tcBorders>
              <w:tl2br w:val="nil"/>
              <w:tr2bl w:val="nil"/>
            </w:tcBorders>
            <w:vAlign w:val="center"/>
          </w:tcPr>
          <w:p w14:paraId="5070629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w:t>
            </w:r>
          </w:p>
        </w:tc>
        <w:tc>
          <w:tcPr>
            <w:tcW w:w="557" w:type="pct"/>
            <w:tcBorders>
              <w:tl2br w:val="nil"/>
              <w:tr2bl w:val="nil"/>
            </w:tcBorders>
            <w:vAlign w:val="center"/>
          </w:tcPr>
          <w:p w14:paraId="274B9FE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w:t>
            </w:r>
          </w:p>
        </w:tc>
        <w:tc>
          <w:tcPr>
            <w:tcW w:w="557" w:type="pct"/>
            <w:tcBorders>
              <w:tl2br w:val="nil"/>
              <w:tr2bl w:val="nil"/>
            </w:tcBorders>
            <w:vAlign w:val="center"/>
          </w:tcPr>
          <w:p w14:paraId="5851571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w:t>
            </w:r>
          </w:p>
        </w:tc>
      </w:tr>
      <w:tr w14:paraId="5FACC3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83" w:type="pct"/>
            <w:vMerge w:val="continue"/>
            <w:tcBorders>
              <w:tl2br w:val="nil"/>
              <w:tr2bl w:val="nil"/>
            </w:tcBorders>
            <w:vAlign w:val="center"/>
          </w:tcPr>
          <w:p w14:paraId="108845C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1473" w:type="pct"/>
            <w:tcBorders>
              <w:tl2br w:val="nil"/>
              <w:tr2bl w:val="nil"/>
            </w:tcBorders>
            <w:vAlign w:val="center"/>
          </w:tcPr>
          <w:p w14:paraId="190FA33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杆塔基础开挖及回填</w:t>
            </w:r>
          </w:p>
        </w:tc>
        <w:tc>
          <w:tcPr>
            <w:tcW w:w="635" w:type="pct"/>
            <w:tcBorders>
              <w:tl2br w:val="nil"/>
              <w:tr2bl w:val="nil"/>
            </w:tcBorders>
            <w:vAlign w:val="center"/>
          </w:tcPr>
          <w:p w14:paraId="3417A91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0.45</w:t>
            </w:r>
          </w:p>
        </w:tc>
        <w:tc>
          <w:tcPr>
            <w:tcW w:w="687" w:type="pct"/>
            <w:tcBorders>
              <w:tl2br w:val="nil"/>
              <w:tr2bl w:val="nil"/>
            </w:tcBorders>
            <w:vAlign w:val="center"/>
          </w:tcPr>
          <w:p w14:paraId="6BDA140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0.31</w:t>
            </w:r>
          </w:p>
        </w:tc>
        <w:tc>
          <w:tcPr>
            <w:tcW w:w="605" w:type="pct"/>
            <w:tcBorders>
              <w:tl2br w:val="nil"/>
              <w:tr2bl w:val="nil"/>
            </w:tcBorders>
            <w:vAlign w:val="center"/>
          </w:tcPr>
          <w:p w14:paraId="0DE4BBB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w:t>
            </w:r>
          </w:p>
        </w:tc>
        <w:tc>
          <w:tcPr>
            <w:tcW w:w="557" w:type="pct"/>
            <w:tcBorders>
              <w:tl2br w:val="nil"/>
              <w:tr2bl w:val="nil"/>
            </w:tcBorders>
            <w:vAlign w:val="center"/>
          </w:tcPr>
          <w:p w14:paraId="00679A1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0.14</w:t>
            </w:r>
          </w:p>
        </w:tc>
        <w:tc>
          <w:tcPr>
            <w:tcW w:w="557" w:type="pct"/>
            <w:tcBorders>
              <w:tl2br w:val="nil"/>
              <w:tr2bl w:val="nil"/>
            </w:tcBorders>
            <w:vAlign w:val="center"/>
          </w:tcPr>
          <w:p w14:paraId="5F7895F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0.14</w:t>
            </w:r>
          </w:p>
        </w:tc>
      </w:tr>
      <w:tr w14:paraId="1701D8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83" w:type="pct"/>
            <w:vMerge w:val="continue"/>
            <w:tcBorders>
              <w:tl2br w:val="nil"/>
              <w:tr2bl w:val="nil"/>
            </w:tcBorders>
            <w:vAlign w:val="center"/>
          </w:tcPr>
          <w:p w14:paraId="7C97610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1473" w:type="pct"/>
            <w:tcBorders>
              <w:tl2br w:val="nil"/>
              <w:tr2bl w:val="nil"/>
            </w:tcBorders>
            <w:vAlign w:val="center"/>
          </w:tcPr>
          <w:p w14:paraId="165A03C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进站道路</w:t>
            </w:r>
          </w:p>
        </w:tc>
        <w:tc>
          <w:tcPr>
            <w:tcW w:w="635" w:type="pct"/>
            <w:tcBorders>
              <w:tl2br w:val="nil"/>
              <w:tr2bl w:val="nil"/>
            </w:tcBorders>
            <w:vAlign w:val="center"/>
          </w:tcPr>
          <w:p w14:paraId="5E12491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0.35</w:t>
            </w:r>
          </w:p>
        </w:tc>
        <w:tc>
          <w:tcPr>
            <w:tcW w:w="687" w:type="pct"/>
            <w:tcBorders>
              <w:tl2br w:val="nil"/>
              <w:tr2bl w:val="nil"/>
            </w:tcBorders>
            <w:vAlign w:val="center"/>
          </w:tcPr>
          <w:p w14:paraId="3F67A25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0.2</w:t>
            </w:r>
          </w:p>
        </w:tc>
        <w:tc>
          <w:tcPr>
            <w:tcW w:w="605" w:type="pct"/>
            <w:tcBorders>
              <w:tl2br w:val="nil"/>
              <w:tr2bl w:val="nil"/>
            </w:tcBorders>
            <w:vAlign w:val="center"/>
          </w:tcPr>
          <w:p w14:paraId="297F617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w:t>
            </w:r>
          </w:p>
        </w:tc>
        <w:tc>
          <w:tcPr>
            <w:tcW w:w="557" w:type="pct"/>
            <w:tcBorders>
              <w:tl2br w:val="nil"/>
              <w:tr2bl w:val="nil"/>
            </w:tcBorders>
            <w:vAlign w:val="center"/>
          </w:tcPr>
          <w:p w14:paraId="419AA40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0.15</w:t>
            </w:r>
          </w:p>
        </w:tc>
        <w:tc>
          <w:tcPr>
            <w:tcW w:w="557" w:type="pct"/>
            <w:tcBorders>
              <w:tl2br w:val="nil"/>
              <w:tr2bl w:val="nil"/>
            </w:tcBorders>
            <w:vAlign w:val="center"/>
          </w:tcPr>
          <w:p w14:paraId="3C7284C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0.15</w:t>
            </w:r>
          </w:p>
        </w:tc>
      </w:tr>
      <w:tr w14:paraId="58A200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83" w:type="pct"/>
            <w:vMerge w:val="continue"/>
            <w:tcBorders>
              <w:tl2br w:val="nil"/>
              <w:tr2bl w:val="nil"/>
            </w:tcBorders>
            <w:vAlign w:val="center"/>
          </w:tcPr>
          <w:p w14:paraId="0738C0E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1473" w:type="pct"/>
            <w:tcBorders>
              <w:tl2br w:val="nil"/>
              <w:tr2bl w:val="nil"/>
            </w:tcBorders>
            <w:vAlign w:val="center"/>
          </w:tcPr>
          <w:p w14:paraId="6622B0AF">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临时施工道路场地平整及面层碎石铺垫</w:t>
            </w:r>
          </w:p>
        </w:tc>
        <w:tc>
          <w:tcPr>
            <w:tcW w:w="635" w:type="pct"/>
            <w:tcBorders>
              <w:tl2br w:val="nil"/>
              <w:tr2bl w:val="nil"/>
            </w:tcBorders>
            <w:vAlign w:val="center"/>
          </w:tcPr>
          <w:p w14:paraId="0607DFB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6.754</w:t>
            </w:r>
          </w:p>
        </w:tc>
        <w:tc>
          <w:tcPr>
            <w:tcW w:w="687" w:type="pct"/>
            <w:tcBorders>
              <w:tl2br w:val="nil"/>
              <w:tr2bl w:val="nil"/>
            </w:tcBorders>
            <w:vAlign w:val="center"/>
          </w:tcPr>
          <w:p w14:paraId="1380B7E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7.750</w:t>
            </w:r>
          </w:p>
        </w:tc>
        <w:tc>
          <w:tcPr>
            <w:tcW w:w="605" w:type="pct"/>
            <w:tcBorders>
              <w:tl2br w:val="nil"/>
              <w:tr2bl w:val="nil"/>
            </w:tcBorders>
            <w:vAlign w:val="center"/>
          </w:tcPr>
          <w:p w14:paraId="0ADEF9B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1.2112</w:t>
            </w:r>
          </w:p>
        </w:tc>
        <w:tc>
          <w:tcPr>
            <w:tcW w:w="557" w:type="pct"/>
            <w:tcBorders>
              <w:tl2br w:val="nil"/>
              <w:tr2bl w:val="nil"/>
            </w:tcBorders>
            <w:vAlign w:val="center"/>
          </w:tcPr>
          <w:p w14:paraId="7858149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w:t>
            </w:r>
          </w:p>
        </w:tc>
        <w:tc>
          <w:tcPr>
            <w:tcW w:w="557" w:type="pct"/>
            <w:tcBorders>
              <w:tl2br w:val="nil"/>
              <w:tr2bl w:val="nil"/>
            </w:tcBorders>
            <w:vAlign w:val="center"/>
          </w:tcPr>
          <w:p w14:paraId="6616B36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w:t>
            </w:r>
          </w:p>
        </w:tc>
      </w:tr>
      <w:tr w14:paraId="7745F0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957" w:type="pct"/>
            <w:gridSpan w:val="2"/>
            <w:tcBorders>
              <w:tl2br w:val="nil"/>
              <w:tr2bl w:val="nil"/>
            </w:tcBorders>
            <w:vAlign w:val="center"/>
          </w:tcPr>
          <w:p w14:paraId="3D85D42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小计</w:t>
            </w:r>
          </w:p>
        </w:tc>
        <w:tc>
          <w:tcPr>
            <w:tcW w:w="635" w:type="pct"/>
            <w:tcBorders>
              <w:tl2br w:val="nil"/>
              <w:tr2bl w:val="nil"/>
            </w:tcBorders>
            <w:vAlign w:val="center"/>
          </w:tcPr>
          <w:p w14:paraId="03C1374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21.1322</w:t>
            </w:r>
          </w:p>
        </w:tc>
        <w:tc>
          <w:tcPr>
            <w:tcW w:w="687" w:type="pct"/>
            <w:tcBorders>
              <w:tl2br w:val="nil"/>
              <w:tr2bl w:val="nil"/>
            </w:tcBorders>
            <w:vAlign w:val="center"/>
          </w:tcPr>
          <w:p w14:paraId="0F8C98B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19.827</w:t>
            </w:r>
          </w:p>
        </w:tc>
        <w:tc>
          <w:tcPr>
            <w:tcW w:w="605" w:type="pct"/>
            <w:tcBorders>
              <w:tl2br w:val="nil"/>
              <w:tr2bl w:val="nil"/>
            </w:tcBorders>
            <w:vAlign w:val="center"/>
          </w:tcPr>
          <w:p w14:paraId="05E59A2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3.1437</w:t>
            </w:r>
          </w:p>
        </w:tc>
        <w:tc>
          <w:tcPr>
            <w:tcW w:w="557" w:type="pct"/>
            <w:tcBorders>
              <w:tl2br w:val="nil"/>
              <w:tr2bl w:val="nil"/>
            </w:tcBorders>
            <w:vAlign w:val="center"/>
          </w:tcPr>
          <w:p w14:paraId="48B3921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3.1437</w:t>
            </w:r>
          </w:p>
        </w:tc>
        <w:tc>
          <w:tcPr>
            <w:tcW w:w="557" w:type="pct"/>
            <w:tcBorders>
              <w:tl2br w:val="nil"/>
              <w:tr2bl w:val="nil"/>
            </w:tcBorders>
            <w:vAlign w:val="center"/>
          </w:tcPr>
          <w:p w14:paraId="2765F9E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1.3052</w:t>
            </w:r>
          </w:p>
        </w:tc>
      </w:tr>
    </w:tbl>
    <w:p w14:paraId="0AEA0C82">
      <w:pPr>
        <w:pStyle w:val="11"/>
        <w:keepNext/>
        <w:keepLines/>
        <w:pageBreakBefore w:val="0"/>
        <w:widowControl w:val="0"/>
        <w:kinsoku/>
        <w:wordWrap/>
        <w:overflowPunct/>
        <w:topLinePunct w:val="0"/>
        <w:autoSpaceDE/>
        <w:autoSpaceDN/>
        <w:bidi w:val="0"/>
        <w:adjustRightInd/>
        <w:snapToGrid w:val="0"/>
        <w:spacing w:beforeLines="0" w:afterLines="0"/>
        <w:ind w:left="0"/>
        <w:textAlignment w:val="auto"/>
        <w:outlineLvl w:val="2"/>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bookmarkStart w:id="247" w:name="_Toc31264"/>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3.1.</w:t>
      </w:r>
      <w:r>
        <w:rPr>
          <w:rFonts w:hint="eastAsia" w:cs="Times New Roman" w:eastAsiaTheme="minorEastAsia"/>
          <w:color w:val="000000" w:themeColor="text1"/>
          <w:highlight w:val="none"/>
          <w:lang w:val="en-US" w:eastAsia="zh-CN"/>
          <w14:textFill>
            <w14:solidFill>
              <w14:schemeClr w14:val="tx1"/>
            </w14:solidFill>
          </w14:textFill>
        </w:rPr>
        <w:t>7</w:t>
      </w: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 xml:space="preserve"> 征地拆迁及移民安置</w:t>
      </w:r>
      <w:bookmarkEnd w:id="247"/>
    </w:p>
    <w:p w14:paraId="72E056E6">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本项目用地类型为</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天然牧草地</w:t>
      </w:r>
      <w:r>
        <w:rPr>
          <w:rFonts w:hint="eastAsia" w:cs="Times New Roman" w:eastAsiaTheme="minorEastAsia"/>
          <w:color w:val="000000" w:themeColor="text1"/>
          <w:sz w:val="24"/>
          <w:highlight w:val="none"/>
          <w:lang w:val="en-US" w:eastAsia="zh-CN"/>
          <w14:textFill>
            <w14:solidFill>
              <w14:schemeClr w14:val="tx1"/>
            </w14:solidFill>
          </w14:textFill>
        </w:rPr>
        <w:t>、其他草地、水浇地、其他林地、采矿用地</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，需办理征用手续。项目不占用基本农田等，不存在房屋征用、拆迁及移民安置。项目建成后仅局部土地使用功能发生变化，不影响整体的土地使用功能。</w:t>
      </w:r>
    </w:p>
    <w:bookmarkEnd w:id="246"/>
    <w:p w14:paraId="31581BCF">
      <w:pPr>
        <w:pStyle w:val="11"/>
        <w:keepNext/>
        <w:keepLines/>
        <w:pageBreakBefore w:val="0"/>
        <w:widowControl w:val="0"/>
        <w:kinsoku/>
        <w:wordWrap/>
        <w:overflowPunct/>
        <w:topLinePunct w:val="0"/>
        <w:autoSpaceDE/>
        <w:autoSpaceDN/>
        <w:bidi w:val="0"/>
        <w:adjustRightInd/>
        <w:snapToGrid w:val="0"/>
        <w:spacing w:beforeLines="0" w:afterLines="0"/>
        <w:ind w:left="0"/>
        <w:textAlignment w:val="auto"/>
        <w:outlineLvl w:val="2"/>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bookmarkStart w:id="248" w:name="_Toc391020928"/>
      <w:bookmarkStart w:id="249" w:name="_Toc11573"/>
      <w:bookmarkStart w:id="250" w:name="_Toc340737514"/>
      <w:bookmarkStart w:id="251" w:name="_Toc23646"/>
      <w:bookmarkStart w:id="252" w:name="_Toc391021153"/>
      <w:bookmarkStart w:id="253" w:name="_Toc2462"/>
      <w:bookmarkStart w:id="254" w:name="_Toc391021347"/>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3.1.</w:t>
      </w:r>
      <w:r>
        <w:rPr>
          <w:rFonts w:hint="eastAsia" w:cs="Times New Roman" w:eastAsiaTheme="minorEastAsia"/>
          <w:color w:val="000000" w:themeColor="text1"/>
          <w:highlight w:val="none"/>
          <w:lang w:val="en-US" w:eastAsia="zh-CN"/>
          <w14:textFill>
            <w14:solidFill>
              <w14:schemeClr w14:val="tx1"/>
            </w14:solidFill>
          </w14:textFill>
        </w:rPr>
        <w:t>8</w:t>
      </w: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 xml:space="preserve"> 施工</w:t>
      </w:r>
      <w:bookmarkEnd w:id="248"/>
      <w:bookmarkEnd w:id="249"/>
      <w:bookmarkEnd w:id="250"/>
      <w:bookmarkEnd w:id="251"/>
      <w:bookmarkEnd w:id="252"/>
      <w:bookmarkEnd w:id="253"/>
      <w:bookmarkEnd w:id="254"/>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方案</w:t>
      </w:r>
    </w:p>
    <w:p w14:paraId="51DCED14">
      <w:pPr>
        <w:pStyle w:val="12"/>
        <w:keepNext/>
        <w:keepLines/>
        <w:pageBreakBefore w:val="0"/>
        <w:widowControl w:val="0"/>
        <w:numPr>
          <w:ilvl w:val="0"/>
          <w:numId w:val="0"/>
        </w:numPr>
        <w:tabs>
          <w:tab w:val="left" w:pos="1050"/>
        </w:tabs>
        <w:kinsoku/>
        <w:wordWrap/>
        <w:overflowPunct/>
        <w:topLinePunct w:val="0"/>
        <w:autoSpaceDE/>
        <w:autoSpaceDN/>
        <w:bidi w:val="0"/>
        <w:adjustRightInd/>
        <w:snapToGrid w:val="0"/>
        <w:spacing w:before="0" w:beforeLines="0" w:after="0" w:afterLines="0" w:line="360" w:lineRule="auto"/>
        <w:ind w:left="0" w:leftChars="0"/>
        <w:textAlignment w:val="auto"/>
        <w:outlineLvl w:val="3"/>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pPr>
      <w:bookmarkStart w:id="255" w:name="_Toc391020929"/>
      <w:bookmarkStart w:id="256" w:name="_Toc340737515"/>
      <w:bookmarkStart w:id="257" w:name="_Toc391021154"/>
      <w:r>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t>3.1.</w:t>
      </w:r>
      <w:r>
        <w:rPr>
          <w:rFonts w:hint="eastAsia"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t>8</w:t>
      </w:r>
      <w:r>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t>.1 施工组织</w:t>
      </w:r>
    </w:p>
    <w:p w14:paraId="56D4F3A4">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(1)交通运输</w:t>
      </w:r>
    </w:p>
    <w:p w14:paraId="0954EC8A">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项目区附近有G</w:t>
      </w:r>
      <w:r>
        <w:rPr>
          <w:rFonts w:hint="eastAsia" w:cs="Times New Roman" w:eastAsiaTheme="minorEastAsia"/>
          <w:snapToGrid w:val="0"/>
          <w:color w:val="000000" w:themeColor="text1"/>
          <w:sz w:val="24"/>
          <w:highlight w:val="none"/>
          <w:lang w:val="en-US" w:eastAsia="zh-CN"/>
          <w14:textFill>
            <w14:solidFill>
              <w14:schemeClr w14:val="tx1"/>
            </w14:solidFill>
          </w14:textFill>
        </w:rPr>
        <w:t>312、</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G</w:t>
      </w:r>
      <w:r>
        <w:rPr>
          <w:rFonts w:hint="eastAsia" w:cs="Times New Roman" w:eastAsiaTheme="minorEastAsia"/>
          <w:snapToGrid w:val="0"/>
          <w:color w:val="000000" w:themeColor="text1"/>
          <w:sz w:val="24"/>
          <w:highlight w:val="none"/>
          <w:lang w:val="en-US" w:eastAsia="zh-CN"/>
          <w14:textFill>
            <w14:solidFill>
              <w14:schemeClr w14:val="tx1"/>
            </w14:solidFill>
          </w14:textFill>
        </w:rPr>
        <w:t>216</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高速，交通较为便利。</w:t>
      </w:r>
    </w:p>
    <w:p w14:paraId="4C651FA5">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(2)施工条件</w:t>
      </w:r>
    </w:p>
    <w:p w14:paraId="53F0886F">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从现有基础设施建设来看，风电场区施工用电从附近10kV输电线路接引，施工用水采用水罐车从附近乡镇拉运。</w:t>
      </w:r>
    </w:p>
    <w:p w14:paraId="3168D685">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(3)建筑材料</w:t>
      </w:r>
    </w:p>
    <w:p w14:paraId="1E9BA983">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本项目主要建筑材料包括：钢材、筑路材料、木材、砖、砂、碎石等。主要建筑物材料来源充足，工程所需钢材可从乌鲁木齐市购买，通过道路运输至施工现场。木材、砖可从风电场周边料场购买</w:t>
      </w:r>
      <w:r>
        <w:rPr>
          <w:rFonts w:hint="default" w:ascii="Times New Roman" w:hAnsi="Times New Roman" w:cs="Times New Roman" w:eastAsiaTheme="minorEastAsia"/>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生活及小型生产物资也可从乌鲁木齐市购买。</w:t>
      </w:r>
    </w:p>
    <w:p w14:paraId="382EE206">
      <w:pPr>
        <w:pStyle w:val="12"/>
        <w:keepNext/>
        <w:keepLines/>
        <w:pageBreakBefore w:val="0"/>
        <w:widowControl w:val="0"/>
        <w:numPr>
          <w:ilvl w:val="0"/>
          <w:numId w:val="0"/>
        </w:numPr>
        <w:tabs>
          <w:tab w:val="left" w:pos="1050"/>
        </w:tabs>
        <w:kinsoku/>
        <w:wordWrap/>
        <w:overflowPunct/>
        <w:topLinePunct w:val="0"/>
        <w:autoSpaceDE/>
        <w:autoSpaceDN/>
        <w:bidi w:val="0"/>
        <w:adjustRightInd/>
        <w:snapToGrid w:val="0"/>
        <w:spacing w:before="0" w:beforeLines="0" w:after="0" w:afterLines="0" w:line="360" w:lineRule="auto"/>
        <w:ind w:left="0" w:leftChars="0"/>
        <w:textAlignment w:val="auto"/>
        <w:outlineLvl w:val="3"/>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t>3.1.</w:t>
      </w:r>
      <w:r>
        <w:rPr>
          <w:rFonts w:hint="eastAsia"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t>8</w:t>
      </w:r>
      <w:r>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t>.2 施工</w:t>
      </w:r>
      <w:bookmarkEnd w:id="255"/>
      <w:bookmarkEnd w:id="256"/>
      <w:bookmarkEnd w:id="257"/>
      <w:r>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t>布置</w:t>
      </w:r>
    </w:p>
    <w:p w14:paraId="72BA5C30">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由于本项目建设地点分散，可分批、分期进行施工，首先修建场内道路，同时进行场区施工管理区、生活区的建设，满足管理和施工人员的生活需要。然后根据施工交通及风机布置等因素，进行风机基础的施工，并合理安排吊装平台开挖、各工程基础混凝土浇筑、风机吊装等工作交叉作业。本项目施工方案平面布置详见图3.1-10风电场区永久、临时占地分布图和图3.1-11光伏场区永久、临时占地分布图。</w:t>
      </w:r>
    </w:p>
    <w:p w14:paraId="4469A3B8">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t>(1)施工临建场地</w:t>
      </w:r>
    </w:p>
    <w:p w14:paraId="2430061C">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FF0000"/>
          <w:sz w:val="24"/>
          <w:highlight w:val="none"/>
          <w:lang w:val="en-US" w:eastAsia="zh-CN"/>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根据项目施工特点，为满足本项目施工期要求。本项目风电场区设置</w:t>
      </w:r>
      <w:r>
        <w:rPr>
          <w:rFonts w:hint="eastAsia" w:cs="Times New Roman" w:eastAsiaTheme="minorEastAsia"/>
          <w:snapToGrid w:val="0"/>
          <w:color w:val="000000" w:themeColor="text1"/>
          <w:sz w:val="24"/>
          <w:highlight w:val="none"/>
          <w:lang w:val="en-US" w:eastAsia="zh-CN"/>
          <w14:textFill>
            <w14:solidFill>
              <w14:schemeClr w14:val="tx1"/>
            </w14:solidFill>
          </w14:textFill>
        </w:rPr>
        <w:t>两</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处</w:t>
      </w:r>
      <w:r>
        <w:rPr>
          <w:rFonts w:hint="eastAsia" w:cs="Times New Roman" w:eastAsiaTheme="minorEastAsia"/>
          <w:snapToGrid w:val="0"/>
          <w:color w:val="000000" w:themeColor="text1"/>
          <w:sz w:val="24"/>
          <w:highlight w:val="none"/>
          <w:lang w:val="en-US" w:eastAsia="zh-CN"/>
          <w14:textFill>
            <w14:solidFill>
              <w14:schemeClr w14:val="tx1"/>
            </w14:solidFill>
          </w14:textFill>
        </w:rPr>
        <w:t>施工临建场地</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w:t>
      </w:r>
      <w:r>
        <w:rPr>
          <w:rFonts w:hint="eastAsia" w:cs="Times New Roman" w:eastAsiaTheme="minorEastAsia"/>
          <w:snapToGrid w:val="0"/>
          <w:color w:val="000000" w:themeColor="text1"/>
          <w:sz w:val="24"/>
          <w:highlight w:val="none"/>
          <w:lang w:val="en-US" w:eastAsia="zh-CN"/>
          <w14:textFill>
            <w14:solidFill>
              <w14:schemeClr w14:val="tx1"/>
            </w14:solidFill>
          </w14:textFill>
        </w:rPr>
        <w:t>一处位于</w:t>
      </w:r>
      <w:r>
        <w:rPr>
          <w:rFonts w:hint="eastAsia" w:ascii="宋体" w:hAnsi="宋体" w:eastAsia="宋体" w:cs="宋体"/>
          <w:color w:val="000000" w:themeColor="text1"/>
          <w:sz w:val="24"/>
          <w:lang w:val="en-US" w:eastAsia="zh-CN"/>
          <w14:textFill>
            <w14:solidFill>
              <w14:schemeClr w14:val="tx1"/>
            </w14:solidFill>
          </w14:textFill>
        </w:rPr>
        <w:t>西山地下饮用水源地二级保护区、</w:t>
      </w:r>
      <w:r>
        <w:rPr>
          <w:rFonts w:hint="eastAsia" w:ascii="宋体" w:hAnsi="宋体" w:eastAsia="宋体"/>
          <w:color w:val="000000" w:themeColor="text1"/>
          <w:sz w:val="24"/>
          <w14:textFill>
            <w14:solidFill>
              <w14:schemeClr w14:val="tx1"/>
            </w14:solidFill>
          </w14:textFill>
        </w:rPr>
        <w:t>甘河子（含铁路专供）</w:t>
      </w:r>
      <w:r>
        <w:rPr>
          <w:rFonts w:hint="eastAsia" w:ascii="宋体" w:hAnsi="宋体" w:eastAsia="宋体"/>
          <w:color w:val="000000" w:themeColor="text1"/>
          <w:sz w:val="24"/>
          <w:lang w:val="en-US" w:eastAsia="zh-CN"/>
          <w14:textFill>
            <w14:solidFill>
              <w14:schemeClr w14:val="tx1"/>
            </w14:solidFill>
          </w14:textFill>
        </w:rPr>
        <w:t>地下饮用</w:t>
      </w:r>
      <w:r>
        <w:rPr>
          <w:rFonts w:hint="eastAsia" w:ascii="宋体" w:hAnsi="宋体" w:eastAsia="宋体"/>
          <w:color w:val="000000" w:themeColor="text1"/>
          <w:sz w:val="24"/>
          <w14:textFill>
            <w14:solidFill>
              <w14:schemeClr w14:val="tx1"/>
            </w14:solidFill>
          </w14:textFill>
        </w:rPr>
        <w:t>水源地</w:t>
      </w:r>
      <w:r>
        <w:rPr>
          <w:rFonts w:hint="eastAsia" w:ascii="宋体" w:hAnsi="宋体" w:eastAsia="宋体"/>
          <w:color w:val="000000" w:themeColor="text1"/>
          <w:sz w:val="24"/>
          <w:lang w:val="en-US" w:eastAsia="zh-CN"/>
          <w14:textFill>
            <w14:solidFill>
              <w14:schemeClr w14:val="tx1"/>
            </w14:solidFill>
          </w14:textFill>
        </w:rPr>
        <w:t>二级保护区</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外</w:t>
      </w:r>
      <w:r>
        <w:rPr>
          <w:rFonts w:hint="eastAsia" w:cs="Times New Roman" w:eastAsiaTheme="minorEastAsia"/>
          <w:snapToGrid w:val="0"/>
          <w:color w:val="000000" w:themeColor="text1"/>
          <w:sz w:val="24"/>
          <w:highlight w:val="none"/>
          <w:lang w:val="en-US" w:eastAsia="zh-CN"/>
          <w14:textFill>
            <w14:solidFill>
              <w14:schemeClr w14:val="tx1"/>
            </w14:solidFill>
          </w14:textFill>
        </w:rPr>
        <w:t>，</w:t>
      </w:r>
      <w:r>
        <w:rPr>
          <w:rFonts w:hint="eastAsia" w:ascii="宋体" w:hAnsi="宋体" w:eastAsia="宋体" w:cs="宋体"/>
          <w:color w:val="000000" w:themeColor="text1"/>
          <w:sz w:val="24"/>
          <w:lang w:val="en-US" w:eastAsia="zh-CN"/>
          <w14:textFill>
            <w14:solidFill>
              <w14:schemeClr w14:val="tx1"/>
            </w14:solidFill>
          </w14:textFill>
        </w:rPr>
        <w:t>乌拉泊、柴西、柴北、西山、甘河子（含铁路专供）</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准保护区内，占地面积为2</w:t>
      </w:r>
      <w:r>
        <w:rPr>
          <w:rFonts w:hint="eastAsia" w:cs="Times New Roman" w:eastAsiaTheme="minorEastAsia"/>
          <w:snapToGrid w:val="0"/>
          <w:color w:val="000000" w:themeColor="text1"/>
          <w:sz w:val="24"/>
          <w:highlight w:val="none"/>
          <w:lang w:val="en-US" w:eastAsia="zh-CN"/>
          <w14:textFill>
            <w14:solidFill>
              <w14:schemeClr w14:val="tx1"/>
            </w14:solidFill>
          </w14:textFill>
        </w:rPr>
        <w:t>00</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00m</w:t>
      </w:r>
      <w:r>
        <w:rPr>
          <w:rFonts w:hint="default" w:ascii="Times New Roman" w:hAnsi="Times New Roman" w:cs="Times New Roman" w:eastAsiaTheme="minorEastAsia"/>
          <w:snapToGrid w:val="0"/>
          <w:color w:val="000000" w:themeColor="text1"/>
          <w:sz w:val="24"/>
          <w:highlight w:val="none"/>
          <w:vertAlign w:val="superscript"/>
          <w:lang w:val="en-US" w:eastAsia="zh-CN"/>
          <w14:textFill>
            <w14:solidFill>
              <w14:schemeClr w14:val="tx1"/>
            </w14:solidFill>
          </w14:textFill>
        </w:rPr>
        <w:t>2</w:t>
      </w:r>
      <w:r>
        <w:rPr>
          <w:rFonts w:hint="default" w:ascii="Times New Roman" w:hAnsi="Times New Roman" w:cs="Times New Roman" w:eastAsiaTheme="minorEastAsia"/>
          <w:snapToGrid w:val="0"/>
          <w:color w:val="000000" w:themeColor="text1"/>
          <w:sz w:val="24"/>
          <w:highlight w:val="none"/>
          <w:vertAlign w:val="baseline"/>
          <w:lang w:val="en-US" w:eastAsia="zh-CN"/>
          <w14:textFill>
            <w14:solidFill>
              <w14:schemeClr w14:val="tx1"/>
            </w14:solidFill>
          </w14:textFill>
        </w:rPr>
        <w:t>，</w:t>
      </w:r>
      <w:r>
        <w:rPr>
          <w:rFonts w:hint="eastAsia" w:cs="Times New Roman" w:eastAsiaTheme="minorEastAsia"/>
          <w:snapToGrid w:val="0"/>
          <w:color w:val="000000" w:themeColor="text1"/>
          <w:sz w:val="24"/>
          <w:highlight w:val="none"/>
          <w:vertAlign w:val="baseline"/>
          <w:lang w:val="en-US" w:eastAsia="zh-CN"/>
          <w14:textFill>
            <w14:solidFill>
              <w14:schemeClr w14:val="tx1"/>
            </w14:solidFill>
          </w14:textFill>
        </w:rPr>
        <w:t>一处位于二级保护区及准保护区外，占地面积为</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2</w:t>
      </w:r>
      <w:r>
        <w:rPr>
          <w:rFonts w:hint="eastAsia" w:cs="Times New Roman" w:eastAsiaTheme="minorEastAsia"/>
          <w:snapToGrid w:val="0"/>
          <w:color w:val="000000" w:themeColor="text1"/>
          <w:sz w:val="24"/>
          <w:highlight w:val="none"/>
          <w:lang w:val="en-US" w:eastAsia="zh-CN"/>
          <w14:textFill>
            <w14:solidFill>
              <w14:schemeClr w14:val="tx1"/>
            </w14:solidFill>
          </w14:textFill>
        </w:rPr>
        <w:t>00</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00m</w:t>
      </w:r>
      <w:r>
        <w:rPr>
          <w:rFonts w:hint="default" w:ascii="Times New Roman" w:hAnsi="Times New Roman" w:cs="Times New Roman" w:eastAsiaTheme="minorEastAsia"/>
          <w:snapToGrid w:val="0"/>
          <w:color w:val="000000" w:themeColor="text1"/>
          <w:sz w:val="24"/>
          <w:highlight w:val="none"/>
          <w:vertAlign w:val="superscript"/>
          <w:lang w:val="en-US" w:eastAsia="zh-CN"/>
          <w14:textFill>
            <w14:solidFill>
              <w14:schemeClr w14:val="tx1"/>
            </w14:solidFill>
          </w14:textFill>
        </w:rPr>
        <w:t>2</w:t>
      </w:r>
      <w:r>
        <w:rPr>
          <w:rFonts w:hint="eastAsia" w:ascii="Times New Roman" w:hAnsi="Times New Roman" w:cs="Times New Roman" w:eastAsiaTheme="minorEastAsia"/>
          <w:snapToGrid w:val="0"/>
          <w:color w:val="000000" w:themeColor="text1"/>
          <w:sz w:val="24"/>
          <w:highlight w:val="none"/>
          <w:vertAlign w:val="baseline"/>
          <w:lang w:val="en-US" w:eastAsia="zh-CN"/>
          <w14:textFill>
            <w14:solidFill>
              <w14:schemeClr w14:val="tx1"/>
            </w14:solidFill>
          </w14:textFill>
        </w:rPr>
        <w:t>。</w:t>
      </w:r>
    </w:p>
    <w:p w14:paraId="2E3D9824">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施工临建场地包括生产、生活两部分，其中生产场地包括：设备及材料仓库和辅助加工厂；生活场地包括：生产用办公室，生活用临时住房等。生产、生活设施布置在一起，形成一个集中的施工生活管理区。</w:t>
      </w:r>
    </w:p>
    <w:p w14:paraId="49EAA8A5">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①施工工厂设施、仓库布置</w:t>
      </w:r>
    </w:p>
    <w:p w14:paraId="72B49744">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根据施工总布置及混凝土浇筑进度安排，本风电场混凝土采用商用混凝土，混凝土从乌鲁木齐市或就近采购。机修、汽修等可以利用当地的资源，现场不设置相应设施。综合加工主要设置钢筋加工厂、木材加工厂，集中布置在施工生产临时设施场地中。钢筋加工内容主要为钢筋平直、切断、弯曲等。木材加工厂主要承担工程所需少量异形模板加工等任务。仓库主要设有木材库、钢筋库、综合仓库、机械停放场及设备堆场，本次评价要求禁止将本项目所需的仓库布置于水源地二级保护区内。木材库及钢筋库分别设在相应的加工工厂内，综合仓库包括临时生产、生活用品仓库等。</w:t>
      </w:r>
    </w:p>
    <w:p w14:paraId="78586DDC">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②施工用电、施工用水系统</w:t>
      </w:r>
    </w:p>
    <w:p w14:paraId="70C90F4C">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施工用水：施工用水主要是混凝土养护用水，施工用水从附近村镇拉运，直线运距</w:t>
      </w:r>
      <w:r>
        <w:rPr>
          <w:rFonts w:hint="eastAsia" w:cs="Times New Roman" w:eastAsiaTheme="minorEastAsia"/>
          <w:snapToGrid w:val="0"/>
          <w:color w:val="000000" w:themeColor="text1"/>
          <w:sz w:val="24"/>
          <w:highlight w:val="none"/>
          <w:lang w:val="en-US" w:eastAsia="zh-CN"/>
          <w14:textFill>
            <w14:solidFill>
              <w14:schemeClr w14:val="tx1"/>
            </w14:solidFill>
          </w14:textFill>
        </w:rPr>
        <w:t>5</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km。</w:t>
      </w:r>
    </w:p>
    <w:p w14:paraId="53426136">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施工用电：从附近10kV输电线路接引。</w:t>
      </w:r>
    </w:p>
    <w:p w14:paraId="04B6C0E4">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Chars="200"/>
        <w:textAlignment w:val="auto"/>
        <w:rPr>
          <w:rFonts w:hint="default"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t>(2)临时施工道路</w:t>
      </w:r>
    </w:p>
    <w:p w14:paraId="6F18D0FB">
      <w:pPr>
        <w:pStyle w:val="7"/>
        <w:keepNext w:val="0"/>
        <w:keepLines w:val="0"/>
        <w:pageBreakBefore w:val="0"/>
        <w:widowControl w:val="0"/>
        <w:numPr>
          <w:ilvl w:val="0"/>
          <w:numId w:val="0"/>
        </w:numPr>
        <w:kinsoku/>
        <w:wordWrap/>
        <w:overflowPunct/>
        <w:topLinePunct w:val="0"/>
        <w:autoSpaceDE/>
        <w:autoSpaceDN/>
        <w:bidi w:val="0"/>
        <w:adjustRightInd w:val="0"/>
        <w:snapToGrid w:val="0"/>
        <w:spacing w:after="0" w:afterLines="0"/>
        <w:ind w:leftChars="0" w:firstLine="480" w:firstLineChars="200"/>
        <w:textAlignment w:val="auto"/>
        <w:rPr>
          <w:rFonts w:hint="default" w:ascii="Times New Roman" w:hAnsi="Times New Roman" w:cs="Times New Roman" w:eastAsiaTheme="minorEastAsia"/>
          <w:snapToGrid w:val="0"/>
          <w:color w:val="000000" w:themeColor="text1"/>
          <w:kern w:val="0"/>
          <w:sz w:val="24"/>
          <w:szCs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kern w:val="0"/>
          <w:sz w:val="24"/>
          <w:szCs w:val="24"/>
          <w:highlight w:val="none"/>
          <w:lang w:val="en-US" w:eastAsia="zh-CN"/>
          <w14:textFill>
            <w14:solidFill>
              <w14:schemeClr w14:val="tx1"/>
            </w14:solidFill>
          </w14:textFill>
        </w:rPr>
        <w:t>为节约用地、降低生态环境影响，本项目临时施工道路依托</w:t>
      </w:r>
      <w:r>
        <w:rPr>
          <w:rFonts w:hint="eastAsia" w:cs="Times New Roman" w:eastAsiaTheme="minorEastAsia"/>
          <w:snapToGrid w:val="0"/>
          <w:color w:val="000000" w:themeColor="text1"/>
          <w:kern w:val="0"/>
          <w:sz w:val="24"/>
          <w:szCs w:val="24"/>
          <w:highlight w:val="none"/>
          <w:lang w:val="en-US" w:eastAsia="zh-CN"/>
          <w14:textFill>
            <w14:solidFill>
              <w14:schemeClr w14:val="tx1"/>
            </w14:solidFill>
          </w14:textFill>
        </w:rPr>
        <w:t>附近</w:t>
      </w:r>
      <w:r>
        <w:rPr>
          <w:rFonts w:hint="default" w:ascii="Times New Roman" w:hAnsi="Times New Roman" w:cs="Times New Roman" w:eastAsiaTheme="minorEastAsia"/>
          <w:snapToGrid w:val="0"/>
          <w:color w:val="000000" w:themeColor="text1"/>
          <w:kern w:val="0"/>
          <w:sz w:val="24"/>
          <w:szCs w:val="24"/>
          <w:highlight w:val="none"/>
          <w:lang w:val="en-US" w:eastAsia="zh-CN"/>
          <w14:textFill>
            <w14:solidFill>
              <w14:schemeClr w14:val="tx1"/>
            </w14:solidFill>
          </w14:textFill>
        </w:rPr>
        <w:t>现有</w:t>
      </w:r>
      <w:r>
        <w:rPr>
          <w:rFonts w:hint="eastAsia" w:cs="Times New Roman" w:eastAsiaTheme="minorEastAsia"/>
          <w:snapToGrid w:val="0"/>
          <w:color w:val="000000" w:themeColor="text1"/>
          <w:kern w:val="0"/>
          <w:sz w:val="24"/>
          <w:szCs w:val="24"/>
          <w:highlight w:val="none"/>
          <w:lang w:val="en-US" w:eastAsia="zh-CN"/>
          <w14:textFill>
            <w14:solidFill>
              <w14:schemeClr w14:val="tx1"/>
            </w14:solidFill>
          </w14:textFill>
        </w:rPr>
        <w:t>道路，</w:t>
      </w:r>
      <w:r>
        <w:rPr>
          <w:rFonts w:hint="default" w:ascii="Times New Roman" w:hAnsi="Times New Roman" w:cs="Times New Roman" w:eastAsiaTheme="minorEastAsia"/>
          <w:snapToGrid w:val="0"/>
          <w:color w:val="000000" w:themeColor="text1"/>
          <w:kern w:val="0"/>
          <w:sz w:val="24"/>
          <w:szCs w:val="24"/>
          <w:highlight w:val="none"/>
          <w:lang w:val="en-US" w:eastAsia="zh-CN"/>
          <w14:textFill>
            <w14:solidFill>
              <w14:schemeClr w14:val="tx1"/>
            </w14:solidFill>
          </w14:textFill>
        </w:rPr>
        <w:t>综合考虑</w:t>
      </w:r>
      <w:r>
        <w:rPr>
          <w:rFonts w:hint="eastAsia" w:cs="Times New Roman" w:eastAsiaTheme="minorEastAsia"/>
          <w:snapToGrid w:val="0"/>
          <w:color w:val="000000" w:themeColor="text1"/>
          <w:kern w:val="0"/>
          <w:sz w:val="24"/>
          <w:szCs w:val="24"/>
          <w:highlight w:val="none"/>
          <w:lang w:val="en-US" w:eastAsia="zh-CN"/>
          <w14:textFill>
            <w14:solidFill>
              <w14:schemeClr w14:val="tx1"/>
            </w14:solidFill>
          </w14:textFill>
        </w:rPr>
        <w:t>将施工道路</w:t>
      </w:r>
      <w:r>
        <w:rPr>
          <w:rFonts w:hint="default" w:ascii="Times New Roman" w:hAnsi="Times New Roman" w:cs="Times New Roman" w:eastAsiaTheme="minorEastAsia"/>
          <w:snapToGrid w:val="0"/>
          <w:color w:val="000000" w:themeColor="text1"/>
          <w:kern w:val="0"/>
          <w:sz w:val="24"/>
          <w:szCs w:val="24"/>
          <w:highlight w:val="none"/>
          <w:lang w:val="en-US" w:eastAsia="zh-CN"/>
          <w14:textFill>
            <w14:solidFill>
              <w14:schemeClr w14:val="tx1"/>
            </w14:solidFill>
          </w14:textFill>
        </w:rPr>
        <w:t>兼做运营期检修道路</w:t>
      </w:r>
      <w:r>
        <w:rPr>
          <w:rFonts w:hint="eastAsia" w:cs="Times New Roman" w:eastAsiaTheme="minorEastAsia"/>
          <w:snapToGrid w:val="0"/>
          <w:color w:val="000000" w:themeColor="text1"/>
          <w:kern w:val="0"/>
          <w:sz w:val="24"/>
          <w:szCs w:val="24"/>
          <w:highlight w:val="none"/>
          <w:lang w:val="en-US" w:eastAsia="zh-CN"/>
          <w14:textFill>
            <w14:solidFill>
              <w14:schemeClr w14:val="tx1"/>
            </w14:solidFill>
          </w14:textFill>
        </w:rPr>
        <w:t>进行</w:t>
      </w:r>
      <w:r>
        <w:rPr>
          <w:rFonts w:hint="default" w:ascii="Times New Roman" w:hAnsi="Times New Roman" w:cs="Times New Roman" w:eastAsiaTheme="minorEastAsia"/>
          <w:snapToGrid w:val="0"/>
          <w:color w:val="000000" w:themeColor="text1"/>
          <w:kern w:val="0"/>
          <w:sz w:val="24"/>
          <w:szCs w:val="24"/>
          <w:highlight w:val="none"/>
          <w:lang w:val="en-US" w:eastAsia="zh-CN"/>
          <w14:textFill>
            <w14:solidFill>
              <w14:schemeClr w14:val="tx1"/>
            </w14:solidFill>
          </w14:textFill>
        </w:rPr>
        <w:t>布设。根据本项目施工方案平面布置图，风电场区施工道路总占地面积</w:t>
      </w:r>
      <w:r>
        <w:rPr>
          <w:rFonts w:hint="eastAsia" w:cs="Times New Roman" w:eastAsiaTheme="minorEastAsia"/>
          <w:snapToGrid w:val="0"/>
          <w:color w:val="000000" w:themeColor="text1"/>
          <w:kern w:val="0"/>
          <w:sz w:val="24"/>
          <w:szCs w:val="24"/>
          <w:highlight w:val="none"/>
          <w:lang w:val="en-US" w:eastAsia="zh-CN"/>
          <w14:textFill>
            <w14:solidFill>
              <w14:schemeClr w14:val="tx1"/>
            </w14:solidFill>
          </w14:textFill>
        </w:rPr>
        <w:t>214900</w:t>
      </w:r>
      <w:r>
        <w:rPr>
          <w:rFonts w:hint="default" w:ascii="Times New Roman" w:hAnsi="Times New Roman" w:cs="Times New Roman" w:eastAsiaTheme="minorEastAsia"/>
          <w:snapToGrid w:val="0"/>
          <w:color w:val="000000" w:themeColor="text1"/>
          <w:kern w:val="0"/>
          <w:sz w:val="24"/>
          <w:szCs w:val="24"/>
          <w:highlight w:val="none"/>
          <w:lang w:val="en-US" w:eastAsia="zh-CN"/>
          <w14:textFill>
            <w14:solidFill>
              <w14:schemeClr w14:val="tx1"/>
            </w14:solidFill>
          </w14:textFill>
        </w:rPr>
        <w:t>m</w:t>
      </w:r>
      <w:r>
        <w:rPr>
          <w:rFonts w:hint="default" w:ascii="Times New Roman" w:hAnsi="Times New Roman" w:cs="Times New Roman" w:eastAsiaTheme="minorEastAsia"/>
          <w:snapToGrid w:val="0"/>
          <w:color w:val="000000" w:themeColor="text1"/>
          <w:kern w:val="0"/>
          <w:sz w:val="24"/>
          <w:szCs w:val="24"/>
          <w:highlight w:val="none"/>
          <w:vertAlign w:val="superscript"/>
          <w:lang w:val="en-US" w:eastAsia="zh-CN"/>
          <w14:textFill>
            <w14:solidFill>
              <w14:schemeClr w14:val="tx1"/>
            </w14:solidFill>
          </w14:textFill>
        </w:rPr>
        <w:t>2</w:t>
      </w:r>
      <w:r>
        <w:rPr>
          <w:rFonts w:hint="default" w:ascii="Times New Roman" w:hAnsi="Times New Roman" w:cs="Times New Roman" w:eastAsiaTheme="minorEastAsia"/>
          <w:snapToGrid w:val="0"/>
          <w:color w:val="000000" w:themeColor="text1"/>
          <w:kern w:val="0"/>
          <w:sz w:val="24"/>
          <w:szCs w:val="24"/>
          <w:highlight w:val="none"/>
          <w:lang w:val="en-US" w:eastAsia="zh-CN"/>
          <w14:textFill>
            <w14:solidFill>
              <w14:schemeClr w14:val="tx1"/>
            </w14:solidFill>
          </w14:textFill>
        </w:rPr>
        <w:t>，其中占用</w:t>
      </w:r>
      <w:r>
        <w:rPr>
          <w:rFonts w:hint="eastAsia" w:ascii="宋体" w:hAnsi="宋体" w:eastAsia="宋体" w:cs="宋体"/>
          <w:color w:val="000000" w:themeColor="text1"/>
          <w:sz w:val="24"/>
          <w:szCs w:val="24"/>
          <w:lang w:val="en-US" w:eastAsia="zh-CN"/>
          <w14:textFill>
            <w14:solidFill>
              <w14:schemeClr w14:val="tx1"/>
            </w14:solidFill>
          </w14:textFill>
        </w:rPr>
        <w:t>西山地下饮用水源地二级保护区</w:t>
      </w:r>
      <w:r>
        <w:rPr>
          <w:rFonts w:hint="eastAsia" w:cs="Times New Roman" w:eastAsiaTheme="minorEastAsia"/>
          <w:color w:val="000000" w:themeColor="text1"/>
          <w:sz w:val="24"/>
          <w:szCs w:val="24"/>
          <w:highlight w:val="none"/>
          <w:lang w:val="en-US" w:eastAsia="zh-CN"/>
          <w14:textFill>
            <w14:solidFill>
              <w14:schemeClr w14:val="tx1"/>
            </w14:solidFill>
          </w14:textFill>
        </w:rPr>
        <w:t>12460</w:t>
      </w:r>
      <w:r>
        <w:rPr>
          <w:rFonts w:hint="default" w:ascii="Times New Roman" w:hAnsi="Times New Roman" w:cs="Times New Roman" w:eastAsiaTheme="minorEastAsia"/>
          <w:snapToGrid w:val="0"/>
          <w:color w:val="000000" w:themeColor="text1"/>
          <w:kern w:val="0"/>
          <w:sz w:val="24"/>
          <w:szCs w:val="24"/>
          <w:highlight w:val="none"/>
          <w:lang w:val="en-US" w:eastAsia="zh-CN"/>
          <w14:textFill>
            <w14:solidFill>
              <w14:schemeClr w14:val="tx1"/>
            </w14:solidFill>
          </w14:textFill>
        </w:rPr>
        <w:t>m</w:t>
      </w:r>
      <w:r>
        <w:rPr>
          <w:rFonts w:hint="default" w:ascii="Times New Roman" w:hAnsi="Times New Roman" w:cs="Times New Roman" w:eastAsiaTheme="minorEastAsia"/>
          <w:snapToGrid w:val="0"/>
          <w:color w:val="000000" w:themeColor="text1"/>
          <w:kern w:val="0"/>
          <w:sz w:val="24"/>
          <w:szCs w:val="24"/>
          <w:highlight w:val="none"/>
          <w:vertAlign w:val="superscript"/>
          <w:lang w:val="en-US" w:eastAsia="zh-CN"/>
          <w14:textFill>
            <w14:solidFill>
              <w14:schemeClr w14:val="tx1"/>
            </w14:solidFill>
          </w14:textFill>
        </w:rPr>
        <w:t>2</w:t>
      </w:r>
      <w:r>
        <w:rPr>
          <w:rFonts w:hint="default" w:ascii="Times New Roman" w:hAnsi="Times New Roman" w:cs="Times New Roman" w:eastAsiaTheme="minorEastAsia"/>
          <w:snapToGrid w:val="0"/>
          <w:color w:val="000000" w:themeColor="text1"/>
          <w:kern w:val="0"/>
          <w:sz w:val="24"/>
          <w:szCs w:val="24"/>
          <w:highlight w:val="none"/>
          <w:lang w:val="en-US" w:eastAsia="zh-CN"/>
          <w14:textFill>
            <w14:solidFill>
              <w14:schemeClr w14:val="tx1"/>
            </w14:solidFill>
          </w14:textFill>
        </w:rPr>
        <w:t>，</w:t>
      </w:r>
      <w:r>
        <w:rPr>
          <w:rFonts w:hint="eastAsia" w:cs="Times New Roman" w:eastAsiaTheme="minorEastAsia"/>
          <w:snapToGrid w:val="0"/>
          <w:color w:val="000000" w:themeColor="text1"/>
          <w:kern w:val="0"/>
          <w:sz w:val="24"/>
          <w:szCs w:val="24"/>
          <w:highlight w:val="none"/>
          <w:lang w:val="en-US" w:eastAsia="zh-CN"/>
          <w14:textFill>
            <w14:solidFill>
              <w14:schemeClr w14:val="tx1"/>
            </w14:solidFill>
          </w14:textFill>
        </w:rPr>
        <w:t>占用</w:t>
      </w:r>
      <w:r>
        <w:rPr>
          <w:rFonts w:hint="eastAsia" w:ascii="宋体" w:hAnsi="宋体" w:eastAsia="宋体"/>
          <w:color w:val="000000" w:themeColor="text1"/>
          <w:sz w:val="24"/>
          <w:szCs w:val="24"/>
          <w:highlight w:val="none"/>
          <w14:textFill>
            <w14:solidFill>
              <w14:schemeClr w14:val="tx1"/>
            </w14:solidFill>
          </w14:textFill>
        </w:rPr>
        <w:t>甘河子（含铁路专供）</w:t>
      </w:r>
      <w:r>
        <w:rPr>
          <w:rFonts w:hint="eastAsia" w:ascii="宋体" w:hAnsi="宋体" w:eastAsia="宋体"/>
          <w:color w:val="000000" w:themeColor="text1"/>
          <w:sz w:val="24"/>
          <w:szCs w:val="24"/>
          <w:highlight w:val="none"/>
          <w:lang w:val="en-US" w:eastAsia="zh-CN"/>
          <w14:textFill>
            <w14:solidFill>
              <w14:schemeClr w14:val="tx1"/>
            </w14:solidFill>
          </w14:textFill>
        </w:rPr>
        <w:t>地下饮用</w:t>
      </w:r>
      <w:r>
        <w:rPr>
          <w:rFonts w:hint="eastAsia" w:ascii="宋体" w:hAnsi="宋体" w:eastAsia="宋体"/>
          <w:color w:val="000000" w:themeColor="text1"/>
          <w:sz w:val="24"/>
          <w:szCs w:val="24"/>
          <w:highlight w:val="none"/>
          <w14:textFill>
            <w14:solidFill>
              <w14:schemeClr w14:val="tx1"/>
            </w14:solidFill>
          </w14:textFill>
        </w:rPr>
        <w:t>水源地</w:t>
      </w:r>
      <w:r>
        <w:rPr>
          <w:rFonts w:hint="eastAsia" w:ascii="宋体" w:hAnsi="宋体" w:eastAsia="宋体"/>
          <w:color w:val="000000" w:themeColor="text1"/>
          <w:sz w:val="24"/>
          <w:szCs w:val="24"/>
          <w:highlight w:val="none"/>
          <w:lang w:val="en-US" w:eastAsia="zh-CN"/>
          <w14:textFill>
            <w14:solidFill>
              <w14:schemeClr w14:val="tx1"/>
            </w14:solidFill>
          </w14:textFill>
        </w:rPr>
        <w:t>二级保护区20510</w:t>
      </w:r>
      <w:r>
        <w:rPr>
          <w:rFonts w:hint="default" w:ascii="Times New Roman" w:hAnsi="Times New Roman" w:cs="Times New Roman" w:eastAsiaTheme="minorEastAsia"/>
          <w:snapToGrid w:val="0"/>
          <w:color w:val="000000" w:themeColor="text1"/>
          <w:kern w:val="0"/>
          <w:sz w:val="24"/>
          <w:szCs w:val="24"/>
          <w:highlight w:val="none"/>
          <w:lang w:val="en-US" w:eastAsia="zh-CN"/>
          <w14:textFill>
            <w14:solidFill>
              <w14:schemeClr w14:val="tx1"/>
            </w14:solidFill>
          </w14:textFill>
        </w:rPr>
        <w:t>m</w:t>
      </w:r>
      <w:r>
        <w:rPr>
          <w:rFonts w:hint="default" w:ascii="Times New Roman" w:hAnsi="Times New Roman" w:cs="Times New Roman" w:eastAsiaTheme="minorEastAsia"/>
          <w:snapToGrid w:val="0"/>
          <w:color w:val="000000" w:themeColor="text1"/>
          <w:kern w:val="0"/>
          <w:sz w:val="24"/>
          <w:szCs w:val="24"/>
          <w:highlight w:val="none"/>
          <w:vertAlign w:val="superscript"/>
          <w:lang w:val="en-US" w:eastAsia="zh-CN"/>
          <w14:textFill>
            <w14:solidFill>
              <w14:schemeClr w14:val="tx1"/>
            </w14:solidFill>
          </w14:textFill>
        </w:rPr>
        <w:t>2</w:t>
      </w:r>
      <w:r>
        <w:rPr>
          <w:rFonts w:hint="default" w:ascii="Times New Roman" w:hAnsi="Times New Roman" w:cs="Times New Roman" w:eastAsiaTheme="minorEastAsia"/>
          <w:snapToGrid w:val="0"/>
          <w:color w:val="000000" w:themeColor="text1"/>
          <w:kern w:val="0"/>
          <w:sz w:val="24"/>
          <w:szCs w:val="24"/>
          <w:highlight w:val="none"/>
          <w:lang w:val="en-US" w:eastAsia="zh-CN"/>
          <w14:textFill>
            <w14:solidFill>
              <w14:schemeClr w14:val="tx1"/>
            </w14:solidFill>
          </w14:textFill>
        </w:rPr>
        <w:t>，占用</w:t>
      </w:r>
      <w:r>
        <w:rPr>
          <w:rFonts w:hint="default" w:ascii="Times New Roman" w:hAnsi="Times New Roman" w:cs="Times New Roman" w:eastAsiaTheme="minorEastAsia"/>
          <w:snapToGrid w:val="0"/>
          <w:color w:val="000000" w:themeColor="text1"/>
          <w:sz w:val="24"/>
          <w:szCs w:val="24"/>
          <w:highlight w:val="none"/>
          <w:lang w:val="en-US" w:eastAsia="zh-CN"/>
          <w14:textFill>
            <w14:solidFill>
              <w14:schemeClr w14:val="tx1"/>
            </w14:solidFill>
          </w14:textFill>
        </w:rPr>
        <w:t>乌拉泊、柴西、柴北、西山、甘河子（含铁路专供）准保护区</w:t>
      </w:r>
      <w:r>
        <w:rPr>
          <w:rFonts w:hint="eastAsia" w:cs="Times New Roman" w:eastAsiaTheme="minorEastAsia"/>
          <w:snapToGrid w:val="0"/>
          <w:color w:val="000000" w:themeColor="text1"/>
          <w:kern w:val="0"/>
          <w:sz w:val="24"/>
          <w:szCs w:val="24"/>
          <w:highlight w:val="none"/>
          <w:lang w:val="en-US" w:eastAsia="zh-CN"/>
          <w14:textFill>
            <w14:solidFill>
              <w14:schemeClr w14:val="tx1"/>
            </w14:solidFill>
          </w14:textFill>
        </w:rPr>
        <w:t>36400</w:t>
      </w:r>
      <w:r>
        <w:rPr>
          <w:rFonts w:hint="default" w:ascii="Times New Roman" w:hAnsi="Times New Roman" w:cs="Times New Roman" w:eastAsiaTheme="minorEastAsia"/>
          <w:snapToGrid w:val="0"/>
          <w:color w:val="000000" w:themeColor="text1"/>
          <w:kern w:val="0"/>
          <w:sz w:val="24"/>
          <w:szCs w:val="24"/>
          <w:highlight w:val="none"/>
          <w:lang w:val="en-US" w:eastAsia="zh-CN"/>
          <w14:textFill>
            <w14:solidFill>
              <w14:schemeClr w14:val="tx1"/>
            </w14:solidFill>
          </w14:textFill>
        </w:rPr>
        <w:t>m</w:t>
      </w:r>
      <w:r>
        <w:rPr>
          <w:rFonts w:hint="default" w:ascii="Times New Roman" w:hAnsi="Times New Roman" w:cs="Times New Roman" w:eastAsiaTheme="minorEastAsia"/>
          <w:snapToGrid w:val="0"/>
          <w:color w:val="000000" w:themeColor="text1"/>
          <w:kern w:val="0"/>
          <w:sz w:val="24"/>
          <w:szCs w:val="24"/>
          <w:highlight w:val="none"/>
          <w:vertAlign w:val="superscript"/>
          <w:lang w:val="en-US" w:eastAsia="zh-CN"/>
          <w14:textFill>
            <w14:solidFill>
              <w14:schemeClr w14:val="tx1"/>
            </w14:solidFill>
          </w14:textFill>
        </w:rPr>
        <w:t>2</w:t>
      </w:r>
      <w:r>
        <w:rPr>
          <w:rFonts w:hint="default" w:ascii="Times New Roman" w:hAnsi="Times New Roman" w:cs="Times New Roman" w:eastAsiaTheme="minorEastAsia"/>
          <w:snapToGrid w:val="0"/>
          <w:color w:val="000000" w:themeColor="text1"/>
          <w:sz w:val="24"/>
          <w:szCs w:val="24"/>
          <w:highlight w:val="none"/>
          <w:lang w:val="en-US" w:eastAsia="zh-CN"/>
          <w14:textFill>
            <w14:solidFill>
              <w14:schemeClr w14:val="tx1"/>
            </w14:solidFill>
          </w14:textFill>
        </w:rPr>
        <w:t>。</w:t>
      </w:r>
    </w:p>
    <w:p w14:paraId="4604FF26">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b/>
          <w:bCs/>
          <w:snapToGrid w:val="0"/>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eastAsiaTheme="minorEastAsia"/>
          <w:b/>
          <w:bCs/>
          <w:snapToGrid w:val="0"/>
          <w:color w:val="000000" w:themeColor="text1"/>
          <w:sz w:val="24"/>
          <w:szCs w:val="24"/>
          <w:highlight w:val="none"/>
          <w:lang w:val="en-US" w:eastAsia="zh-CN"/>
          <w14:textFill>
            <w14:solidFill>
              <w14:schemeClr w14:val="tx1"/>
            </w14:solidFill>
          </w14:textFill>
        </w:rPr>
        <w:t>(3)风机吊装场地</w:t>
      </w:r>
    </w:p>
    <w:p w14:paraId="68E1302C">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jc w:val="both"/>
        <w:textAlignment w:val="auto"/>
        <w:rPr>
          <w:rFonts w:hint="default" w:ascii="Times New Roman" w:hAnsi="Times New Roman" w:cs="Times New Roman" w:eastAsiaTheme="minorEastAsia"/>
          <w:snapToGrid w:val="0"/>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szCs w:val="24"/>
          <w:highlight w:val="none"/>
          <w:lang w:val="en-US" w:eastAsia="zh-CN"/>
          <w14:textFill>
            <w14:solidFill>
              <w14:schemeClr w14:val="tx1"/>
            </w14:solidFill>
          </w14:textFill>
        </w:rPr>
        <w:t>本风电场采用一台风电机组配备一台升压变压器的方式。根据风机布置情况及吊装的要求，依托施工道路布置施工吊装平台，风机吊装场地尺寸</w:t>
      </w:r>
      <w:r>
        <w:rPr>
          <w:rFonts w:hint="eastAsia" w:cs="Times New Roman" w:eastAsiaTheme="minorEastAsia"/>
          <w:color w:val="000000" w:themeColor="text1"/>
          <w:sz w:val="24"/>
          <w:szCs w:val="24"/>
          <w:highlight w:val="none"/>
          <w:lang w:val="en-US" w:eastAsia="zh-CN"/>
          <w14:textFill>
            <w14:solidFill>
              <w14:schemeClr w14:val="tx1"/>
            </w14:solidFill>
          </w14:textFill>
        </w:rPr>
        <w:t>50</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m×</w:t>
      </w:r>
      <w:r>
        <w:rPr>
          <w:rFonts w:hint="eastAsia" w:cs="Times New Roman" w:eastAsiaTheme="minorEastAsia"/>
          <w:color w:val="000000" w:themeColor="text1"/>
          <w:sz w:val="24"/>
          <w:szCs w:val="24"/>
          <w:highlight w:val="none"/>
          <w:lang w:val="en-US" w:eastAsia="zh-CN"/>
          <w14:textFill>
            <w14:solidFill>
              <w14:schemeClr w14:val="tx1"/>
            </w14:solidFill>
          </w14:textFill>
        </w:rPr>
        <w:t>62</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m</w:t>
      </w:r>
      <w:r>
        <w:rPr>
          <w:rFonts w:hint="default" w:ascii="Times New Roman" w:hAnsi="Times New Roman" w:cs="Times New Roman" w:eastAsiaTheme="minorEastAsia"/>
          <w:snapToGrid w:val="0"/>
          <w:color w:val="000000" w:themeColor="text1"/>
          <w:sz w:val="24"/>
          <w:szCs w:val="24"/>
          <w:highlight w:val="none"/>
          <w:lang w:val="en-US" w:eastAsia="zh-CN"/>
          <w14:textFill>
            <w14:solidFill>
              <w14:schemeClr w14:val="tx1"/>
            </w14:solidFill>
          </w14:textFill>
        </w:rPr>
        <w:t>，每台风电机组吊装场地约</w:t>
      </w:r>
      <w:r>
        <w:rPr>
          <w:rFonts w:hint="eastAsia" w:cs="Times New Roman" w:eastAsiaTheme="minorEastAsia"/>
          <w:snapToGrid w:val="0"/>
          <w:color w:val="000000" w:themeColor="text1"/>
          <w:sz w:val="24"/>
          <w:szCs w:val="24"/>
          <w:highlight w:val="none"/>
          <w:lang w:val="en-US" w:eastAsia="zh-CN"/>
          <w14:textFill>
            <w14:solidFill>
              <w14:schemeClr w14:val="tx1"/>
            </w14:solidFill>
          </w14:textFill>
        </w:rPr>
        <w:t>3100</w:t>
      </w:r>
      <w:r>
        <w:rPr>
          <w:rFonts w:hint="default" w:ascii="Times New Roman" w:hAnsi="Times New Roman" w:cs="Times New Roman" w:eastAsiaTheme="minorEastAsia"/>
          <w:snapToGrid w:val="0"/>
          <w:color w:val="000000" w:themeColor="text1"/>
          <w:sz w:val="24"/>
          <w:szCs w:val="24"/>
          <w:highlight w:val="none"/>
          <w:lang w:val="en-US" w:eastAsia="zh-CN"/>
          <w14:textFill>
            <w14:solidFill>
              <w14:schemeClr w14:val="tx1"/>
            </w14:solidFill>
          </w14:textFill>
        </w:rPr>
        <w:t>㎡，本项目共安装风电机组</w:t>
      </w:r>
      <w:r>
        <w:rPr>
          <w:rFonts w:hint="eastAsia" w:cs="Times New Roman" w:eastAsiaTheme="minorEastAsia"/>
          <w:snapToGrid w:val="0"/>
          <w:color w:val="000000" w:themeColor="text1"/>
          <w:sz w:val="24"/>
          <w:szCs w:val="24"/>
          <w:highlight w:val="none"/>
          <w:lang w:val="en-US" w:eastAsia="zh-CN"/>
          <w14:textFill>
            <w14:solidFill>
              <w14:schemeClr w14:val="tx1"/>
            </w14:solidFill>
          </w14:textFill>
        </w:rPr>
        <w:t>20</w:t>
      </w:r>
      <w:r>
        <w:rPr>
          <w:rFonts w:hint="default" w:ascii="Times New Roman" w:hAnsi="Times New Roman" w:cs="Times New Roman" w:eastAsiaTheme="minorEastAsia"/>
          <w:snapToGrid w:val="0"/>
          <w:color w:val="000000" w:themeColor="text1"/>
          <w:sz w:val="24"/>
          <w:szCs w:val="24"/>
          <w:highlight w:val="none"/>
          <w:lang w:val="en-US" w:eastAsia="zh-CN"/>
          <w14:textFill>
            <w14:solidFill>
              <w14:schemeClr w14:val="tx1"/>
            </w14:solidFill>
          </w14:textFill>
        </w:rPr>
        <w:t>台，风机吊装场地占地面积</w:t>
      </w:r>
      <w:r>
        <w:rPr>
          <w:rFonts w:hint="eastAsia" w:cs="Times New Roman" w:eastAsiaTheme="minorEastAsia"/>
          <w:snapToGrid w:val="0"/>
          <w:color w:val="000000" w:themeColor="text1"/>
          <w:sz w:val="24"/>
          <w:szCs w:val="24"/>
          <w:highlight w:val="none"/>
          <w:lang w:val="en-US" w:eastAsia="zh-CN"/>
          <w14:textFill>
            <w14:solidFill>
              <w14:schemeClr w14:val="tx1"/>
            </w14:solidFill>
          </w14:textFill>
        </w:rPr>
        <w:t>65100</w:t>
      </w:r>
      <w:r>
        <w:rPr>
          <w:rFonts w:hint="default" w:ascii="Times New Roman" w:hAnsi="Times New Roman" w:cs="Times New Roman" w:eastAsiaTheme="minorEastAsia"/>
          <w:snapToGrid w:val="0"/>
          <w:color w:val="000000" w:themeColor="text1"/>
          <w:sz w:val="24"/>
          <w:szCs w:val="24"/>
          <w:highlight w:val="none"/>
          <w:lang w:val="en-US" w:eastAsia="zh-CN"/>
          <w14:textFill>
            <w14:solidFill>
              <w14:schemeClr w14:val="tx1"/>
            </w14:solidFill>
          </w14:textFill>
        </w:rPr>
        <w:t>㎡。本具体吊装场地布置，结合各机位地形情况确定，原则是吊装场地靠近施工道路一侧。吊装场地平整压实后平台顶面铺设级配砂砾石，也可以减少施工环境的污染。</w:t>
      </w:r>
    </w:p>
    <w:p w14:paraId="49B0D727">
      <w:pPr>
        <w:pStyle w:val="12"/>
        <w:keepNext/>
        <w:keepLines/>
        <w:pageBreakBefore w:val="0"/>
        <w:widowControl w:val="0"/>
        <w:numPr>
          <w:ilvl w:val="0"/>
          <w:numId w:val="0"/>
        </w:numPr>
        <w:tabs>
          <w:tab w:val="left" w:pos="1050"/>
        </w:tabs>
        <w:kinsoku/>
        <w:wordWrap/>
        <w:overflowPunct/>
        <w:topLinePunct w:val="0"/>
        <w:autoSpaceDE/>
        <w:autoSpaceDN/>
        <w:bidi w:val="0"/>
        <w:adjustRightInd/>
        <w:snapToGrid w:val="0"/>
        <w:spacing w:before="0" w:beforeLines="0" w:after="0" w:afterLines="0" w:line="360" w:lineRule="auto"/>
        <w:ind w:left="0" w:leftChars="0"/>
        <w:textAlignment w:val="auto"/>
        <w:outlineLvl w:val="3"/>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t>3.1.</w:t>
      </w:r>
      <w:r>
        <w:rPr>
          <w:rFonts w:hint="eastAsia"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t>8</w:t>
      </w:r>
      <w:r>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t>.3 风电场主体工程施工工艺</w:t>
      </w:r>
    </w:p>
    <w:p w14:paraId="3046B2BE">
      <w:pPr>
        <w:keepNext w:val="0"/>
        <w:keepLines w:val="0"/>
        <w:pageBreakBefore w:val="0"/>
        <w:widowControl w:val="0"/>
        <w:kinsoku/>
        <w:wordWrap/>
        <w:overflowPunct/>
        <w:topLinePunct w:val="0"/>
        <w:autoSpaceDE/>
        <w:autoSpaceDN/>
        <w:bidi w:val="0"/>
        <w:adjustRightInd/>
        <w:snapToGrid w:val="0"/>
        <w:ind w:left="0" w:leftChars="0" w:firstLine="560" w:firstLineChars="200"/>
        <w:textAlignment w:val="auto"/>
        <w:rPr>
          <w:rFonts w:hint="default" w:ascii="Times New Roman" w:hAnsi="Times New Roman" w:cs="Times New Roman" w:eastAsiaTheme="minorEastAsia"/>
          <w:b/>
          <w:bCs/>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highlight w:val="none"/>
          <w:lang w:val="en-US" w:eastAsia="zh-CN"/>
          <w14:textFill>
            <w14:solidFill>
              <w14:schemeClr w14:val="tx1"/>
            </w14:solidFill>
          </w14:textFill>
        </w:rPr>
        <w:t>（1）场内道路施工</w:t>
      </w:r>
    </w:p>
    <w:p w14:paraId="14A9BB07">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kern w:val="0"/>
          <w:sz w:val="24"/>
          <w:highlight w:val="none"/>
          <w:lang w:val="en-US" w:eastAsia="zh-CN"/>
          <w14:textFill>
            <w14:solidFill>
              <w14:schemeClr w14:val="tx1"/>
            </w14:solidFill>
          </w14:textFill>
        </w:rPr>
        <w:t>风电场场区地表较为平整，场内临时施工道路采用碎石路面简易道路，兼做运营期巡检道路。主要施工工序包括：场地清理、路基土石方填筑、平整、路面碎石铺设。</w:t>
      </w:r>
    </w:p>
    <w:p w14:paraId="53370083">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kern w:val="0"/>
          <w:sz w:val="24"/>
          <w:highlight w:val="none"/>
          <w:lang w:val="en-US" w:eastAsia="zh-CN"/>
          <w14:textFill>
            <w14:solidFill>
              <w14:schemeClr w14:val="tx1"/>
            </w14:solidFill>
          </w14:textFill>
        </w:rPr>
        <w:t>①路基土石方填筑平整</w:t>
      </w:r>
    </w:p>
    <w:p w14:paraId="785B5830">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kern w:val="0"/>
          <w:sz w:val="24"/>
          <w:highlight w:val="none"/>
          <w:lang w:val="en-US" w:eastAsia="zh-CN"/>
          <w14:textFill>
            <w14:solidFill>
              <w14:schemeClr w14:val="tx1"/>
            </w14:solidFill>
          </w14:textFill>
        </w:rPr>
        <w:t>施工流程：测量放线→路基土石方填筑平整→机械碾压→验收。路基填方路段基层面经压实，按有关土工试验规程做土工密实度试验合格并经监理工程师确认后方可进行路基填筑施工。</w:t>
      </w:r>
    </w:p>
    <w:p w14:paraId="03C0D4B3">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kern w:val="0"/>
          <w:sz w:val="24"/>
          <w:highlight w:val="none"/>
          <w:lang w:val="en-US" w:eastAsia="zh-CN"/>
          <w14:textFill>
            <w14:solidFill>
              <w14:schemeClr w14:val="tx1"/>
            </w14:solidFill>
          </w14:textFill>
        </w:rPr>
        <w:t>②路面碎石铺设</w:t>
      </w:r>
    </w:p>
    <w:p w14:paraId="760CDCF1">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kern w:val="0"/>
          <w:sz w:val="24"/>
          <w:highlight w:val="none"/>
          <w:lang w:val="en-US" w:eastAsia="zh-CN"/>
          <w14:textFill>
            <w14:solidFill>
              <w14:schemeClr w14:val="tx1"/>
            </w14:solidFill>
          </w14:textFill>
        </w:rPr>
        <w:t>A.准备工作：首先对下层土路基进行复验、量测修整，其质量符合技术要求；检查修整运输道路；补钉遗失或松动的测桩；在结构层两侧设置指示桩，标出面层边缘的设计高程。</w:t>
      </w:r>
    </w:p>
    <w:p w14:paraId="73B8A8A5">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eastAsiaTheme="minorEastAsia"/>
          <w:snapToGrid w:val="0"/>
          <w:color w:val="FF0000"/>
          <w:kern w:val="0"/>
          <w:sz w:val="24"/>
          <w:highlight w:val="none"/>
          <w:lang w:val="en-US" w:eastAsia="zh-CN"/>
        </w:rPr>
      </w:pPr>
      <w:r>
        <w:rPr>
          <w:rFonts w:hint="default" w:ascii="Times New Roman" w:hAnsi="Times New Roman" w:cs="Times New Roman" w:eastAsiaTheme="minorEastAsia"/>
          <w:snapToGrid w:val="0"/>
          <w:color w:val="000000" w:themeColor="text1"/>
          <w:kern w:val="0"/>
          <w:sz w:val="24"/>
          <w:highlight w:val="none"/>
          <w:lang w:val="en-US" w:eastAsia="zh-CN"/>
          <w14:textFill>
            <w14:solidFill>
              <w14:schemeClr w14:val="tx1"/>
            </w14:solidFill>
          </w14:textFill>
        </w:rPr>
        <w:t>B.材料要求：面层碎石铺垫料应采用质地紧韧、耐磨、具有一定级配的透水性良好的材料。软硬不同的材料不得掺合使用。天然级配砂砾石要求粒径组成中，大于20mm骨料占40%以上，最大粒径不超过70mm，粒径小于0.5mm的细料含量少于15%。</w:t>
      </w:r>
    </w:p>
    <w:p w14:paraId="3E7E0F73">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kern w:val="0"/>
          <w:sz w:val="24"/>
          <w:highlight w:val="none"/>
          <w:lang w:val="en-US" w:eastAsia="zh-CN"/>
          <w14:textFill>
            <w14:solidFill>
              <w14:schemeClr w14:val="tx1"/>
            </w14:solidFill>
          </w14:textFill>
        </w:rPr>
        <w:t>C.摊铺：素土路基复验合格后要及时摊铺，运到工地的砂砾石排平后，大小颗粒应分布均匀，虚铺厚度一致，按虚铺厚度一次铺平，不得多次找补。</w:t>
      </w:r>
    </w:p>
    <w:p w14:paraId="42718BB5">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kern w:val="0"/>
          <w:sz w:val="24"/>
          <w:highlight w:val="none"/>
          <w:lang w:val="en-US" w:eastAsia="zh-CN"/>
          <w14:textFill>
            <w14:solidFill>
              <w14:schemeClr w14:val="tx1"/>
            </w14:solidFill>
          </w14:textFill>
        </w:rPr>
        <w:t>D.碾压：碾压以“先慢后快</w:t>
      </w:r>
      <w:r>
        <w:rPr>
          <w:rFonts w:hint="eastAsia" w:ascii="Times New Roman" w:hAnsi="Times New Roman" w:cs="Times New Roman" w:eastAsiaTheme="minorEastAsia"/>
          <w:snapToGrid w:val="0"/>
          <w:color w:val="000000" w:themeColor="text1"/>
          <w:kern w:val="0"/>
          <w:sz w:val="24"/>
          <w:highlight w:val="none"/>
          <w:lang w:val="en-US" w:eastAsia="zh-CN"/>
          <w14:textFill>
            <w14:solidFill>
              <w14:schemeClr w14:val="tx1"/>
            </w14:solidFill>
          </w14:textFill>
        </w:rPr>
        <w:t>”“</w:t>
      </w:r>
      <w:r>
        <w:rPr>
          <w:rFonts w:hint="default" w:ascii="Times New Roman" w:hAnsi="Times New Roman" w:cs="Times New Roman" w:eastAsiaTheme="minorEastAsia"/>
          <w:snapToGrid w:val="0"/>
          <w:color w:val="000000" w:themeColor="text1"/>
          <w:kern w:val="0"/>
          <w:sz w:val="24"/>
          <w:highlight w:val="none"/>
          <w:lang w:val="en-US" w:eastAsia="zh-CN"/>
          <w14:textFill>
            <w14:solidFill>
              <w14:schemeClr w14:val="tx1"/>
            </w14:solidFill>
          </w14:textFill>
        </w:rPr>
        <w:t>先轻后重”为原则。压路机应逐次倒轴碾压，重叠宽度为三轮压路机的二分之一后轮宽，对双轮压路机不应小于30cm。碾压前先泼水，每平方米约泼水3-4kg。碾压自路边开始向路中移动，路边应重复碾压，避免石料向外挤动。在轻碾稳定碾压过程中应随时检查，如发现有高低不平现象，高出处应适当均匀撤出粒料，低凹处应适当填加粒料后再行压实。砂砾石层应在嵌缝前碾压坚实稳定。</w:t>
      </w:r>
    </w:p>
    <w:p w14:paraId="3E825D8A">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kern w:val="0"/>
          <w:sz w:val="24"/>
          <w:highlight w:val="none"/>
          <w:lang w:val="en-US" w:eastAsia="zh-CN"/>
          <w14:textFill>
            <w14:solidFill>
              <w14:schemeClr w14:val="tx1"/>
            </w14:solidFill>
          </w14:textFill>
        </w:rPr>
        <w:t>E.路面铺筑要求：a、材料应符合图纸和本规范要求。b、碾压应达到要求的压实度。c、表面平整密实，边线整齐，无松散现象。</w:t>
      </w:r>
    </w:p>
    <w:p w14:paraId="69318EE6">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b/>
          <w:bCs/>
          <w:snapToGrid w:val="0"/>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eastAsiaTheme="minorEastAsia"/>
          <w:b/>
          <w:bCs/>
          <w:snapToGrid w:val="0"/>
          <w:color w:val="000000" w:themeColor="text1"/>
          <w:sz w:val="24"/>
          <w:szCs w:val="24"/>
          <w:highlight w:val="none"/>
          <w:lang w:val="en-US" w:eastAsia="zh-CN"/>
          <w14:textFill>
            <w14:solidFill>
              <w14:schemeClr w14:val="tx1"/>
            </w14:solidFill>
          </w14:textFill>
        </w:rPr>
        <w:t>(2)风电机组施工工艺</w:t>
      </w:r>
    </w:p>
    <w:p w14:paraId="63F407E6">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cs="Times New Roman" w:eastAsiaTheme="minorEastAsia"/>
          <w:color w:val="000000" w:themeColor="text1"/>
          <w:kern w:val="0"/>
          <w:sz w:val="24"/>
          <w:szCs w:val="24"/>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24"/>
          <w:szCs w:val="24"/>
          <w:highlight w:val="none"/>
          <w:lang w:val="en-US" w:eastAsia="zh-CN"/>
          <w14:textFill>
            <w14:solidFill>
              <w14:schemeClr w14:val="tx1"/>
            </w14:solidFill>
          </w14:textFill>
        </w:rPr>
        <w:t>风电机组</w:t>
      </w:r>
      <w:r>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t>施工工艺流程</w:t>
      </w:r>
      <w:r>
        <w:rPr>
          <w:rFonts w:hint="default" w:ascii="Times New Roman" w:hAnsi="Times New Roman" w:cs="Times New Roman" w:eastAsiaTheme="minorEastAsia"/>
          <w:color w:val="000000" w:themeColor="text1"/>
          <w:kern w:val="0"/>
          <w:sz w:val="24"/>
          <w:szCs w:val="24"/>
          <w:highlight w:val="none"/>
          <w:lang w:eastAsia="zh-CN"/>
          <w14:textFill>
            <w14:solidFill>
              <w14:schemeClr w14:val="tx1"/>
            </w14:solidFill>
          </w14:textFill>
        </w:rPr>
        <w:t>：</w:t>
      </w:r>
    </w:p>
    <w:p w14:paraId="29B276DB">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1</w:t>
      </w:r>
      <w:r>
        <w:rPr>
          <w:rFonts w:hint="default" w:ascii="Times New Roman" w:hAnsi="Times New Roman" w:cs="Times New Roman" w:eastAsiaTheme="minorEastAsia"/>
          <w:color w:val="000000" w:themeColor="text1"/>
          <w:sz w:val="24"/>
          <w:szCs w:val="24"/>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圆形扩展基础施工</w:t>
      </w:r>
    </w:p>
    <w:p w14:paraId="56D3FECF">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eastAsiaTheme="minorEastAsia"/>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圆形扩展基础施工主要工序：清槽、验槽、垫层混凝土浇筑、放线、支模板、预埋件就位、钢筋绑扎、混凝土浇筑、混凝土保养拆模验收、回填土压实。</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本项目风机基础直径27m，开</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挖</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深度4m</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，采用大开挖方式施工，不涉及钻井工程，无钻井泥浆和废润滑液产生</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本项目</w:t>
      </w:r>
      <w:r>
        <w:rPr>
          <w:rFonts w:hint="default" w:ascii="Times New Roman" w:hAnsi="Times New Roman" w:cs="Times New Roman" w:eastAsiaTheme="minorEastAsia"/>
          <w:color w:val="000000" w:themeColor="text1"/>
          <w:kern w:val="2"/>
          <w:sz w:val="24"/>
          <w:szCs w:val="24"/>
          <w:highlight w:val="none"/>
          <w:lang w:bidi="ar-SA"/>
          <w14:textFill>
            <w14:solidFill>
              <w14:schemeClr w14:val="tx1"/>
            </w14:solidFill>
          </w14:textFill>
        </w:rPr>
        <w:t>风机、箱变等基础采用混凝土直接浇筑的方式施工，</w:t>
      </w:r>
      <w:r>
        <w:rPr>
          <w:rFonts w:hint="default" w:ascii="Times New Roman" w:hAnsi="Times New Roman" w:cs="Times New Roman" w:eastAsiaTheme="minorEastAsia"/>
          <w:color w:val="000000" w:themeColor="text1"/>
          <w:kern w:val="2"/>
          <w:sz w:val="24"/>
          <w:szCs w:val="24"/>
          <w:highlight w:val="none"/>
          <w:lang w:val="en-US" w:eastAsia="zh-CN" w:bidi="ar-SA"/>
          <w14:textFill>
            <w14:solidFill>
              <w14:schemeClr w14:val="tx1"/>
            </w14:solidFill>
          </w14:textFill>
        </w:rPr>
        <w:t>浇筑前基础底部铺设防渗膜，可有效防止混凝土养护废水入渗，</w:t>
      </w:r>
      <w:r>
        <w:rPr>
          <w:rFonts w:hint="default" w:ascii="Times New Roman" w:hAnsi="Times New Roman" w:cs="Times New Roman" w:eastAsiaTheme="minorEastAsia"/>
          <w:color w:val="000000" w:themeColor="text1"/>
          <w:kern w:val="2"/>
          <w:sz w:val="24"/>
          <w:szCs w:val="24"/>
          <w:highlight w:val="none"/>
          <w:lang w:bidi="ar-SA"/>
          <w14:textFill>
            <w14:solidFill>
              <w14:schemeClr w14:val="tx1"/>
            </w14:solidFill>
          </w14:textFill>
        </w:rPr>
        <w:t>浇筑后表面洒水润湿进行养护，养护方法为先用吸水材料覆盖混凝土，再在吸水材料上洒水，根据吸收和蒸发情况，适时补充。在养护过程中，养护水被混凝土吸收或</w:t>
      </w:r>
      <w:r>
        <w:rPr>
          <w:rFonts w:hint="default" w:ascii="Times New Roman" w:hAnsi="Times New Roman" w:cs="Times New Roman" w:eastAsiaTheme="minorEastAsia"/>
          <w:color w:val="000000" w:themeColor="text1"/>
          <w:kern w:val="2"/>
          <w:sz w:val="24"/>
          <w:szCs w:val="24"/>
          <w:highlight w:val="none"/>
          <w:lang w:val="en-US" w:eastAsia="zh-CN" w:bidi="ar-SA"/>
          <w14:textFill>
            <w14:solidFill>
              <w14:schemeClr w14:val="tx1"/>
            </w14:solidFill>
          </w14:textFill>
        </w:rPr>
        <w:t>自然</w:t>
      </w:r>
      <w:r>
        <w:rPr>
          <w:rFonts w:hint="default" w:ascii="Times New Roman" w:hAnsi="Times New Roman" w:cs="Times New Roman" w:eastAsiaTheme="minorEastAsia"/>
          <w:color w:val="000000" w:themeColor="text1"/>
          <w:kern w:val="2"/>
          <w:sz w:val="24"/>
          <w:szCs w:val="24"/>
          <w:highlight w:val="none"/>
          <w:lang w:bidi="ar-SA"/>
          <w14:textFill>
            <w14:solidFill>
              <w14:schemeClr w14:val="tx1"/>
            </w14:solidFill>
          </w14:textFill>
        </w:rPr>
        <w:t>蒸发</w:t>
      </w:r>
      <w:r>
        <w:rPr>
          <w:rFonts w:hint="default" w:ascii="Times New Roman" w:hAnsi="Times New Roman" w:cs="Times New Roman" w:eastAsiaTheme="minorEastAsia"/>
          <w:color w:val="000000" w:themeColor="text1"/>
          <w:kern w:val="2"/>
          <w:sz w:val="24"/>
          <w:szCs w:val="24"/>
          <w:highlight w:val="none"/>
          <w:lang w:eastAsia="zh-CN" w:bidi="ar-SA"/>
          <w14:textFill>
            <w14:solidFill>
              <w14:schemeClr w14:val="tx1"/>
            </w14:solidFill>
          </w14:textFill>
        </w:rPr>
        <w:t>。</w:t>
      </w:r>
    </w:p>
    <w:p w14:paraId="515C9FDA">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2</w:t>
      </w:r>
      <w:r>
        <w:rPr>
          <w:rFonts w:hint="default" w:ascii="Times New Roman" w:hAnsi="Times New Roman" w:cs="Times New Roman" w:eastAsiaTheme="minorEastAsia"/>
          <w:color w:val="000000" w:themeColor="text1"/>
          <w:sz w:val="24"/>
          <w:szCs w:val="24"/>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风力发电机组的吊装</w:t>
      </w:r>
    </w:p>
    <w:p w14:paraId="204CAB1D">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吊装设备：由于风电机组安装起吊最大高度</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23</w:t>
      </w:r>
      <w:r>
        <w:rPr>
          <w:rFonts w:hint="eastAsia" w:cs="Times New Roman" w:eastAsiaTheme="minorEastAsia"/>
          <w:color w:val="000000" w:themeColor="text1"/>
          <w:sz w:val="24"/>
          <w:szCs w:val="24"/>
          <w:highlight w:val="none"/>
          <w:lang w:val="en-US" w:eastAsia="zh-CN"/>
          <w14:textFill>
            <w14:solidFill>
              <w14:schemeClr w14:val="tx1"/>
            </w14:solidFill>
          </w14:textFill>
        </w:rPr>
        <w:t>0</w:t>
      </w: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m，初步选用800t履带吊作为风机及塔架的主力吊装机械，200t汽车吊一台作为辅助机械。履带吊转场时需将履带吊拆卸，用平板车运输到指定位置后再重新组装。</w:t>
      </w:r>
    </w:p>
    <w:p w14:paraId="259CFE81">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塔架吊装：塔筒分段起吊，800t主吊停在距风电机组中心20m处，和200t辅吊联合将塔筒吊起，主吊的吊点在塔筒上端。塔筒起吊后，运输车辆即可开出，两台吊车联合将塔筒翻转后由主吊单独起吊到风电机组位置，再连接上锚板螺栓，完成塔筒吊装。</w:t>
      </w:r>
    </w:p>
    <w:p w14:paraId="1FC449E1">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机舱吊装：800t主吊停在距风电机组中心20m处，由主吊单独将机舱吊起轮毂高度，再起吊发电机，再连接上锚板螺栓，完成机舱吊装。</w:t>
      </w:r>
    </w:p>
    <w:p w14:paraId="6935DB54">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叶片吊装：由辅吊在地面完成转轮组装，叶片起吊时需辅吊抬吊。转轮组装完成后，由800t主吊负责转轮安装。1000t主吊停在距风电机组中心20m处，由200t辅吊联合将转轮吊起，主吊的吊点在轮毂中心，两台吊车联合将转轮翻转后由主吊单独到轮毂高度，再连接上锚板螺栓，完成转轮吊装。</w:t>
      </w:r>
    </w:p>
    <w:p w14:paraId="724EAC66">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3</w:t>
      </w:r>
      <w:r>
        <w:rPr>
          <w:rFonts w:hint="default" w:ascii="Times New Roman" w:hAnsi="Times New Roman" w:cs="Times New Roman" w:eastAsiaTheme="minorEastAsia"/>
          <w:color w:val="000000" w:themeColor="text1"/>
          <w:sz w:val="24"/>
          <w:szCs w:val="24"/>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箱变、集电线路施工</w:t>
      </w:r>
    </w:p>
    <w:p w14:paraId="4247AAAE">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箱变施工：在风机基础施工的同时，可进行箱变基础的施工和电缆沟的开挖。在风机基础进行回填土前，进行高低压电缆、通讯线、接地的铺设。待电力电缆和通讯电缆</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接入</w:t>
      </w: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风机基础后，方可进行风机基础土的回填；同时可进行箱变基础电缆出入基础、箱变的安装以及电缆的回填。电缆铺设完毕后，进行电力电缆和通讯电缆的连接，并进行试验。</w:t>
      </w:r>
    </w:p>
    <w:p w14:paraId="448AEFE7">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集电线路：在集电架空线路铁塔施工时应严格按照设计要求，对拉线盘、基础的埋深和角度逐一把关。基坑采用机械开挖，现场采用机械进行吊装。</w:t>
      </w:r>
    </w:p>
    <w:p w14:paraId="12D5E635">
      <w:pPr>
        <w:pStyle w:val="12"/>
        <w:keepNext/>
        <w:keepLines/>
        <w:pageBreakBefore w:val="0"/>
        <w:widowControl w:val="0"/>
        <w:numPr>
          <w:ilvl w:val="0"/>
          <w:numId w:val="0"/>
        </w:numPr>
        <w:tabs>
          <w:tab w:val="left" w:pos="1050"/>
        </w:tabs>
        <w:kinsoku/>
        <w:wordWrap/>
        <w:overflowPunct/>
        <w:topLinePunct w:val="0"/>
        <w:autoSpaceDE/>
        <w:autoSpaceDN/>
        <w:bidi w:val="0"/>
        <w:adjustRightInd/>
        <w:snapToGrid/>
        <w:spacing w:before="0" w:beforeLines="0" w:after="0" w:afterLines="0" w:line="360" w:lineRule="auto"/>
        <w:ind w:left="0" w:leftChars="0"/>
        <w:textAlignment w:val="auto"/>
        <w:outlineLvl w:val="3"/>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t>3.1.</w:t>
      </w:r>
      <w:r>
        <w:rPr>
          <w:rFonts w:hint="eastAsia"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t>8</w:t>
      </w:r>
      <w:r>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t>.</w:t>
      </w:r>
      <w:r>
        <w:rPr>
          <w:rFonts w:hint="eastAsia"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t>4</w:t>
      </w:r>
      <w:r>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t xml:space="preserve"> 施工总进度</w:t>
      </w:r>
    </w:p>
    <w:p w14:paraId="082AC7CF">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szCs w:val="24"/>
          <w:highlight w:val="none"/>
          <w:lang w:val="en-US" w:eastAsia="zh-CN"/>
          <w14:textFill>
            <w14:solidFill>
              <w14:schemeClr w14:val="tx1"/>
            </w14:solidFill>
          </w14:textFill>
        </w:rPr>
        <w:t>本项目主要工作包括：风场内风电机组及箱变施工、集输线路施工等。</w:t>
      </w:r>
    </w:p>
    <w:p w14:paraId="1D628FC2">
      <w:pPr>
        <w:keepNext w:val="0"/>
        <w:keepLines w:val="0"/>
        <w:pageBreakBefore w:val="0"/>
        <w:widowControl w:val="0"/>
        <w:kinsoku/>
        <w:wordWrap/>
        <w:overflowPunct/>
        <w:topLinePunct w:val="0"/>
        <w:autoSpaceDE/>
        <w:autoSpaceDN/>
        <w:bidi w:val="0"/>
        <w:adjustRightInd/>
        <w:snapToGrid/>
        <w:spacing w:line="360" w:lineRule="auto"/>
        <w:ind w:left="0" w:leftChars="0" w:firstLine="472" w:firstLineChars="200"/>
        <w:textAlignment w:val="auto"/>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spacing w:val="-2"/>
          <w:sz w:val="24"/>
          <w:szCs w:val="24"/>
          <w:highlight w:val="none"/>
          <w14:textFill>
            <w14:solidFill>
              <w14:schemeClr w14:val="tx1"/>
            </w14:solidFill>
          </w14:textFill>
        </w:rPr>
        <w:t>工程前期准备阶段，进行施工生活设施、办公场所及生产设施建设，为工程建设人员提供较好的办公及生活条件，使工程建设人员全身心地投入到工程建设之中，同时可</w:t>
      </w: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以提高工作效率降低管理费用。</w:t>
      </w:r>
    </w:p>
    <w:p w14:paraId="18DE21EC">
      <w:pPr>
        <w:pageBreakBefore w:val="0"/>
        <w:widowControl w:val="0"/>
        <w:kinsoku/>
        <w:wordWrap/>
        <w:overflowPunct/>
        <w:topLinePunct w:val="0"/>
        <w:autoSpaceDE/>
        <w:autoSpaceDN/>
        <w:bidi w:val="0"/>
        <w:snapToGrid w:val="0"/>
        <w:spacing w:line="360" w:lineRule="auto"/>
        <w:ind w:left="0" w:leftChars="0" w:firstLine="480" w:firstLineChars="200"/>
        <w:jc w:val="left"/>
        <w:textAlignment w:val="auto"/>
        <w:rPr>
          <w:rFonts w:hint="default" w:ascii="Times New Roman" w:hAnsi="Times New Roman" w:cs="Times New Roman" w:eastAsiaTheme="minorEastAsia"/>
          <w:snapToGrid w:val="0"/>
          <w:color w:val="000000" w:themeColor="text1"/>
          <w:sz w:val="24"/>
          <w:szCs w:val="24"/>
          <w:highlight w:val="none"/>
          <w:lang w:val="en-US" w:eastAsia="zh-CN"/>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本风电场前期工作、设计、设备招标、施工招标争取在开工前全部完成，第</w:t>
      </w:r>
      <w:r>
        <w:rPr>
          <w:rFonts w:hint="eastAsia" w:ascii="TimesNewRomanPSMT" w:hAnsi="TimesNewRomanPSMT" w:eastAsia="TimesNewRomanPSMT"/>
          <w:color w:val="000000" w:themeColor="text1"/>
          <w:sz w:val="24"/>
          <w14:textFill>
            <w14:solidFill>
              <w14:schemeClr w14:val="tx1"/>
            </w14:solidFill>
          </w14:textFill>
        </w:rPr>
        <w:t>1</w:t>
      </w:r>
      <w:r>
        <w:rPr>
          <w:rFonts w:hint="eastAsia" w:ascii="宋体" w:hAnsi="宋体" w:eastAsia="宋体"/>
          <w:color w:val="000000" w:themeColor="text1"/>
          <w:sz w:val="24"/>
          <w14:textFill>
            <w14:solidFill>
              <w14:schemeClr w14:val="tx1"/>
            </w14:solidFill>
          </w14:textFill>
        </w:rPr>
        <w:t>个月进行场内道路平整和临时建筑施工等土建施工，本月中旬升压站区风机基础土建工程开工，第</w:t>
      </w:r>
      <w:r>
        <w:rPr>
          <w:rFonts w:hint="eastAsia" w:ascii="TimesNewRomanPSMT" w:hAnsi="TimesNewRomanPSMT" w:eastAsia="TimesNewRomanPSMT"/>
          <w:color w:val="000000" w:themeColor="text1"/>
          <w:sz w:val="24"/>
          <w14:textFill>
            <w14:solidFill>
              <w14:schemeClr w14:val="tx1"/>
            </w14:solidFill>
          </w14:textFill>
        </w:rPr>
        <w:t>6</w:t>
      </w:r>
      <w:r>
        <w:rPr>
          <w:rFonts w:hint="eastAsia" w:ascii="宋体" w:hAnsi="宋体" w:eastAsia="宋体"/>
          <w:color w:val="000000" w:themeColor="text1"/>
          <w:sz w:val="24"/>
          <w14:textFill>
            <w14:solidFill>
              <w14:schemeClr w14:val="tx1"/>
            </w14:solidFill>
          </w14:textFill>
        </w:rPr>
        <w:t>个月完成升压站及场内所有土建工程，风机安装及升压站设备调试在第</w:t>
      </w:r>
      <w:r>
        <w:rPr>
          <w:rFonts w:hint="eastAsia" w:ascii="TimesNewRomanPSMT" w:hAnsi="TimesNewRomanPSMT" w:eastAsia="TimesNewRomanPSMT"/>
          <w:color w:val="000000" w:themeColor="text1"/>
          <w:sz w:val="24"/>
          <w14:textFill>
            <w14:solidFill>
              <w14:schemeClr w14:val="tx1"/>
            </w14:solidFill>
          </w14:textFill>
        </w:rPr>
        <w:t>7</w:t>
      </w:r>
      <w:r>
        <w:rPr>
          <w:rFonts w:hint="eastAsia" w:ascii="宋体" w:hAnsi="宋体" w:eastAsia="宋体"/>
          <w:color w:val="000000" w:themeColor="text1"/>
          <w:sz w:val="24"/>
          <w14:textFill>
            <w14:solidFill>
              <w14:schemeClr w14:val="tx1"/>
            </w14:solidFill>
          </w14:textFill>
        </w:rPr>
        <w:t>个月至第</w:t>
      </w:r>
      <w:r>
        <w:rPr>
          <w:rFonts w:hint="eastAsia" w:ascii="TimesNewRomanPSMT" w:hAnsi="TimesNewRomanPSMT" w:eastAsia="TimesNewRomanPSMT"/>
          <w:color w:val="000000" w:themeColor="text1"/>
          <w:sz w:val="24"/>
          <w14:textFill>
            <w14:solidFill>
              <w14:schemeClr w14:val="tx1"/>
            </w14:solidFill>
          </w14:textFill>
        </w:rPr>
        <w:t>11</w:t>
      </w:r>
      <w:r>
        <w:rPr>
          <w:rFonts w:hint="eastAsia" w:ascii="宋体" w:hAnsi="宋体" w:eastAsia="宋体"/>
          <w:color w:val="000000" w:themeColor="text1"/>
          <w:sz w:val="24"/>
          <w14:textFill>
            <w14:solidFill>
              <w14:schemeClr w14:val="tx1"/>
            </w14:solidFill>
          </w14:textFill>
        </w:rPr>
        <w:t>个月进行，第</w:t>
      </w:r>
      <w:r>
        <w:rPr>
          <w:rFonts w:hint="eastAsia" w:ascii="TimesNewRomanPSMT" w:hAnsi="TimesNewRomanPSMT" w:eastAsia="TimesNewRomanPSMT"/>
          <w:color w:val="000000" w:themeColor="text1"/>
          <w:sz w:val="24"/>
          <w14:textFill>
            <w14:solidFill>
              <w14:schemeClr w14:val="tx1"/>
            </w14:solidFill>
          </w14:textFill>
        </w:rPr>
        <w:t>12</w:t>
      </w:r>
      <w:r>
        <w:rPr>
          <w:rFonts w:hint="eastAsia" w:ascii="宋体" w:hAnsi="宋体" w:eastAsia="宋体"/>
          <w:color w:val="000000" w:themeColor="text1"/>
          <w:sz w:val="24"/>
          <w14:textFill>
            <w14:solidFill>
              <w14:schemeClr w14:val="tx1"/>
            </w14:solidFill>
          </w14:textFill>
        </w:rPr>
        <w:t>个月所有风机并网发电，总工期控制在</w:t>
      </w:r>
      <w:r>
        <w:rPr>
          <w:rFonts w:hint="eastAsia" w:ascii="TimesNewRomanPSMT" w:hAnsi="TimesNewRomanPSMT" w:eastAsia="TimesNewRomanPSMT"/>
          <w:color w:val="000000" w:themeColor="text1"/>
          <w:sz w:val="24"/>
          <w14:textFill>
            <w14:solidFill>
              <w14:schemeClr w14:val="tx1"/>
            </w14:solidFill>
          </w14:textFill>
        </w:rPr>
        <w:t>12</w:t>
      </w:r>
      <w:r>
        <w:rPr>
          <w:rFonts w:hint="eastAsia" w:ascii="宋体" w:hAnsi="宋体" w:eastAsia="宋体"/>
          <w:color w:val="000000" w:themeColor="text1"/>
          <w:sz w:val="24"/>
          <w14:textFill>
            <w14:solidFill>
              <w14:schemeClr w14:val="tx1"/>
            </w14:solidFill>
          </w14:textFill>
        </w:rPr>
        <w:t>个月。如果在预定时间内完成较紧，需增加施工人员，要加大工作面，确保工程按期完成。</w:t>
      </w:r>
    </w:p>
    <w:p w14:paraId="0FDC800D">
      <w:pPr>
        <w:pStyle w:val="4"/>
        <w:pageBreakBefore w:val="0"/>
        <w:widowControl w:val="0"/>
        <w:numPr>
          <w:ilvl w:val="0"/>
          <w:numId w:val="0"/>
        </w:numPr>
        <w:kinsoku/>
        <w:wordWrap/>
        <w:overflowPunct/>
        <w:topLinePunct w:val="0"/>
        <w:autoSpaceDE/>
        <w:autoSpaceDN/>
        <w:bidi w:val="0"/>
        <w:snapToGrid w:val="0"/>
        <w:spacing w:beforeLines="0" w:after="0" w:afterLines="0" w:line="360" w:lineRule="auto"/>
        <w:textAlignment w:val="auto"/>
        <w:rPr>
          <w:rFonts w:hint="default" w:ascii="Times New Roman" w:hAnsi="Times New Roman" w:cs="Times New Roman"/>
          <w:color w:val="000000" w:themeColor="text1"/>
          <w14:textFill>
            <w14:solidFill>
              <w14:schemeClr w14:val="tx1"/>
            </w14:solidFill>
          </w14:textFill>
        </w:rPr>
      </w:pPr>
      <w:bookmarkStart w:id="258" w:name="_Toc61"/>
      <w:r>
        <w:rPr>
          <w:rFonts w:hint="default" w:ascii="Times New Roman" w:hAnsi="Times New Roman" w:cs="Times New Roman"/>
          <w:color w:val="000000" w:themeColor="text1"/>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污染源分析</w:t>
      </w:r>
      <w:bookmarkEnd w:id="258"/>
    </w:p>
    <w:p w14:paraId="40F3F0F5">
      <w:pPr>
        <w:pStyle w:val="11"/>
        <w:keepNext/>
        <w:keepLines/>
        <w:pageBreakBefore w:val="0"/>
        <w:widowControl w:val="0"/>
        <w:kinsoku/>
        <w:wordWrap/>
        <w:overflowPunct/>
        <w:topLinePunct w:val="0"/>
        <w:autoSpaceDE/>
        <w:autoSpaceDN/>
        <w:bidi w:val="0"/>
        <w:adjustRightInd/>
        <w:snapToGrid w:val="0"/>
        <w:spacing w:beforeLines="0" w:afterLines="0" w:line="360" w:lineRule="auto"/>
        <w:ind w:left="0"/>
        <w:textAlignment w:val="auto"/>
        <w:outlineLvl w:val="2"/>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3.2.1施工期污染工序与污染源强</w:t>
      </w:r>
    </w:p>
    <w:p w14:paraId="604CB4D6">
      <w:pPr>
        <w:pStyle w:val="12"/>
        <w:keepNext/>
        <w:keepLines/>
        <w:pageBreakBefore w:val="0"/>
        <w:widowControl w:val="0"/>
        <w:numPr>
          <w:ilvl w:val="0"/>
          <w:numId w:val="0"/>
        </w:numPr>
        <w:tabs>
          <w:tab w:val="left" w:pos="1050"/>
        </w:tabs>
        <w:kinsoku/>
        <w:wordWrap/>
        <w:overflowPunct/>
        <w:topLinePunct w:val="0"/>
        <w:autoSpaceDE/>
        <w:autoSpaceDN/>
        <w:bidi w:val="0"/>
        <w:adjustRightInd/>
        <w:snapToGrid w:val="0"/>
        <w:spacing w:before="0" w:beforeLines="0" w:after="0" w:afterLines="0" w:line="360" w:lineRule="auto"/>
        <w:ind w:left="0" w:leftChars="0"/>
        <w:textAlignment w:val="auto"/>
        <w:outlineLvl w:val="3"/>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t>3.2.1.1施工期产污工序</w:t>
      </w:r>
    </w:p>
    <w:p w14:paraId="65E6E2C9">
      <w:pPr>
        <w:pStyle w:val="7"/>
        <w:pageBreakBefore w:val="0"/>
        <w:widowControl w:val="0"/>
        <w:numPr>
          <w:ilvl w:val="0"/>
          <w:numId w:val="0"/>
        </w:numPr>
        <w:kinsoku/>
        <w:wordWrap/>
        <w:overflowPunct/>
        <w:topLinePunct w:val="0"/>
        <w:autoSpaceDE/>
        <w:autoSpaceDN/>
        <w:bidi w:val="0"/>
        <w:snapToGrid w:val="0"/>
        <w:spacing w:after="0" w:afterLines="0" w:line="360" w:lineRule="auto"/>
        <w:ind w:leftChars="200"/>
        <w:textAlignment w:val="auto"/>
        <w:rPr>
          <w:rFonts w:hint="default" w:ascii="Times New Roman" w:hAnsi="Times New Roman" w:cs="Times New Roman" w:eastAsiaTheme="minorEastAsia"/>
          <w:b/>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b/>
          <w:color w:val="000000" w:themeColor="text1"/>
          <w:kern w:val="0"/>
          <w:sz w:val="24"/>
          <w:highlight w:val="none"/>
          <w:lang w:val="en-US" w:eastAsia="zh-CN"/>
          <w14:textFill>
            <w14:solidFill>
              <w14:schemeClr w14:val="tx1"/>
            </w14:solidFill>
          </w14:textFill>
        </w:rPr>
        <w:t>（1）场内施工道路施工期污染工序</w:t>
      </w:r>
    </w:p>
    <w:p w14:paraId="447A1443">
      <w:pPr>
        <w:pStyle w:val="614"/>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宋体" w:hAnsi="宋体" w:eastAsia="宋体" w:cs="Times New Roman"/>
          <w:color w:val="000000" w:themeColor="text1"/>
          <w:sz w:val="24"/>
          <w:szCs w:val="20"/>
          <w:lang w:val="en-US" w:eastAsia="zh-CN"/>
          <w14:textFill>
            <w14:solidFill>
              <w14:schemeClr w14:val="tx1"/>
            </w14:solidFill>
          </w14:textFill>
        </w:rPr>
      </w:pPr>
      <w:r>
        <w:rPr>
          <w:rFonts w:hint="default" w:ascii="宋体" w:hAnsi="宋体" w:eastAsia="宋体" w:cs="Times New Roman"/>
          <w:color w:val="000000" w:themeColor="text1"/>
          <w:sz w:val="24"/>
          <w:szCs w:val="20"/>
          <w:lang w:val="en-US" w:eastAsia="zh-CN"/>
          <w14:textFill>
            <w14:solidFill>
              <w14:schemeClr w14:val="tx1"/>
            </w14:solidFill>
          </w14:textFill>
        </w:rPr>
        <w:t>厂内施工道路采用碎石路面简易道路，施工工程主要包括场地清理、路基土石方填筑、平整、路面碎石摊铺、碾压等，产生的污染物主要包括施工扬尘、机械尾气、噪声、施工废水、多余土方及施工生活区生活污水、生活垃圾等。另外，场地清理均会对生态环境造成影响，包括植被破坏、土地占用、水土流失等。</w:t>
      </w:r>
    </w:p>
    <w:p w14:paraId="0D65AE6E">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宋体" w:hAnsi="宋体" w:eastAsia="宋体" w:cs="Times New Roman"/>
          <w:color w:val="000000" w:themeColor="text1"/>
          <w:sz w:val="24"/>
          <w:szCs w:val="20"/>
          <w:lang w:val="en-US" w:eastAsia="zh-CN"/>
          <w14:textFill>
            <w14:solidFill>
              <w14:schemeClr w14:val="tx1"/>
            </w14:solidFill>
          </w14:textFill>
        </w:rPr>
      </w:pPr>
      <w:r>
        <w:rPr>
          <w:rFonts w:hint="default" w:ascii="宋体" w:hAnsi="宋体" w:eastAsia="宋体" w:cs="Times New Roman"/>
          <w:color w:val="000000" w:themeColor="text1"/>
          <w:sz w:val="24"/>
          <w:szCs w:val="20"/>
          <w:lang w:val="en-US" w:eastAsia="zh-CN"/>
          <w14:textFill>
            <w14:solidFill>
              <w14:schemeClr w14:val="tx1"/>
            </w14:solidFill>
          </w14:textFill>
        </w:rPr>
        <w:t>主要产污环节见图</w:t>
      </w:r>
      <w:r>
        <w:rPr>
          <w:rFonts w:hint="eastAsia" w:ascii="宋体" w:hAnsi="宋体" w:eastAsia="宋体" w:cs="Times New Roman"/>
          <w:color w:val="000000" w:themeColor="text1"/>
          <w:sz w:val="24"/>
          <w:szCs w:val="20"/>
          <w:lang w:val="en-US" w:eastAsia="zh-CN"/>
          <w14:textFill>
            <w14:solidFill>
              <w14:schemeClr w14:val="tx1"/>
            </w14:solidFill>
          </w14:textFill>
        </w:rPr>
        <w:t>3.2-1</w:t>
      </w:r>
      <w:r>
        <w:rPr>
          <w:rFonts w:hint="default" w:ascii="宋体" w:hAnsi="宋体" w:eastAsia="宋体" w:cs="Times New Roman"/>
          <w:color w:val="000000" w:themeColor="text1"/>
          <w:sz w:val="24"/>
          <w:szCs w:val="20"/>
          <w:lang w:val="en-US" w:eastAsia="zh-CN"/>
          <w14:textFill>
            <w14:solidFill>
              <w14:schemeClr w14:val="tx1"/>
            </w14:solidFill>
          </w14:textFill>
        </w:rPr>
        <w:t>。</w:t>
      </w:r>
    </w:p>
    <w:p w14:paraId="28C5BB8E">
      <w:pPr>
        <w:pStyle w:val="7"/>
        <w:rPr>
          <w:rFonts w:hint="default" w:ascii="Times New Roman" w:hAnsi="Times New Roman" w:cs="Times New Roman"/>
          <w:color w:val="FF0000"/>
          <w:kern w:val="0"/>
        </w:rPr>
      </w:pPr>
      <w:r>
        <w:rPr>
          <w:rFonts w:hint="default" w:ascii="Times New Roman" w:hAnsi="Times New Roman" w:cs="Times New Roman"/>
          <w:color w:val="FF0000"/>
        </w:rPr>
        <mc:AlternateContent>
          <mc:Choice Requires="wpg">
            <w:drawing>
              <wp:anchor distT="0" distB="0" distL="114300" distR="114300" simplePos="0" relativeHeight="251674624" behindDoc="0" locked="0" layoutInCell="1" allowOverlap="1">
                <wp:simplePos x="0" y="0"/>
                <wp:positionH relativeFrom="column">
                  <wp:posOffset>365760</wp:posOffset>
                </wp:positionH>
                <wp:positionV relativeFrom="paragraph">
                  <wp:posOffset>141605</wp:posOffset>
                </wp:positionV>
                <wp:extent cx="4936490" cy="934085"/>
                <wp:effectExtent l="4445" t="4445" r="12065" b="13970"/>
                <wp:wrapNone/>
                <wp:docPr id="428" name="组合 110"/>
                <wp:cNvGraphicFramePr/>
                <a:graphic xmlns:a="http://schemas.openxmlformats.org/drawingml/2006/main">
                  <a:graphicData uri="http://schemas.microsoft.com/office/word/2010/wordprocessingGroup">
                    <wpg:wgp>
                      <wpg:cNvGrpSpPr/>
                      <wpg:grpSpPr>
                        <a:xfrm>
                          <a:off x="0" y="0"/>
                          <a:ext cx="4936490" cy="934085"/>
                          <a:chOff x="2146" y="1184193"/>
                          <a:chExt cx="7774" cy="1471"/>
                        </a:xfrm>
                      </wpg:grpSpPr>
                      <wps:wsp>
                        <wps:cNvPr id="429" name="矩形 111"/>
                        <wps:cNvSpPr/>
                        <wps:spPr>
                          <a:xfrm>
                            <a:off x="2159" y="1184193"/>
                            <a:ext cx="6303" cy="423"/>
                          </a:xfrm>
                          <a:prstGeom prst="rect">
                            <a:avLst/>
                          </a:prstGeom>
                          <a:solidFill>
                            <a:srgbClr val="FFFFFF"/>
                          </a:solidFill>
                          <a:ln w="9525" cap="flat" cmpd="sng">
                            <a:solidFill>
                              <a:srgbClr val="000000"/>
                            </a:solidFill>
                            <a:prstDash val="dash"/>
                            <a:miter/>
                            <a:headEnd type="none" w="med" len="med"/>
                            <a:tailEnd type="none" w="med" len="med"/>
                          </a:ln>
                        </wps:spPr>
                        <wps:txbx>
                          <w:txbxContent>
                            <w:p w14:paraId="0D118D25">
                              <w:pPr>
                                <w:spacing w:line="240" w:lineRule="auto"/>
                                <w:ind w:firstLine="0" w:firstLineChars="0"/>
                                <w:jc w:val="center"/>
                                <w:rPr>
                                  <w:sz w:val="21"/>
                                  <w:szCs w:val="21"/>
                                </w:rPr>
                              </w:pPr>
                              <w:r>
                                <w:rPr>
                                  <w:rFonts w:hint="eastAsia"/>
                                  <w:sz w:val="21"/>
                                  <w:szCs w:val="21"/>
                                  <w:lang w:val="en-US" w:eastAsia="zh-CN"/>
                                </w:rPr>
                                <w:t>施工</w:t>
                              </w:r>
                              <w:r>
                                <w:rPr>
                                  <w:rFonts w:hint="eastAsia"/>
                                  <w:sz w:val="21"/>
                                  <w:szCs w:val="21"/>
                                </w:rPr>
                                <w:t>扬尘</w:t>
                              </w:r>
                              <w:r>
                                <w:rPr>
                                  <w:rFonts w:hint="eastAsia"/>
                                  <w:sz w:val="21"/>
                                  <w:szCs w:val="21"/>
                                  <w:lang w:eastAsia="zh-CN"/>
                                </w:rPr>
                                <w:t>、</w:t>
                              </w:r>
                              <w:r>
                                <w:rPr>
                                  <w:rFonts w:hint="eastAsia"/>
                                  <w:sz w:val="21"/>
                                  <w:szCs w:val="21"/>
                                  <w:lang w:val="en-US" w:eastAsia="zh-CN"/>
                                </w:rPr>
                                <w:t>机械尾气</w:t>
                              </w:r>
                              <w:r>
                                <w:rPr>
                                  <w:rFonts w:hint="eastAsia"/>
                                  <w:sz w:val="21"/>
                                  <w:szCs w:val="21"/>
                                </w:rPr>
                                <w:t>；噪声；</w:t>
                              </w:r>
                              <w:r>
                                <w:rPr>
                                  <w:rFonts w:hint="eastAsia"/>
                                  <w:sz w:val="21"/>
                                  <w:szCs w:val="21"/>
                                  <w:lang w:val="en-US" w:eastAsia="zh-CN"/>
                                </w:rPr>
                                <w:t>多余土方</w:t>
                              </w:r>
                              <w:r>
                                <w:rPr>
                                  <w:rFonts w:hint="eastAsia"/>
                                  <w:sz w:val="21"/>
                                  <w:szCs w:val="21"/>
                                </w:rPr>
                                <w:t>；施工废水</w:t>
                              </w:r>
                            </w:p>
                          </w:txbxContent>
                        </wps:txbx>
                        <wps:bodyPr upright="1"/>
                      </wps:wsp>
                      <wps:wsp>
                        <wps:cNvPr id="430" name="矩形 112"/>
                        <wps:cNvSpPr/>
                        <wps:spPr>
                          <a:xfrm>
                            <a:off x="8900" y="1185222"/>
                            <a:ext cx="1020" cy="42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7613CFE">
                              <w:pPr>
                                <w:spacing w:line="240" w:lineRule="auto"/>
                                <w:ind w:left="-84" w:leftChars="-30" w:right="-84" w:rightChars="-30" w:firstLine="0" w:firstLineChars="0"/>
                                <w:jc w:val="center"/>
                                <w:rPr>
                                  <w:sz w:val="21"/>
                                  <w:szCs w:val="21"/>
                                </w:rPr>
                              </w:pPr>
                              <w:r>
                                <w:rPr>
                                  <w:rFonts w:hint="eastAsia"/>
                                  <w:sz w:val="21"/>
                                  <w:szCs w:val="21"/>
                                </w:rPr>
                                <w:t>工程验收</w:t>
                              </w:r>
                            </w:p>
                          </w:txbxContent>
                        </wps:txbx>
                        <wps:bodyPr upright="1"/>
                      </wps:wsp>
                      <wps:wsp>
                        <wps:cNvPr id="431" name="直线 113"/>
                        <wps:cNvCnPr/>
                        <wps:spPr>
                          <a:xfrm flipH="1" flipV="1">
                            <a:off x="2621" y="1184657"/>
                            <a:ext cx="13" cy="565"/>
                          </a:xfrm>
                          <a:prstGeom prst="line">
                            <a:avLst/>
                          </a:prstGeom>
                          <a:ln w="9525" cap="flat" cmpd="sng">
                            <a:solidFill>
                              <a:srgbClr val="000000"/>
                            </a:solidFill>
                            <a:prstDash val="dash"/>
                            <a:headEnd type="none" w="med" len="med"/>
                            <a:tailEnd type="triangle" w="med" len="lg"/>
                          </a:ln>
                        </wps:spPr>
                        <wps:bodyPr/>
                      </wps:wsp>
                      <wps:wsp>
                        <wps:cNvPr id="432" name="矩形 114"/>
                        <wps:cNvSpPr/>
                        <wps:spPr>
                          <a:xfrm>
                            <a:off x="2146" y="1185227"/>
                            <a:ext cx="1020" cy="43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C9DB61B">
                              <w:pPr>
                                <w:spacing w:line="240" w:lineRule="auto"/>
                                <w:ind w:left="-84" w:leftChars="-30" w:right="-84" w:rightChars="-30" w:firstLine="0" w:firstLineChars="0"/>
                                <w:jc w:val="center"/>
                                <w:rPr>
                                  <w:rFonts w:hint="default" w:eastAsia="宋体"/>
                                  <w:sz w:val="21"/>
                                  <w:szCs w:val="21"/>
                                  <w:lang w:val="en-US" w:eastAsia="zh-CN"/>
                                </w:rPr>
                              </w:pPr>
                              <w:r>
                                <w:rPr>
                                  <w:rFonts w:hint="eastAsia"/>
                                  <w:sz w:val="21"/>
                                  <w:szCs w:val="21"/>
                                  <w:lang w:val="en-US" w:eastAsia="zh-CN"/>
                                </w:rPr>
                                <w:t>场地清理</w:t>
                              </w:r>
                            </w:p>
                          </w:txbxContent>
                        </wps:txbx>
                        <wps:bodyPr upright="1"/>
                      </wps:wsp>
                      <wps:wsp>
                        <wps:cNvPr id="433" name="直线 115"/>
                        <wps:cNvCnPr>
                          <a:stCxn id="432" idx="3"/>
                          <a:endCxn id="436" idx="1"/>
                        </wps:cNvCnPr>
                        <wps:spPr>
                          <a:xfrm flipV="1">
                            <a:off x="3166" y="1185444"/>
                            <a:ext cx="635" cy="2"/>
                          </a:xfrm>
                          <a:prstGeom prst="line">
                            <a:avLst/>
                          </a:prstGeom>
                          <a:ln w="9525" cap="flat" cmpd="sng">
                            <a:solidFill>
                              <a:srgbClr val="000000"/>
                            </a:solidFill>
                            <a:prstDash val="solid"/>
                            <a:headEnd type="none" w="med" len="med"/>
                            <a:tailEnd type="triangle" w="med" len="lg"/>
                          </a:ln>
                        </wps:spPr>
                        <wps:bodyPr/>
                      </wps:wsp>
                      <wps:wsp>
                        <wps:cNvPr id="436" name="矩形 118"/>
                        <wps:cNvSpPr/>
                        <wps:spPr>
                          <a:xfrm>
                            <a:off x="3801" y="1185226"/>
                            <a:ext cx="2172" cy="43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1CDD5A4">
                              <w:pPr>
                                <w:spacing w:line="240" w:lineRule="auto"/>
                                <w:ind w:left="-84" w:leftChars="-30" w:right="-84" w:rightChars="-30" w:firstLine="0" w:firstLineChars="0"/>
                                <w:jc w:val="center"/>
                                <w:rPr>
                                  <w:rFonts w:hint="eastAsia" w:eastAsia="宋体"/>
                                  <w:sz w:val="21"/>
                                  <w:szCs w:val="21"/>
                                  <w:lang w:eastAsia="zh-CN"/>
                                </w:rPr>
                              </w:pPr>
                              <w:r>
                                <w:rPr>
                                  <w:rFonts w:hint="eastAsia"/>
                                  <w:sz w:val="21"/>
                                  <w:szCs w:val="21"/>
                                  <w:lang w:val="en-US" w:eastAsia="zh-CN"/>
                                </w:rPr>
                                <w:t>路基土石方填筑平整</w:t>
                              </w:r>
                            </w:p>
                          </w:txbxContent>
                        </wps:txbx>
                        <wps:bodyPr upright="1"/>
                      </wps:wsp>
                      <wps:wsp>
                        <wps:cNvPr id="437" name="矩形 119"/>
                        <wps:cNvSpPr/>
                        <wps:spPr>
                          <a:xfrm>
                            <a:off x="6403" y="1185217"/>
                            <a:ext cx="1866" cy="43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C59B4A7">
                              <w:pPr>
                                <w:spacing w:line="240" w:lineRule="auto"/>
                                <w:ind w:left="-84" w:leftChars="-30" w:right="-84" w:rightChars="-30" w:firstLine="0" w:firstLineChars="0"/>
                                <w:jc w:val="center"/>
                                <w:rPr>
                                  <w:sz w:val="21"/>
                                  <w:szCs w:val="21"/>
                                </w:rPr>
                              </w:pPr>
                              <w:r>
                                <w:rPr>
                                  <w:rFonts w:hint="eastAsia"/>
                                  <w:sz w:val="21"/>
                                  <w:szCs w:val="21"/>
                                </w:rPr>
                                <w:t>路面摊铺、碾压</w:t>
                              </w:r>
                            </w:p>
                          </w:txbxContent>
                        </wps:txbx>
                        <wps:bodyPr upright="1"/>
                      </wps:wsp>
                      <wps:wsp>
                        <wps:cNvPr id="438" name="直线 120"/>
                        <wps:cNvCnPr>
                          <a:stCxn id="436" idx="3"/>
                          <a:endCxn id="437" idx="1"/>
                        </wps:cNvCnPr>
                        <wps:spPr>
                          <a:xfrm flipV="1">
                            <a:off x="5973" y="1185435"/>
                            <a:ext cx="430" cy="9"/>
                          </a:xfrm>
                          <a:prstGeom prst="line">
                            <a:avLst/>
                          </a:prstGeom>
                          <a:ln w="9525" cap="flat" cmpd="sng">
                            <a:solidFill>
                              <a:srgbClr val="000000"/>
                            </a:solidFill>
                            <a:prstDash val="solid"/>
                            <a:headEnd type="none" w="med" len="med"/>
                            <a:tailEnd type="triangle" w="med" len="lg"/>
                          </a:ln>
                        </wps:spPr>
                        <wps:bodyPr/>
                      </wps:wsp>
                      <wps:wsp>
                        <wps:cNvPr id="439" name="直线 121"/>
                        <wps:cNvCnPr>
                          <a:stCxn id="437" idx="3"/>
                          <a:endCxn id="430" idx="1"/>
                        </wps:cNvCnPr>
                        <wps:spPr>
                          <a:xfrm flipV="1">
                            <a:off x="8269" y="1185434"/>
                            <a:ext cx="631" cy="1"/>
                          </a:xfrm>
                          <a:prstGeom prst="line">
                            <a:avLst/>
                          </a:prstGeom>
                          <a:ln w="9525" cap="flat" cmpd="sng">
                            <a:solidFill>
                              <a:srgbClr val="000000"/>
                            </a:solidFill>
                            <a:prstDash val="solid"/>
                            <a:headEnd type="none" w="med" len="med"/>
                            <a:tailEnd type="triangle" w="med" len="lg"/>
                          </a:ln>
                        </wps:spPr>
                        <wps:bodyPr/>
                      </wps:wsp>
                      <wps:wsp>
                        <wps:cNvPr id="441" name="直线 123"/>
                        <wps:cNvCnPr/>
                        <wps:spPr>
                          <a:xfrm flipH="1" flipV="1">
                            <a:off x="4860" y="1184658"/>
                            <a:ext cx="13" cy="565"/>
                          </a:xfrm>
                          <a:prstGeom prst="line">
                            <a:avLst/>
                          </a:prstGeom>
                          <a:ln w="9525" cap="flat" cmpd="sng">
                            <a:solidFill>
                              <a:srgbClr val="000000"/>
                            </a:solidFill>
                            <a:prstDash val="dash"/>
                            <a:headEnd type="none" w="med" len="med"/>
                            <a:tailEnd type="triangle" w="med" len="lg"/>
                          </a:ln>
                        </wps:spPr>
                        <wps:bodyPr/>
                      </wps:wsp>
                      <wps:wsp>
                        <wps:cNvPr id="442" name="直线 124"/>
                        <wps:cNvCnPr/>
                        <wps:spPr>
                          <a:xfrm flipH="1" flipV="1">
                            <a:off x="7354" y="1184658"/>
                            <a:ext cx="13" cy="565"/>
                          </a:xfrm>
                          <a:prstGeom prst="line">
                            <a:avLst/>
                          </a:prstGeom>
                          <a:ln w="9525" cap="flat" cmpd="sng">
                            <a:solidFill>
                              <a:srgbClr val="000000"/>
                            </a:solidFill>
                            <a:prstDash val="dash"/>
                            <a:headEnd type="none" w="med" len="med"/>
                            <a:tailEnd type="triangle" w="med" len="lg"/>
                          </a:ln>
                        </wps:spPr>
                        <wps:bodyPr/>
                      </wps:wsp>
                    </wpg:wgp>
                  </a:graphicData>
                </a:graphic>
              </wp:anchor>
            </w:drawing>
          </mc:Choice>
          <mc:Fallback>
            <w:pict>
              <v:group id="组合 110" o:spid="_x0000_s1026" o:spt="203" style="position:absolute;left:0pt;margin-left:28.8pt;margin-top:11.15pt;height:73.55pt;width:388.7pt;z-index:251674624;mso-width-relative:page;mso-height-relative:page;" coordorigin="2146,1184193" coordsize="7774,1471" o:gfxdata="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">
                <o:lock v:ext="edit" aspectratio="f"/>
                <v:rect id="矩形 111" o:spid="_x0000_s1026" o:spt="1" style="position:absolute;left:2159;top:1184193;height:423;width:6303;" fillcolor="#FFFFFF" filled="t" stroked="t" coordsize="21600,21600" o:gfxdata="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54p8&#10;wAAAANwAAAAPAAAAAAAAAAEAIAAAACIAAABkcnMvZG93bnJldi54bWxQSwECFAAUAAAACACHTuJA&#10;My8FnjsAAAA5AAAAEAAAAAAAAAABACAAAAAPAQAAZHJzL3NoYXBleG1sLnhtbFBLBQYAAAAABgAG&#10;AFsBAAC5AwAAAAA=&#10;">
                  <v:fill on="t" focussize="0,0"/>
                  <v:stroke color="#000000" joinstyle="miter" dashstyle="dash"/>
                  <v:imagedata o:title=""/>
                  <o:lock v:ext="edit" aspectratio="f"/>
                  <v:textbox>
                    <w:txbxContent>
                      <w:p w14:paraId="0D118D25">
                        <w:pPr>
                          <w:spacing w:line="240" w:lineRule="auto"/>
                          <w:ind w:firstLine="0" w:firstLineChars="0"/>
                          <w:jc w:val="center"/>
                          <w:rPr>
                            <w:sz w:val="21"/>
                            <w:szCs w:val="21"/>
                          </w:rPr>
                        </w:pPr>
                        <w:r>
                          <w:rPr>
                            <w:rFonts w:hint="eastAsia"/>
                            <w:sz w:val="21"/>
                            <w:szCs w:val="21"/>
                            <w:lang w:val="en-US" w:eastAsia="zh-CN"/>
                          </w:rPr>
                          <w:t>施工</w:t>
                        </w:r>
                        <w:r>
                          <w:rPr>
                            <w:rFonts w:hint="eastAsia"/>
                            <w:sz w:val="21"/>
                            <w:szCs w:val="21"/>
                          </w:rPr>
                          <w:t>扬尘</w:t>
                        </w:r>
                        <w:r>
                          <w:rPr>
                            <w:rFonts w:hint="eastAsia"/>
                            <w:sz w:val="21"/>
                            <w:szCs w:val="21"/>
                            <w:lang w:eastAsia="zh-CN"/>
                          </w:rPr>
                          <w:t>、</w:t>
                        </w:r>
                        <w:r>
                          <w:rPr>
                            <w:rFonts w:hint="eastAsia"/>
                            <w:sz w:val="21"/>
                            <w:szCs w:val="21"/>
                            <w:lang w:val="en-US" w:eastAsia="zh-CN"/>
                          </w:rPr>
                          <w:t>机械尾气</w:t>
                        </w:r>
                        <w:r>
                          <w:rPr>
                            <w:rFonts w:hint="eastAsia"/>
                            <w:sz w:val="21"/>
                            <w:szCs w:val="21"/>
                          </w:rPr>
                          <w:t>；噪声；</w:t>
                        </w:r>
                        <w:r>
                          <w:rPr>
                            <w:rFonts w:hint="eastAsia"/>
                            <w:sz w:val="21"/>
                            <w:szCs w:val="21"/>
                            <w:lang w:val="en-US" w:eastAsia="zh-CN"/>
                          </w:rPr>
                          <w:t>多余土方</w:t>
                        </w:r>
                        <w:r>
                          <w:rPr>
                            <w:rFonts w:hint="eastAsia"/>
                            <w:sz w:val="21"/>
                            <w:szCs w:val="21"/>
                          </w:rPr>
                          <w:t>；施工废水</w:t>
                        </w:r>
                      </w:p>
                    </w:txbxContent>
                  </v:textbox>
                </v:rect>
                <v:rect id="矩形 112" o:spid="_x0000_s1026" o:spt="1" style="position:absolute;left:8900;top:1185222;height:424;width:1020;" fillcolor="#FFFFFF" filled="t" stroked="t" coordsize="21600,21600" o:gfxdata="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8xEm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27613CFE">
                        <w:pPr>
                          <w:spacing w:line="240" w:lineRule="auto"/>
                          <w:ind w:left="-84" w:leftChars="-30" w:right="-84" w:rightChars="-30" w:firstLine="0" w:firstLineChars="0"/>
                          <w:jc w:val="center"/>
                          <w:rPr>
                            <w:sz w:val="21"/>
                            <w:szCs w:val="21"/>
                          </w:rPr>
                        </w:pPr>
                        <w:r>
                          <w:rPr>
                            <w:rFonts w:hint="eastAsia"/>
                            <w:sz w:val="21"/>
                            <w:szCs w:val="21"/>
                          </w:rPr>
                          <w:t>工程验收</w:t>
                        </w:r>
                      </w:p>
                    </w:txbxContent>
                  </v:textbox>
                </v:rect>
                <v:line id="直线 113" o:spid="_x0000_s1026" o:spt="20" style="position:absolute;left:2621;top:1184657;flip:x y;height:565;width:13;" filled="f" stroked="t" coordsize="21600,21600" o:gfxdata="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CmS9vQAA&#10;ANwAAAAPAAAAAAAAAAEAIAAAACIAAABkcnMvZG93bnJldi54bWxQSwECFAAUAAAACACHTuJAMy8F&#10;njsAAAA5AAAAEAAAAAAAAAABACAAAAAMAQAAZHJzL3NoYXBleG1sLnhtbFBLBQYAAAAABgAGAFsB&#10;AAC2AwAAAAA=&#10;">
                  <v:fill on="f" focussize="0,0"/>
                  <v:stroke color="#000000" joinstyle="round" dashstyle="dash" endarrow="block" endarrowlength="long"/>
                  <v:imagedata o:title=""/>
                  <o:lock v:ext="edit" aspectratio="f"/>
                </v:line>
                <v:rect id="矩形 114" o:spid="_x0000_s1026" o:spt="1" style="position:absolute;left:2146;top:1185227;height:437;width:1020;" fillcolor="#FFFFFF" filled="t" stroked="t" coordsize="21600,21600" o:gfxdata="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bSrK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6C9DB61B">
                        <w:pPr>
                          <w:spacing w:line="240" w:lineRule="auto"/>
                          <w:ind w:left="-84" w:leftChars="-30" w:right="-84" w:rightChars="-30" w:firstLine="0" w:firstLineChars="0"/>
                          <w:jc w:val="center"/>
                          <w:rPr>
                            <w:rFonts w:hint="default" w:eastAsia="宋体"/>
                            <w:sz w:val="21"/>
                            <w:szCs w:val="21"/>
                            <w:lang w:val="en-US" w:eastAsia="zh-CN"/>
                          </w:rPr>
                        </w:pPr>
                        <w:r>
                          <w:rPr>
                            <w:rFonts w:hint="eastAsia"/>
                            <w:sz w:val="21"/>
                            <w:szCs w:val="21"/>
                            <w:lang w:val="en-US" w:eastAsia="zh-CN"/>
                          </w:rPr>
                          <w:t>场地清理</w:t>
                        </w:r>
                      </w:p>
                    </w:txbxContent>
                  </v:textbox>
                </v:rect>
                <v:line id="直线 115" o:spid="_x0000_s1026" o:spt="20" style="position:absolute;left:3166;top:1185444;flip:y;height:2;width:635;" filled="f" stroked="t" coordsize="21600,21600" o:gfxdata="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4xsa&#10;wAAAANwAAAAPAAAAAAAAAAEAIAAAACIAAABkcnMvZG93bnJldi54bWxQSwECFAAUAAAACACHTuJA&#10;My8FnjsAAAA5AAAAEAAAAAAAAAABACAAAAAPAQAAZHJzL3NoYXBleG1sLnhtbFBLBQYAAAAABgAG&#10;AFsBAAC5AwAAAAA=&#10;">
                  <v:fill on="f" focussize="0,0"/>
                  <v:stroke color="#000000" joinstyle="round" endarrow="block" endarrowlength="long"/>
                  <v:imagedata o:title=""/>
                  <o:lock v:ext="edit" aspectratio="f"/>
                </v:line>
                <v:rect id="矩形 118" o:spid="_x0000_s1026" o:spt="1" style="position:absolute;left:3801;top:1185226;height:436;width:2172;" fillcolor="#FFFFFF" filled="t" stroked="t" coordsize="21600,21600" o:gfxdata="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VizJ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1CDD5A4">
                        <w:pPr>
                          <w:spacing w:line="240" w:lineRule="auto"/>
                          <w:ind w:left="-84" w:leftChars="-30" w:right="-84" w:rightChars="-30" w:firstLine="0" w:firstLineChars="0"/>
                          <w:jc w:val="center"/>
                          <w:rPr>
                            <w:rFonts w:hint="eastAsia" w:eastAsia="宋体"/>
                            <w:sz w:val="21"/>
                            <w:szCs w:val="21"/>
                            <w:lang w:eastAsia="zh-CN"/>
                          </w:rPr>
                        </w:pPr>
                        <w:r>
                          <w:rPr>
                            <w:rFonts w:hint="eastAsia"/>
                            <w:sz w:val="21"/>
                            <w:szCs w:val="21"/>
                            <w:lang w:val="en-US" w:eastAsia="zh-CN"/>
                          </w:rPr>
                          <w:t>路基土石方填筑平整</w:t>
                        </w:r>
                      </w:p>
                    </w:txbxContent>
                  </v:textbox>
                </v:rect>
                <v:rect id="矩形 119" o:spid="_x0000_s1026" o:spt="1" style="position:absolute;left:6403;top:1185217;height:436;width:1866;" fillcolor="#FFFFFF" filled="t" stroked="t" coordsize="21600,21600" o:gfxdata="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BqJU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6C59B4A7">
                        <w:pPr>
                          <w:spacing w:line="240" w:lineRule="auto"/>
                          <w:ind w:left="-84" w:leftChars="-30" w:right="-84" w:rightChars="-30" w:firstLine="0" w:firstLineChars="0"/>
                          <w:jc w:val="center"/>
                          <w:rPr>
                            <w:sz w:val="21"/>
                            <w:szCs w:val="21"/>
                          </w:rPr>
                        </w:pPr>
                        <w:r>
                          <w:rPr>
                            <w:rFonts w:hint="eastAsia"/>
                            <w:sz w:val="21"/>
                            <w:szCs w:val="21"/>
                          </w:rPr>
                          <w:t>路面摊铺、碾压</w:t>
                        </w:r>
                      </w:p>
                    </w:txbxContent>
                  </v:textbox>
                </v:rect>
                <v:line id="直线 120" o:spid="_x0000_s1026" o:spt="20" style="position:absolute;left:5973;top:1185435;flip:y;height:9;width:430;" filled="f" stroked="t" coordsize="21600,21600" o:gfxdata="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UeJa7sAAADc&#10;AAAADwAAAAAAAAABACAAAAAiAAAAZHJzL2Rvd25yZXYueG1sUEsBAhQAFAAAAAgAh07iQDMvBZ47&#10;AAAAOQAAABAAAAAAAAAAAQAgAAAACgEAAGRycy9zaGFwZXhtbC54bWxQSwUGAAAAAAYABgBbAQAA&#10;tAMAAAAA&#10;">
                  <v:fill on="f" focussize="0,0"/>
                  <v:stroke color="#000000" joinstyle="round" endarrow="block" endarrowlength="long"/>
                  <v:imagedata o:title=""/>
                  <o:lock v:ext="edit" aspectratio="f"/>
                </v:line>
                <v:line id="直线 121" o:spid="_x0000_s1026" o:spt="20" style="position:absolute;left:8269;top:1185434;flip:y;height:1;width:631;" filled="f" stroked="t" coordsize="21600,21600" o:gfxdata="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ILLPC/&#10;AAAA3AAAAA8AAAAAAAAAAQAgAAAAIgAAAGRycy9kb3ducmV2LnhtbFBLAQIUABQAAAAIAIdO4kAz&#10;LwWeOwAAADkAAAAQAAAAAAAAAAEAIAAAAA4BAABkcnMvc2hhcGV4bWwueG1sUEsFBgAAAAAGAAYA&#10;WwEAALgDAAAAAA==&#10;">
                  <v:fill on="f" focussize="0,0"/>
                  <v:stroke color="#000000" joinstyle="round" endarrow="block" endarrowlength="long"/>
                  <v:imagedata o:title=""/>
                  <o:lock v:ext="edit" aspectratio="f"/>
                </v:line>
                <v:line id="直线 123" o:spid="_x0000_s1026" o:spt="20" style="position:absolute;left:4860;top:1184658;flip:x y;height:565;width:13;" filled="f" stroked="t" coordsize="21600,21600" o:gfxdata="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sMF8C8AAAA&#10;3AAAAA8AAAAAAAAAAQAgAAAAIgAAAGRycy9kb3ducmV2LnhtbFBLAQIUABQAAAAIAIdO4kAzLwWe&#10;OwAAADkAAAAQAAAAAAAAAAEAIAAAAAsBAABkcnMvc2hhcGV4bWwueG1sUEsFBgAAAAAGAAYAWwEA&#10;ALUDAAAAAA==&#10;">
                  <v:fill on="f" focussize="0,0"/>
                  <v:stroke color="#000000" joinstyle="round" dashstyle="dash" endarrow="block" endarrowlength="long"/>
                  <v:imagedata o:title=""/>
                  <o:lock v:ext="edit" aspectratio="f"/>
                </v:line>
                <v:line id="直线 124" o:spid="_x0000_s1026" o:spt="20" style="position:absolute;left:7354;top:1184658;flip:x y;height:565;width:13;" filled="f" stroked="t" coordsize="21600,21600" o:gfxdata="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96Jt74A&#10;AADcAAAADwAAAAAAAAABACAAAAAiAAAAZHJzL2Rvd25yZXYueG1sUEsBAhQAFAAAAAgAh07iQDMv&#10;BZ47AAAAOQAAABAAAAAAAAAAAQAgAAAADQEAAGRycy9zaGFwZXhtbC54bWxQSwUGAAAAAAYABgBb&#10;AQAAtwMAAAAA&#10;">
                  <v:fill on="f" focussize="0,0"/>
                  <v:stroke color="#000000" joinstyle="round" dashstyle="dash" endarrow="block" endarrowlength="long"/>
                  <v:imagedata o:title=""/>
                  <o:lock v:ext="edit" aspectratio="f"/>
                </v:line>
              </v:group>
            </w:pict>
          </mc:Fallback>
        </mc:AlternateContent>
      </w:r>
    </w:p>
    <w:p w14:paraId="7762B219">
      <w:pPr>
        <w:pStyle w:val="6"/>
        <w:rPr>
          <w:rFonts w:hint="default" w:ascii="Times New Roman" w:hAnsi="Times New Roman" w:cs="Times New Roman"/>
          <w:color w:val="FF0000"/>
          <w:kern w:val="0"/>
        </w:rPr>
      </w:pPr>
    </w:p>
    <w:p w14:paraId="3A157914">
      <w:pPr>
        <w:pStyle w:val="8"/>
        <w:rPr>
          <w:rFonts w:hint="default" w:ascii="Times New Roman" w:hAnsi="Times New Roman" w:cs="Times New Roman"/>
          <w:color w:val="FF0000"/>
        </w:rPr>
      </w:pPr>
    </w:p>
    <w:p w14:paraId="2254FC53">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jc w:val="center"/>
        <w:textAlignment w:val="auto"/>
        <w:rPr>
          <w:rFonts w:hint="default" w:ascii="Times New Roman" w:hAnsi="Times New Roman" w:cs="Times New Roman" w:eastAsiaTheme="minorEastAsia"/>
          <w:b/>
          <w:bCs/>
          <w:color w:val="FF0000"/>
          <w:highlight w:val="none"/>
        </w:rPr>
      </w:pPr>
    </w:p>
    <w:p w14:paraId="454018EC">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center"/>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eastAsiaTheme="minorEastAsia"/>
          <w:b/>
          <w:bCs/>
          <w:color w:val="000000" w:themeColor="text1"/>
          <w:sz w:val="24"/>
          <w:szCs w:val="24"/>
          <w:highlight w:val="none"/>
          <w14:textFill>
            <w14:solidFill>
              <w14:schemeClr w14:val="tx1"/>
            </w14:solidFill>
          </w14:textFill>
        </w:rPr>
        <w:t>图</w:t>
      </w:r>
      <w:r>
        <w:rPr>
          <w:rFonts w:hint="default" w:ascii="Times New Roman" w:hAnsi="Times New Roman" w:cs="Times New Roman" w:eastAsiaTheme="minorEastAsia"/>
          <w:b/>
          <w:bCs/>
          <w:color w:val="000000" w:themeColor="text1"/>
          <w:sz w:val="24"/>
          <w:szCs w:val="24"/>
          <w:highlight w:val="none"/>
          <w:lang w:val="en-US" w:eastAsia="zh-CN"/>
          <w14:textFill>
            <w14:solidFill>
              <w14:schemeClr w14:val="tx1"/>
            </w14:solidFill>
          </w14:textFill>
        </w:rPr>
        <w:t>3.2</w:t>
      </w:r>
      <w:r>
        <w:rPr>
          <w:rFonts w:hint="default" w:ascii="Times New Roman" w:hAnsi="Times New Roman" w:cs="Times New Roman" w:eastAsiaTheme="minorEastAsia"/>
          <w:b/>
          <w:bCs/>
          <w:color w:val="000000" w:themeColor="text1"/>
          <w:sz w:val="24"/>
          <w:szCs w:val="24"/>
          <w:highlight w:val="none"/>
          <w14:textFill>
            <w14:solidFill>
              <w14:schemeClr w14:val="tx1"/>
            </w14:solidFill>
          </w14:textFill>
        </w:rPr>
        <w:t xml:space="preserve">-1    </w:t>
      </w:r>
      <w:r>
        <w:rPr>
          <w:rFonts w:hint="default" w:ascii="Times New Roman" w:hAnsi="Times New Roman" w:cs="Times New Roman" w:eastAsiaTheme="minorEastAsia"/>
          <w:b/>
          <w:bCs/>
          <w:color w:val="000000" w:themeColor="text1"/>
          <w:sz w:val="24"/>
          <w:szCs w:val="24"/>
          <w:highlight w:val="none"/>
          <w:lang w:val="en-US" w:eastAsia="zh-CN"/>
          <w14:textFill>
            <w14:solidFill>
              <w14:schemeClr w14:val="tx1"/>
            </w14:solidFill>
          </w14:textFill>
        </w:rPr>
        <w:t>厂内道路</w:t>
      </w:r>
      <w:r>
        <w:rPr>
          <w:rFonts w:hint="default" w:ascii="Times New Roman" w:hAnsi="Times New Roman" w:cs="Times New Roman" w:eastAsiaTheme="minorEastAsia"/>
          <w:b/>
          <w:bCs/>
          <w:color w:val="000000" w:themeColor="text1"/>
          <w:sz w:val="24"/>
          <w:szCs w:val="24"/>
          <w:highlight w:val="none"/>
          <w14:textFill>
            <w14:solidFill>
              <w14:schemeClr w14:val="tx1"/>
            </w14:solidFill>
          </w14:textFill>
        </w:rPr>
        <w:t>施工工艺流程及产污环节</w:t>
      </w:r>
      <w:r>
        <w:rPr>
          <w:rFonts w:hint="default" w:ascii="Times New Roman" w:hAnsi="Times New Roman" w:cs="Times New Roman" w:eastAsiaTheme="minorEastAsia"/>
          <w:b/>
          <w:bCs/>
          <w:color w:val="000000" w:themeColor="text1"/>
          <w:sz w:val="24"/>
          <w:szCs w:val="24"/>
          <w:highlight w:val="none"/>
          <w:lang w:val="en-US" w:eastAsia="zh-CN"/>
          <w14:textFill>
            <w14:solidFill>
              <w14:schemeClr w14:val="tx1"/>
            </w14:solidFill>
          </w14:textFill>
        </w:rPr>
        <w:t>图</w:t>
      </w:r>
    </w:p>
    <w:p w14:paraId="125D40CC">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textAlignment w:val="auto"/>
        <w:rPr>
          <w:rFonts w:hint="default" w:ascii="Times New Roman" w:hAnsi="Times New Roman" w:cs="Times New Roman"/>
          <w:b/>
          <w:bCs/>
          <w:color w:val="000000" w:themeColor="text1"/>
          <w14:textFill>
            <w14:solidFill>
              <w14:schemeClr w14:val="tx1"/>
            </w14:solidFill>
          </w14:textFill>
        </w:rPr>
      </w:pPr>
    </w:p>
    <w:p w14:paraId="2082C0A9">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eastAsiaTheme="minorEastAsia"/>
          <w:b/>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b/>
          <w:color w:val="000000" w:themeColor="text1"/>
          <w:kern w:val="0"/>
          <w:sz w:val="24"/>
          <w:highlight w:val="none"/>
          <w:lang w:val="en-US" w:eastAsia="zh-CN"/>
          <w14:textFill>
            <w14:solidFill>
              <w14:schemeClr w14:val="tx1"/>
            </w14:solidFill>
          </w14:textFill>
        </w:rPr>
        <w:t>（2）风电场施工期污染工序</w:t>
      </w:r>
    </w:p>
    <w:p w14:paraId="08724255">
      <w:pPr>
        <w:pStyle w:val="614"/>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宋体" w:hAnsi="宋体" w:eastAsia="宋体" w:cs="Times New Roman"/>
          <w:color w:val="000000" w:themeColor="text1"/>
          <w:sz w:val="24"/>
          <w:szCs w:val="20"/>
          <w:lang w:val="en-US" w:eastAsia="zh-CN"/>
          <w14:textFill>
            <w14:solidFill>
              <w14:schemeClr w14:val="tx1"/>
            </w14:solidFill>
          </w14:textFill>
        </w:rPr>
      </w:pPr>
      <w:r>
        <w:rPr>
          <w:rFonts w:hint="default" w:ascii="宋体" w:hAnsi="宋体" w:eastAsia="宋体" w:cs="Times New Roman"/>
          <w:color w:val="000000" w:themeColor="text1"/>
          <w:sz w:val="24"/>
          <w:szCs w:val="20"/>
          <w:lang w:val="en-US" w:eastAsia="zh-CN"/>
          <w14:textFill>
            <w14:solidFill>
              <w14:schemeClr w14:val="tx1"/>
            </w14:solidFill>
          </w14:textFill>
        </w:rPr>
        <w:t>风电场施工工程主要包括风机基础构筑及安装、箱式变压器基础施工及安装等，产生的污染物主要包括施工扬尘、机械尾气、噪声、施工废水、废渣土及施工生活区生活污水、生活垃圾等。另外，场地平整、基础开挖等施工活动，均会对生态环境造成影响，包括植被破坏、土地占用、水土流失等。</w:t>
      </w:r>
    </w:p>
    <w:p w14:paraId="31D8BA22">
      <w:pPr>
        <w:pStyle w:val="614"/>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宋体" w:hAnsi="宋体" w:eastAsia="宋体" w:cs="Times New Roman"/>
          <w:color w:val="000000" w:themeColor="text1"/>
          <w:sz w:val="24"/>
          <w:szCs w:val="20"/>
          <w:lang w:val="en-US" w:eastAsia="zh-CN"/>
          <w14:textFill>
            <w14:solidFill>
              <w14:schemeClr w14:val="tx1"/>
            </w14:solidFill>
          </w14:textFill>
        </w:rPr>
      </w:pPr>
      <w:r>
        <w:rPr>
          <w:rFonts w:hint="default" w:ascii="宋体" w:hAnsi="宋体" w:eastAsia="宋体" w:cs="Times New Roman"/>
          <w:color w:val="000000" w:themeColor="text1"/>
          <w:sz w:val="24"/>
          <w:szCs w:val="20"/>
          <w:lang w:val="en-US" w:eastAsia="zh-CN"/>
          <w14:textFill>
            <w14:solidFill>
              <w14:schemeClr w14:val="tx1"/>
            </w14:solidFill>
          </w14:textFill>
        </w:rPr>
        <mc:AlternateContent>
          <mc:Choice Requires="wpg">
            <w:drawing>
              <wp:anchor distT="0" distB="0" distL="114300" distR="114300" simplePos="0" relativeHeight="251673600" behindDoc="0" locked="0" layoutInCell="1" allowOverlap="1">
                <wp:simplePos x="0" y="0"/>
                <wp:positionH relativeFrom="column">
                  <wp:posOffset>-32385</wp:posOffset>
                </wp:positionH>
                <wp:positionV relativeFrom="paragraph">
                  <wp:posOffset>261620</wp:posOffset>
                </wp:positionV>
                <wp:extent cx="5354320" cy="1673860"/>
                <wp:effectExtent l="0" t="0" r="17780" b="21590"/>
                <wp:wrapNone/>
                <wp:docPr id="407" name="组合 65"/>
                <wp:cNvGraphicFramePr/>
                <a:graphic xmlns:a="http://schemas.openxmlformats.org/drawingml/2006/main">
                  <a:graphicData uri="http://schemas.microsoft.com/office/word/2010/wordprocessingGroup">
                    <wpg:wgp>
                      <wpg:cNvGrpSpPr/>
                      <wpg:grpSpPr>
                        <a:xfrm>
                          <a:off x="0" y="0"/>
                          <a:ext cx="5354320" cy="1673860"/>
                          <a:chOff x="4471" y="1164008"/>
                          <a:chExt cx="8432" cy="2636"/>
                        </a:xfrm>
                      </wpg:grpSpPr>
                      <wps:wsp>
                        <wps:cNvPr id="9" name="直线 69"/>
                        <wps:cNvCnPr/>
                        <wps:spPr>
                          <a:xfrm>
                            <a:off x="8228" y="1165500"/>
                            <a:ext cx="680" cy="1"/>
                          </a:xfrm>
                          <a:prstGeom prst="line">
                            <a:avLst/>
                          </a:prstGeom>
                          <a:ln w="9525" cap="flat" cmpd="sng">
                            <a:solidFill>
                              <a:srgbClr val="000000"/>
                            </a:solidFill>
                            <a:prstDash val="solid"/>
                            <a:headEnd type="none" w="med" len="med"/>
                            <a:tailEnd type="triangle" w="med" len="lg"/>
                          </a:ln>
                        </wps:spPr>
                        <wps:bodyPr/>
                      </wps:wsp>
                      <wps:wsp>
                        <wps:cNvPr id="334" name="矩形 70"/>
                        <wps:cNvSpPr/>
                        <wps:spPr>
                          <a:xfrm>
                            <a:off x="8873" y="1165251"/>
                            <a:ext cx="1418" cy="4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0CEDC09">
                              <w:pPr>
                                <w:spacing w:line="240" w:lineRule="auto"/>
                                <w:ind w:left="0" w:leftChars="0" w:firstLine="0" w:firstLineChars="0"/>
                                <w:jc w:val="both"/>
                                <w:rPr>
                                  <w:sz w:val="21"/>
                                  <w:szCs w:val="21"/>
                                </w:rPr>
                              </w:pPr>
                              <w:r>
                                <w:rPr>
                                  <w:rFonts w:hint="eastAsia"/>
                                  <w:sz w:val="21"/>
                                  <w:szCs w:val="21"/>
                                </w:rPr>
                                <w:t>箱式变电站</w:t>
                              </w:r>
                            </w:p>
                          </w:txbxContent>
                        </wps:txbx>
                        <wps:bodyPr upright="1"/>
                      </wps:wsp>
                      <wps:wsp>
                        <wps:cNvPr id="341" name="矩形 68"/>
                        <wps:cNvSpPr/>
                        <wps:spPr>
                          <a:xfrm>
                            <a:off x="4686" y="1165233"/>
                            <a:ext cx="1680" cy="4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8390331">
                              <w:pPr>
                                <w:spacing w:line="240" w:lineRule="auto"/>
                                <w:ind w:left="0" w:leftChars="0" w:firstLine="0" w:firstLineChars="0"/>
                                <w:jc w:val="both"/>
                                <w:rPr>
                                  <w:sz w:val="21"/>
                                  <w:szCs w:val="21"/>
                                </w:rPr>
                              </w:pPr>
                              <w:r>
                                <w:rPr>
                                  <w:rFonts w:hint="eastAsia"/>
                                  <w:sz w:val="21"/>
                                  <w:szCs w:val="21"/>
                                </w:rPr>
                                <w:t>风机基础施工</w:t>
                              </w:r>
                            </w:p>
                          </w:txbxContent>
                        </wps:txbx>
                        <wps:bodyPr upright="1"/>
                      </wps:wsp>
                      <wps:wsp>
                        <wps:cNvPr id="343" name="直线 67"/>
                        <wps:cNvCnPr/>
                        <wps:spPr>
                          <a:xfrm>
                            <a:off x="6367" y="1165486"/>
                            <a:ext cx="680" cy="1"/>
                          </a:xfrm>
                          <a:prstGeom prst="line">
                            <a:avLst/>
                          </a:prstGeom>
                          <a:ln w="9525" cap="flat" cmpd="sng">
                            <a:solidFill>
                              <a:srgbClr val="000000"/>
                            </a:solidFill>
                            <a:prstDash val="solid"/>
                            <a:headEnd type="none" w="med" len="med"/>
                            <a:tailEnd type="triangle" w="med" len="lg"/>
                          </a:ln>
                        </wps:spPr>
                        <wps:bodyPr/>
                      </wps:wsp>
                      <wps:wsp>
                        <wps:cNvPr id="344" name="矩形 68"/>
                        <wps:cNvSpPr/>
                        <wps:spPr>
                          <a:xfrm>
                            <a:off x="7023" y="1165247"/>
                            <a:ext cx="1200" cy="4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CB4414A">
                              <w:pPr>
                                <w:spacing w:line="240" w:lineRule="auto"/>
                                <w:ind w:left="0" w:leftChars="0" w:firstLine="0" w:firstLineChars="0"/>
                                <w:jc w:val="both"/>
                                <w:rPr>
                                  <w:sz w:val="21"/>
                                  <w:szCs w:val="21"/>
                                </w:rPr>
                              </w:pPr>
                              <w:r>
                                <w:rPr>
                                  <w:rFonts w:hint="eastAsia"/>
                                  <w:sz w:val="21"/>
                                  <w:szCs w:val="21"/>
                                </w:rPr>
                                <w:t>风机安装</w:t>
                              </w:r>
                            </w:p>
                          </w:txbxContent>
                        </wps:txbx>
                        <wps:bodyPr upright="1"/>
                      </wps:wsp>
                      <wps:wsp>
                        <wps:cNvPr id="345" name="矩形 72"/>
                        <wps:cNvSpPr/>
                        <wps:spPr>
                          <a:xfrm>
                            <a:off x="4471" y="1164035"/>
                            <a:ext cx="2048" cy="728"/>
                          </a:xfrm>
                          <a:prstGeom prst="rect">
                            <a:avLst/>
                          </a:prstGeom>
                          <a:solidFill>
                            <a:srgbClr val="FFFFFF"/>
                          </a:solidFill>
                          <a:ln>
                            <a:noFill/>
                          </a:ln>
                        </wps:spPr>
                        <wps:txbx>
                          <w:txbxContent>
                            <w:p w14:paraId="486A6C5B">
                              <w:pPr>
                                <w:spacing w:line="240" w:lineRule="auto"/>
                                <w:ind w:left="0" w:leftChars="0" w:firstLine="0" w:firstLineChars="0"/>
                                <w:jc w:val="center"/>
                                <w:rPr>
                                  <w:sz w:val="21"/>
                                  <w:szCs w:val="21"/>
                                </w:rPr>
                              </w:pPr>
                              <w:r>
                                <w:rPr>
                                  <w:rFonts w:hint="eastAsia"/>
                                  <w:sz w:val="21"/>
                                  <w:szCs w:val="21"/>
                                  <w:lang w:val="en-US" w:eastAsia="zh-CN"/>
                                </w:rPr>
                                <w:t>多余土方</w:t>
                              </w:r>
                              <w:r>
                                <w:rPr>
                                  <w:rFonts w:hint="eastAsia"/>
                                  <w:sz w:val="21"/>
                                  <w:szCs w:val="21"/>
                                </w:rPr>
                                <w:t>；扬尘；</w:t>
                              </w:r>
                              <w:r>
                                <w:rPr>
                                  <w:rFonts w:hint="eastAsia"/>
                                  <w:sz w:val="21"/>
                                  <w:szCs w:val="21"/>
                                  <w:lang w:val="en-US" w:eastAsia="zh-CN"/>
                                </w:rPr>
                                <w:t>尾气</w:t>
                              </w:r>
                              <w:r>
                                <w:rPr>
                                  <w:rFonts w:hint="eastAsia"/>
                                  <w:sz w:val="21"/>
                                  <w:szCs w:val="21"/>
                                </w:rPr>
                                <w:t>；</w:t>
                              </w:r>
                              <w:r>
                                <w:rPr>
                                  <w:rFonts w:hint="eastAsia"/>
                                  <w:sz w:val="21"/>
                                  <w:szCs w:val="21"/>
                                  <w:lang w:val="en-US" w:eastAsia="zh-CN"/>
                                </w:rPr>
                                <w:t>废水</w:t>
                              </w:r>
                              <w:r>
                                <w:rPr>
                                  <w:rFonts w:hint="eastAsia"/>
                                  <w:sz w:val="21"/>
                                  <w:szCs w:val="21"/>
                                </w:rPr>
                                <w:t>；噪声</w:t>
                              </w:r>
                            </w:p>
                          </w:txbxContent>
                        </wps:txbx>
                        <wps:bodyPr upright="1"/>
                      </wps:wsp>
                      <wps:wsp>
                        <wps:cNvPr id="346" name="矩形 72"/>
                        <wps:cNvSpPr/>
                        <wps:spPr>
                          <a:xfrm>
                            <a:off x="6943" y="1164287"/>
                            <a:ext cx="1448" cy="436"/>
                          </a:xfrm>
                          <a:prstGeom prst="rect">
                            <a:avLst/>
                          </a:prstGeom>
                          <a:solidFill>
                            <a:srgbClr val="FFFFFF"/>
                          </a:solidFill>
                          <a:ln>
                            <a:noFill/>
                          </a:ln>
                        </wps:spPr>
                        <wps:txbx>
                          <w:txbxContent>
                            <w:p w14:paraId="3C344652">
                              <w:pPr>
                                <w:spacing w:line="240" w:lineRule="auto"/>
                                <w:ind w:left="0" w:leftChars="0" w:firstLine="0" w:firstLineChars="0"/>
                                <w:jc w:val="both"/>
                                <w:rPr>
                                  <w:sz w:val="21"/>
                                  <w:szCs w:val="21"/>
                                </w:rPr>
                              </w:pPr>
                              <w:r>
                                <w:rPr>
                                  <w:rFonts w:hint="eastAsia"/>
                                  <w:sz w:val="21"/>
                                  <w:szCs w:val="21"/>
                                </w:rPr>
                                <w:t>噪声；尾气</w:t>
                              </w:r>
                            </w:p>
                          </w:txbxContent>
                        </wps:txbx>
                        <wps:bodyPr upright="1"/>
                      </wps:wsp>
                      <wps:wsp>
                        <wps:cNvPr id="347" name="矩形 72"/>
                        <wps:cNvSpPr/>
                        <wps:spPr>
                          <a:xfrm>
                            <a:off x="8623" y="1164287"/>
                            <a:ext cx="1940" cy="436"/>
                          </a:xfrm>
                          <a:prstGeom prst="rect">
                            <a:avLst/>
                          </a:prstGeom>
                          <a:solidFill>
                            <a:srgbClr val="FFFFFF"/>
                          </a:solidFill>
                          <a:ln>
                            <a:noFill/>
                          </a:ln>
                        </wps:spPr>
                        <wps:txbx>
                          <w:txbxContent>
                            <w:p w14:paraId="0C4F991A">
                              <w:pPr>
                                <w:spacing w:line="240" w:lineRule="auto"/>
                                <w:ind w:left="0" w:leftChars="0" w:firstLine="0" w:firstLineChars="0"/>
                                <w:jc w:val="both"/>
                                <w:rPr>
                                  <w:sz w:val="21"/>
                                  <w:szCs w:val="21"/>
                                </w:rPr>
                              </w:pPr>
                              <w:r>
                                <w:rPr>
                                  <w:rFonts w:hint="eastAsia"/>
                                  <w:sz w:val="21"/>
                                  <w:szCs w:val="21"/>
                                </w:rPr>
                                <w:t>噪声；扬尘；尾气</w:t>
                              </w:r>
                            </w:p>
                          </w:txbxContent>
                        </wps:txbx>
                        <wps:bodyPr upright="1"/>
                      </wps:wsp>
                      <wps:wsp>
                        <wps:cNvPr id="349" name="矩形 68"/>
                        <wps:cNvSpPr/>
                        <wps:spPr>
                          <a:xfrm>
                            <a:off x="10974" y="1165247"/>
                            <a:ext cx="1787" cy="47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1929ADB">
                              <w:pPr>
                                <w:spacing w:line="240" w:lineRule="auto"/>
                                <w:ind w:left="0" w:leftChars="0" w:firstLine="0" w:firstLineChars="0"/>
                                <w:jc w:val="both"/>
                                <w:rPr>
                                  <w:sz w:val="21"/>
                                  <w:szCs w:val="21"/>
                                </w:rPr>
                              </w:pPr>
                              <w:r>
                                <w:rPr>
                                  <w:rFonts w:hint="eastAsia"/>
                                  <w:sz w:val="21"/>
                                  <w:szCs w:val="21"/>
                                </w:rPr>
                                <w:t>线路、电缆施工</w:t>
                              </w:r>
                            </w:p>
                          </w:txbxContent>
                        </wps:txbx>
                        <wps:bodyPr upright="1"/>
                      </wps:wsp>
                      <wps:wsp>
                        <wps:cNvPr id="350" name="直线 69"/>
                        <wps:cNvCnPr/>
                        <wps:spPr>
                          <a:xfrm flipH="1" flipV="1">
                            <a:off x="11074" y="1166401"/>
                            <a:ext cx="794" cy="0"/>
                          </a:xfrm>
                          <a:prstGeom prst="line">
                            <a:avLst/>
                          </a:prstGeom>
                          <a:ln w="9525" cap="flat" cmpd="sng">
                            <a:solidFill>
                              <a:srgbClr val="000000"/>
                            </a:solidFill>
                            <a:prstDash val="solid"/>
                            <a:headEnd type="none" w="med" len="med"/>
                            <a:tailEnd type="triangle" w="med" len="lg"/>
                          </a:ln>
                        </wps:spPr>
                        <wps:bodyPr/>
                      </wps:wsp>
                      <wps:wsp>
                        <wps:cNvPr id="351" name="矩形 72"/>
                        <wps:cNvSpPr/>
                        <wps:spPr>
                          <a:xfrm>
                            <a:off x="10803" y="1164008"/>
                            <a:ext cx="2100" cy="770"/>
                          </a:xfrm>
                          <a:prstGeom prst="rect">
                            <a:avLst/>
                          </a:prstGeom>
                          <a:solidFill>
                            <a:srgbClr val="FFFFFF"/>
                          </a:solidFill>
                          <a:ln>
                            <a:noFill/>
                          </a:ln>
                        </wps:spPr>
                        <wps:txbx>
                          <w:txbxContent>
                            <w:p w14:paraId="208BE489">
                              <w:pPr>
                                <w:spacing w:line="240" w:lineRule="auto"/>
                                <w:ind w:left="0" w:leftChars="0" w:firstLine="0" w:firstLineChars="0"/>
                                <w:jc w:val="center"/>
                                <w:rPr>
                                  <w:sz w:val="21"/>
                                  <w:szCs w:val="21"/>
                                </w:rPr>
                              </w:pPr>
                              <w:r>
                                <w:rPr>
                                  <w:rFonts w:hint="eastAsia"/>
                                  <w:sz w:val="21"/>
                                  <w:szCs w:val="21"/>
                                  <w:lang w:val="en-US" w:eastAsia="zh-CN"/>
                                </w:rPr>
                                <w:t>多余土方</w:t>
                              </w:r>
                              <w:r>
                                <w:rPr>
                                  <w:rFonts w:hint="eastAsia"/>
                                  <w:sz w:val="21"/>
                                  <w:szCs w:val="21"/>
                                </w:rPr>
                                <w:t>；噪声；扬尘；尾气</w:t>
                              </w:r>
                            </w:p>
                          </w:txbxContent>
                        </wps:txbx>
                        <wps:bodyPr upright="1"/>
                      </wps:wsp>
                      <wps:wsp>
                        <wps:cNvPr id="352" name="矩形 68"/>
                        <wps:cNvSpPr/>
                        <wps:spPr>
                          <a:xfrm>
                            <a:off x="9676" y="1166154"/>
                            <a:ext cx="1387" cy="4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7DE1D0E">
                              <w:pPr>
                                <w:spacing w:line="240" w:lineRule="auto"/>
                                <w:ind w:left="0" w:leftChars="0" w:firstLine="0" w:firstLineChars="0"/>
                                <w:jc w:val="both"/>
                                <w:rPr>
                                  <w:sz w:val="21"/>
                                  <w:szCs w:val="21"/>
                                </w:rPr>
                              </w:pPr>
                              <w:r>
                                <w:rPr>
                                  <w:rFonts w:hint="eastAsia"/>
                                  <w:sz w:val="21"/>
                                  <w:szCs w:val="21"/>
                                </w:rPr>
                                <w:t>调试、运行</w:t>
                              </w:r>
                            </w:p>
                          </w:txbxContent>
                        </wps:txbx>
                        <wps:bodyPr upright="1"/>
                      </wps:wsp>
                      <wps:wsp>
                        <wps:cNvPr id="356" name="直线 73"/>
                        <wps:cNvCnPr/>
                        <wps:spPr>
                          <a:xfrm flipH="1" flipV="1">
                            <a:off x="11847" y="1164736"/>
                            <a:ext cx="0" cy="510"/>
                          </a:xfrm>
                          <a:prstGeom prst="line">
                            <a:avLst/>
                          </a:prstGeom>
                          <a:ln w="9525" cap="flat" cmpd="sng">
                            <a:solidFill>
                              <a:srgbClr val="000000"/>
                            </a:solidFill>
                            <a:prstDash val="dash"/>
                            <a:headEnd type="none" w="med" len="med"/>
                            <a:tailEnd type="triangle" w="med" len="lg"/>
                          </a:ln>
                        </wps:spPr>
                        <wps:bodyPr/>
                      </wps:wsp>
                      <wps:wsp>
                        <wps:cNvPr id="365" name="直线 71"/>
                        <wps:cNvCnPr/>
                        <wps:spPr>
                          <a:xfrm flipH="1" flipV="1">
                            <a:off x="5509" y="1164715"/>
                            <a:ext cx="0" cy="510"/>
                          </a:xfrm>
                          <a:prstGeom prst="line">
                            <a:avLst/>
                          </a:prstGeom>
                          <a:ln w="9525" cap="flat" cmpd="sng">
                            <a:solidFill>
                              <a:srgbClr val="000000"/>
                            </a:solidFill>
                            <a:prstDash val="dash"/>
                            <a:headEnd type="none" w="med" len="med"/>
                            <a:tailEnd type="triangle" w="med" len="lg"/>
                          </a:ln>
                        </wps:spPr>
                        <wps:bodyPr/>
                      </wps:wsp>
                      <wps:wsp>
                        <wps:cNvPr id="366" name="直线 71"/>
                        <wps:cNvCnPr/>
                        <wps:spPr>
                          <a:xfrm flipH="1" flipV="1">
                            <a:off x="7619" y="1164741"/>
                            <a:ext cx="0" cy="510"/>
                          </a:xfrm>
                          <a:prstGeom prst="line">
                            <a:avLst/>
                          </a:prstGeom>
                          <a:ln w="9525" cap="flat" cmpd="sng">
                            <a:solidFill>
                              <a:srgbClr val="000000"/>
                            </a:solidFill>
                            <a:prstDash val="dash"/>
                            <a:headEnd type="none" w="med" len="med"/>
                            <a:tailEnd type="triangle" w="med" len="lg"/>
                          </a:ln>
                        </wps:spPr>
                        <wps:bodyPr/>
                      </wps:wsp>
                      <wps:wsp>
                        <wps:cNvPr id="374" name="直线 71"/>
                        <wps:cNvCnPr/>
                        <wps:spPr>
                          <a:xfrm flipH="1" flipV="1">
                            <a:off x="9584" y="1164741"/>
                            <a:ext cx="0" cy="510"/>
                          </a:xfrm>
                          <a:prstGeom prst="line">
                            <a:avLst/>
                          </a:prstGeom>
                          <a:ln w="9525" cap="flat" cmpd="sng">
                            <a:solidFill>
                              <a:srgbClr val="000000"/>
                            </a:solidFill>
                            <a:prstDash val="dash"/>
                            <a:headEnd type="none" w="med" len="med"/>
                            <a:tailEnd type="triangle" w="med" len="lg"/>
                          </a:ln>
                        </wps:spPr>
                        <wps:bodyPr/>
                      </wps:wsp>
                      <wps:wsp>
                        <wps:cNvPr id="375" name="直线 69"/>
                        <wps:cNvCnPr/>
                        <wps:spPr>
                          <a:xfrm>
                            <a:off x="11862" y="1165728"/>
                            <a:ext cx="0" cy="680"/>
                          </a:xfrm>
                          <a:prstGeom prst="line">
                            <a:avLst/>
                          </a:prstGeom>
                          <a:ln w="9525" cap="flat" cmpd="sng">
                            <a:solidFill>
                              <a:schemeClr val="tx1"/>
                            </a:solidFill>
                            <a:prstDash val="solid"/>
                            <a:headEnd type="none" w="med" len="med"/>
                            <a:tailEnd type="none" w="med" len="lg"/>
                          </a:ln>
                        </wps:spPr>
                        <wps:bodyPr/>
                      </wps:wsp>
                      <wps:wsp>
                        <wps:cNvPr id="377" name="直线 69"/>
                        <wps:cNvCnPr/>
                        <wps:spPr>
                          <a:xfrm>
                            <a:off x="10294" y="1165514"/>
                            <a:ext cx="680" cy="1"/>
                          </a:xfrm>
                          <a:prstGeom prst="line">
                            <a:avLst/>
                          </a:prstGeom>
                          <a:ln w="9525" cap="flat" cmpd="sng">
                            <a:solidFill>
                              <a:srgbClr val="000000"/>
                            </a:solidFill>
                            <a:prstDash val="solid"/>
                            <a:headEnd type="none" w="med" len="med"/>
                            <a:tailEnd type="triangle" w="med" len="lg"/>
                          </a:ln>
                        </wps:spPr>
                        <wps:bodyPr/>
                      </wps:wsp>
                    </wpg:wgp>
                  </a:graphicData>
                </a:graphic>
              </wp:anchor>
            </w:drawing>
          </mc:Choice>
          <mc:Fallback>
            <w:pict>
              <v:group id="组合 65" o:spid="_x0000_s1026" o:spt="203" style="position:absolute;left:0pt;margin-left:-2.55pt;margin-top:20.6pt;height:131.8pt;width:421.6pt;z-index:251673600;mso-width-relative:page;mso-height-relative:page;" coordorigin="4471,1164008" coordsize="8432,2636" o:gfxdata="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">
                <o:lock v:ext="edit" aspectratio="f"/>
                <v:line id="直线 69" o:spid="_x0000_s1026" o:spt="20" style="position:absolute;left:8228;top:1165500;height:1;width:680;" filled="f" stroked="t" coordsize="21600,21600" o:gfxdata="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Z+FVe8AAAA&#10;2gAAAA8AAAAAAAAAAQAgAAAAIgAAAGRycy9kb3ducmV2LnhtbFBLAQIUABQAAAAIAIdO4kAzLwWe&#10;OwAAADkAAAAQAAAAAAAAAAEAIAAAAAsBAABkcnMvc2hhcGV4bWwueG1sUEsFBgAAAAAGAAYAWwEA&#10;ALUDAAAAAA==&#10;">
                  <v:fill on="f" focussize="0,0"/>
                  <v:stroke color="#000000" joinstyle="round" endarrow="block" endarrowlength="long"/>
                  <v:imagedata o:title=""/>
                  <o:lock v:ext="edit" aspectratio="f"/>
                </v:line>
                <v:rect id="矩形 70" o:spid="_x0000_s1026" o:spt="1" style="position:absolute;left:8873;top:1165251;height:490;width:1418;" fillcolor="#FFFFFF" filled="t" stroked="t" coordsize="21600,21600" o:gfxdata="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GLaQ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00CEDC09">
                        <w:pPr>
                          <w:spacing w:line="240" w:lineRule="auto"/>
                          <w:ind w:left="0" w:leftChars="0" w:firstLine="0" w:firstLineChars="0"/>
                          <w:jc w:val="both"/>
                          <w:rPr>
                            <w:sz w:val="21"/>
                            <w:szCs w:val="21"/>
                          </w:rPr>
                        </w:pPr>
                        <w:r>
                          <w:rPr>
                            <w:rFonts w:hint="eastAsia"/>
                            <w:sz w:val="21"/>
                            <w:szCs w:val="21"/>
                          </w:rPr>
                          <w:t>箱式变电站</w:t>
                        </w:r>
                      </w:p>
                    </w:txbxContent>
                  </v:textbox>
                </v:rect>
                <v:rect id="矩形 68" o:spid="_x0000_s1026" o:spt="1" style="position:absolute;left:4686;top:1165233;height:490;width:1680;" fillcolor="#FFFFFF" filled="t" stroked="t" coordsize="21600,21600" o:gfxdata="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Ewql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8390331">
                        <w:pPr>
                          <w:spacing w:line="240" w:lineRule="auto"/>
                          <w:ind w:left="0" w:leftChars="0" w:firstLine="0" w:firstLineChars="0"/>
                          <w:jc w:val="both"/>
                          <w:rPr>
                            <w:sz w:val="21"/>
                            <w:szCs w:val="21"/>
                          </w:rPr>
                        </w:pPr>
                        <w:r>
                          <w:rPr>
                            <w:rFonts w:hint="eastAsia"/>
                            <w:sz w:val="21"/>
                            <w:szCs w:val="21"/>
                          </w:rPr>
                          <w:t>风机基础施工</w:t>
                        </w:r>
                      </w:p>
                    </w:txbxContent>
                  </v:textbox>
                </v:rect>
                <v:line id="直线 67" o:spid="_x0000_s1026" o:spt="20" style="position:absolute;left:6367;top:1165486;height:1;width:680;" filled="f" stroked="t" coordsize="21600,21600" o:gfxdata="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NKd7r4A&#10;AADcAAAADwAAAAAAAAABACAAAAAiAAAAZHJzL2Rvd25yZXYueG1sUEsBAhQAFAAAAAgAh07iQDMv&#10;BZ47AAAAOQAAABAAAAAAAAAAAQAgAAAADQEAAGRycy9zaGFwZXhtbC54bWxQSwUGAAAAAAYABgBb&#10;AQAAtwMAAAAA&#10;">
                  <v:fill on="f" focussize="0,0"/>
                  <v:stroke color="#000000" joinstyle="round" endarrow="block" endarrowlength="long"/>
                  <v:imagedata o:title=""/>
                  <o:lock v:ext="edit" aspectratio="f"/>
                </v:line>
                <v:rect id="矩形 68" o:spid="_x0000_s1026" o:spt="1" style="position:absolute;left:7023;top:1165247;height:490;width:1200;" fillcolor="#FFFFFF" filled="t" stroked="t" coordsize="21600,21600" o:gfxdata="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ZKk9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CB4414A">
                        <w:pPr>
                          <w:spacing w:line="240" w:lineRule="auto"/>
                          <w:ind w:left="0" w:leftChars="0" w:firstLine="0" w:firstLineChars="0"/>
                          <w:jc w:val="both"/>
                          <w:rPr>
                            <w:sz w:val="21"/>
                            <w:szCs w:val="21"/>
                          </w:rPr>
                        </w:pPr>
                        <w:r>
                          <w:rPr>
                            <w:rFonts w:hint="eastAsia"/>
                            <w:sz w:val="21"/>
                            <w:szCs w:val="21"/>
                          </w:rPr>
                          <w:t>风机安装</w:t>
                        </w:r>
                      </w:p>
                    </w:txbxContent>
                  </v:textbox>
                </v:rect>
                <v:rect id="矩形 72" o:spid="_x0000_s1026" o:spt="1" style="position:absolute;left:4471;top:1164035;height:728;width:2048;" fillcolor="#FFFFFF" filled="t" stroked="f" coordsize="21600,21600" o:gfxdata="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o/TBL4A&#10;AADcAAAADwAAAAAAAAABACAAAAAiAAAAZHJzL2Rvd25yZXYueG1sUEsBAhQAFAAAAAgAh07iQDMv&#10;BZ47AAAAOQAAABAAAAAAAAAAAQAgAAAADQEAAGRycy9zaGFwZXhtbC54bWxQSwUGAAAAAAYABgBb&#10;AQAAtwMAAAAA&#10;">
                  <v:fill on="t" focussize="0,0"/>
                  <v:stroke on="f"/>
                  <v:imagedata o:title=""/>
                  <o:lock v:ext="edit" aspectratio="f"/>
                  <v:textbox>
                    <w:txbxContent>
                      <w:p w14:paraId="486A6C5B">
                        <w:pPr>
                          <w:spacing w:line="240" w:lineRule="auto"/>
                          <w:ind w:left="0" w:leftChars="0" w:firstLine="0" w:firstLineChars="0"/>
                          <w:jc w:val="center"/>
                          <w:rPr>
                            <w:sz w:val="21"/>
                            <w:szCs w:val="21"/>
                          </w:rPr>
                        </w:pPr>
                        <w:r>
                          <w:rPr>
                            <w:rFonts w:hint="eastAsia"/>
                            <w:sz w:val="21"/>
                            <w:szCs w:val="21"/>
                            <w:lang w:val="en-US" w:eastAsia="zh-CN"/>
                          </w:rPr>
                          <w:t>多余土方</w:t>
                        </w:r>
                        <w:r>
                          <w:rPr>
                            <w:rFonts w:hint="eastAsia"/>
                            <w:sz w:val="21"/>
                            <w:szCs w:val="21"/>
                          </w:rPr>
                          <w:t>；扬尘；</w:t>
                        </w:r>
                        <w:r>
                          <w:rPr>
                            <w:rFonts w:hint="eastAsia"/>
                            <w:sz w:val="21"/>
                            <w:szCs w:val="21"/>
                            <w:lang w:val="en-US" w:eastAsia="zh-CN"/>
                          </w:rPr>
                          <w:t>尾气</w:t>
                        </w:r>
                        <w:r>
                          <w:rPr>
                            <w:rFonts w:hint="eastAsia"/>
                            <w:sz w:val="21"/>
                            <w:szCs w:val="21"/>
                          </w:rPr>
                          <w:t>；</w:t>
                        </w:r>
                        <w:r>
                          <w:rPr>
                            <w:rFonts w:hint="eastAsia"/>
                            <w:sz w:val="21"/>
                            <w:szCs w:val="21"/>
                            <w:lang w:val="en-US" w:eastAsia="zh-CN"/>
                          </w:rPr>
                          <w:t>废水</w:t>
                        </w:r>
                        <w:r>
                          <w:rPr>
                            <w:rFonts w:hint="eastAsia"/>
                            <w:sz w:val="21"/>
                            <w:szCs w:val="21"/>
                          </w:rPr>
                          <w:t>；噪声</w:t>
                        </w:r>
                      </w:p>
                    </w:txbxContent>
                  </v:textbox>
                </v:rect>
                <v:rect id="矩形 72" o:spid="_x0000_s1026" o:spt="1" style="position:absolute;left:6943;top:1164287;height:436;width:1448;" fillcolor="#FFFFFF" filled="t" stroked="f" coordsize="21600,21600" o:gfxdata="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l1Nc74A&#10;AADcAAAADwAAAAAAAAABACAAAAAiAAAAZHJzL2Rvd25yZXYueG1sUEsBAhQAFAAAAAgAh07iQDMv&#10;BZ47AAAAOQAAABAAAAAAAAAAAQAgAAAADQEAAGRycy9zaGFwZXhtbC54bWxQSwUGAAAAAAYABgBb&#10;AQAAtwMAAAAA&#10;">
                  <v:fill on="t" focussize="0,0"/>
                  <v:stroke on="f"/>
                  <v:imagedata o:title=""/>
                  <o:lock v:ext="edit" aspectratio="f"/>
                  <v:textbox>
                    <w:txbxContent>
                      <w:p w14:paraId="3C344652">
                        <w:pPr>
                          <w:spacing w:line="240" w:lineRule="auto"/>
                          <w:ind w:left="0" w:leftChars="0" w:firstLine="0" w:firstLineChars="0"/>
                          <w:jc w:val="both"/>
                          <w:rPr>
                            <w:sz w:val="21"/>
                            <w:szCs w:val="21"/>
                          </w:rPr>
                        </w:pPr>
                        <w:r>
                          <w:rPr>
                            <w:rFonts w:hint="eastAsia"/>
                            <w:sz w:val="21"/>
                            <w:szCs w:val="21"/>
                          </w:rPr>
                          <w:t>噪声；尾气</w:t>
                        </w:r>
                      </w:p>
                    </w:txbxContent>
                  </v:textbox>
                </v:rect>
                <v:rect id="矩形 72" o:spid="_x0000_s1026" o:spt="1" style="position:absolute;left:8623;top:1164287;height:436;width:1940;" fillcolor="#FFFFFF" filled="t" stroked="f" coordsize="21600,21600" o:gfxdata="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ER6Oi/&#10;AAAA3AAAAA8AAAAAAAAAAQAgAAAAIgAAAGRycy9kb3ducmV2LnhtbFBLAQIUABQAAAAIAIdO4kAz&#10;LwWeOwAAADkAAAAQAAAAAAAAAAEAIAAAAA4BAABkcnMvc2hhcGV4bWwueG1sUEsFBgAAAAAGAAYA&#10;WwEAALgDAAAAAA==&#10;">
                  <v:fill on="t" focussize="0,0"/>
                  <v:stroke on="f"/>
                  <v:imagedata o:title=""/>
                  <o:lock v:ext="edit" aspectratio="f"/>
                  <v:textbox>
                    <w:txbxContent>
                      <w:p w14:paraId="0C4F991A">
                        <w:pPr>
                          <w:spacing w:line="240" w:lineRule="auto"/>
                          <w:ind w:left="0" w:leftChars="0" w:firstLine="0" w:firstLineChars="0"/>
                          <w:jc w:val="both"/>
                          <w:rPr>
                            <w:sz w:val="21"/>
                            <w:szCs w:val="21"/>
                          </w:rPr>
                        </w:pPr>
                        <w:r>
                          <w:rPr>
                            <w:rFonts w:hint="eastAsia"/>
                            <w:sz w:val="21"/>
                            <w:szCs w:val="21"/>
                          </w:rPr>
                          <w:t>噪声；扬尘；尾气</w:t>
                        </w:r>
                      </w:p>
                    </w:txbxContent>
                  </v:textbox>
                </v:rect>
                <v:rect id="矩形 68" o:spid="_x0000_s1026" o:spt="1" style="position:absolute;left:10974;top:1165247;height:477;width:1787;" fillcolor="#FFFFFF" filled="t" stroked="t" coordsize="21600,21600" o:gfxdata="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lBqO/&#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41929ADB">
                        <w:pPr>
                          <w:spacing w:line="240" w:lineRule="auto"/>
                          <w:ind w:left="0" w:leftChars="0" w:firstLine="0" w:firstLineChars="0"/>
                          <w:jc w:val="both"/>
                          <w:rPr>
                            <w:sz w:val="21"/>
                            <w:szCs w:val="21"/>
                          </w:rPr>
                        </w:pPr>
                        <w:r>
                          <w:rPr>
                            <w:rFonts w:hint="eastAsia"/>
                            <w:sz w:val="21"/>
                            <w:szCs w:val="21"/>
                          </w:rPr>
                          <w:t>线路、电缆施工</w:t>
                        </w:r>
                      </w:p>
                    </w:txbxContent>
                  </v:textbox>
                </v:rect>
                <v:line id="直线 69" o:spid="_x0000_s1026" o:spt="20" style="position:absolute;left:11074;top:1166401;flip:x y;height:0;width:794;" filled="f" stroked="t" coordsize="21600,21600" o:gfxdata="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j21FbsAAADc&#10;AAAADwAAAAAAAAABACAAAAAiAAAAZHJzL2Rvd25yZXYueG1sUEsBAhQAFAAAAAgAh07iQDMvBZ47&#10;AAAAOQAAABAAAAAAAAAAAQAgAAAACgEAAGRycy9zaGFwZXhtbC54bWxQSwUGAAAAAAYABgBbAQAA&#10;tAMAAAAA&#10;">
                  <v:fill on="f" focussize="0,0"/>
                  <v:stroke color="#000000" joinstyle="round" endarrow="block" endarrowlength="long"/>
                  <v:imagedata o:title=""/>
                  <o:lock v:ext="edit" aspectratio="f"/>
                </v:line>
                <v:rect id="矩形 72" o:spid="_x0000_s1026" o:spt="1" style="position:absolute;left:10803;top:1164008;height:770;width:2100;" fillcolor="#FFFFFF" filled="t" stroked="f" coordsize="21600,21600" o:gfxdata="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G1D2r4A&#10;AADcAAAADwAAAAAAAAABACAAAAAiAAAAZHJzL2Rvd25yZXYueG1sUEsBAhQAFAAAAAgAh07iQDMv&#10;BZ47AAAAOQAAABAAAAAAAAAAAQAgAAAADQEAAGRycy9zaGFwZXhtbC54bWxQSwUGAAAAAAYABgBb&#10;AQAAtwMAAAAA&#10;">
                  <v:fill on="t" focussize="0,0"/>
                  <v:stroke on="f"/>
                  <v:imagedata o:title=""/>
                  <o:lock v:ext="edit" aspectratio="f"/>
                  <v:textbox>
                    <w:txbxContent>
                      <w:p w14:paraId="208BE489">
                        <w:pPr>
                          <w:spacing w:line="240" w:lineRule="auto"/>
                          <w:ind w:left="0" w:leftChars="0" w:firstLine="0" w:firstLineChars="0"/>
                          <w:jc w:val="center"/>
                          <w:rPr>
                            <w:sz w:val="21"/>
                            <w:szCs w:val="21"/>
                          </w:rPr>
                        </w:pPr>
                        <w:r>
                          <w:rPr>
                            <w:rFonts w:hint="eastAsia"/>
                            <w:sz w:val="21"/>
                            <w:szCs w:val="21"/>
                            <w:lang w:val="en-US" w:eastAsia="zh-CN"/>
                          </w:rPr>
                          <w:t>多余土方</w:t>
                        </w:r>
                        <w:r>
                          <w:rPr>
                            <w:rFonts w:hint="eastAsia"/>
                            <w:sz w:val="21"/>
                            <w:szCs w:val="21"/>
                          </w:rPr>
                          <w:t>；噪声；扬尘；尾气</w:t>
                        </w:r>
                      </w:p>
                    </w:txbxContent>
                  </v:textbox>
                </v:rect>
                <v:rect id="矩形 68" o:spid="_x0000_s1026" o:spt="1" style="position:absolute;left:9676;top:1166154;height:490;width:1387;" fillcolor="#FFFFFF" filled="t" stroked="t" coordsize="21600,21600" o:gfxdata="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GAIP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77DE1D0E">
                        <w:pPr>
                          <w:spacing w:line="240" w:lineRule="auto"/>
                          <w:ind w:left="0" w:leftChars="0" w:firstLine="0" w:firstLineChars="0"/>
                          <w:jc w:val="both"/>
                          <w:rPr>
                            <w:sz w:val="21"/>
                            <w:szCs w:val="21"/>
                          </w:rPr>
                        </w:pPr>
                        <w:r>
                          <w:rPr>
                            <w:rFonts w:hint="eastAsia"/>
                            <w:sz w:val="21"/>
                            <w:szCs w:val="21"/>
                          </w:rPr>
                          <w:t>调试、运行</w:t>
                        </w:r>
                      </w:p>
                    </w:txbxContent>
                  </v:textbox>
                </v:rect>
                <v:line id="直线 73" o:spid="_x0000_s1026" o:spt="20" style="position:absolute;left:11847;top:1164736;flip:x y;height:510;width:0;" filled="f" stroked="t" coordsize="21600,21600" o:gfxdata="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GW1Ay8AAAA&#10;3AAAAA8AAAAAAAAAAQAgAAAAIgAAAGRycy9kb3ducmV2LnhtbFBLAQIUABQAAAAIAIdO4kAzLwWe&#10;OwAAADkAAAAQAAAAAAAAAAEAIAAAAAsBAABkcnMvc2hhcGV4bWwueG1sUEsFBgAAAAAGAAYAWwEA&#10;ALUDAAAAAA==&#10;">
                  <v:fill on="f" focussize="0,0"/>
                  <v:stroke color="#000000" joinstyle="round" dashstyle="dash" endarrow="block" endarrowlength="long"/>
                  <v:imagedata o:title=""/>
                  <o:lock v:ext="edit" aspectratio="f"/>
                </v:line>
                <v:line id="直线 71" o:spid="_x0000_s1026" o:spt="20" style="position:absolute;left:5509;top:1164715;flip:x y;height:510;width:0;" filled="f" stroked="t" coordsize="21600,21600" o:gfxdata="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8ogMa8AAAA&#10;3AAAAA8AAAAAAAAAAQAgAAAAIgAAAGRycy9kb3ducmV2LnhtbFBLAQIUABQAAAAIAIdO4kAzLwWe&#10;OwAAADkAAAAQAAAAAAAAAAEAIAAAAAsBAABkcnMvc2hhcGV4bWwueG1sUEsFBgAAAAAGAAYAWwEA&#10;ALUDAAAAAA==&#10;">
                  <v:fill on="f" focussize="0,0"/>
                  <v:stroke color="#000000" joinstyle="round" dashstyle="dash" endarrow="block" endarrowlength="long"/>
                  <v:imagedata o:title=""/>
                  <o:lock v:ext="edit" aspectratio="f"/>
                </v:line>
                <v:line id="直线 71" o:spid="_x0000_s1026" o:spt="20" style="position:absolute;left:7619;top:1164741;flip:x y;height:510;width:0;" filled="f" stroked="t" coordsize="21600,21600" o:gfxdata="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6HrG8AAAA&#10;3AAAAA8AAAAAAAAAAQAgAAAAIgAAAGRycy9kb3ducmV2LnhtbFBLAQIUABQAAAAIAIdO4kAzLwWe&#10;OwAAADkAAAAQAAAAAAAAAAEAIAAAAAsBAABkcnMvc2hhcGV4bWwueG1sUEsFBgAAAAAGAAYAWwEA&#10;ALUDAAAAAA==&#10;">
                  <v:fill on="f" focussize="0,0"/>
                  <v:stroke color="#000000" joinstyle="round" dashstyle="dash" endarrow="block" endarrowlength="long"/>
                  <v:imagedata o:title=""/>
                  <o:lock v:ext="edit" aspectratio="f"/>
                </v:line>
                <v:line id="直线 71" o:spid="_x0000_s1026" o:spt="20" style="position:absolute;left:9584;top:1164741;flip:x y;height:510;width:0;" filled="f" stroked="t" coordsize="21600,21600" o:gfxdata="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b2zgL4A&#10;AADcAAAADwAAAAAAAAABACAAAAAiAAAAZHJzL2Rvd25yZXYueG1sUEsBAhQAFAAAAAgAh07iQDMv&#10;BZ47AAAAOQAAABAAAAAAAAAAAQAgAAAADQEAAGRycy9zaGFwZXhtbC54bWxQSwUGAAAAAAYABgBb&#10;AQAAtwMAAAAA&#10;">
                  <v:fill on="f" focussize="0,0"/>
                  <v:stroke color="#000000" joinstyle="round" dashstyle="dash" endarrow="block" endarrowlength="long"/>
                  <v:imagedata o:title=""/>
                  <o:lock v:ext="edit" aspectratio="f"/>
                </v:line>
                <v:line id="直线 69" o:spid="_x0000_s1026" o:spt="20" style="position:absolute;left:11862;top:1165728;height:680;width:0;" filled="f" stroked="t" coordsize="21600,21600" o:gfxdata="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E78LK/&#10;AAAA3AAAAA8AAAAAAAAAAQAgAAAAIgAAAGRycy9kb3ducmV2LnhtbFBLAQIUABQAAAAIAIdO4kAz&#10;LwWeOwAAADkAAAAQAAAAAAAAAAEAIAAAAA4BAABkcnMvc2hhcGV4bWwueG1sUEsFBgAAAAAGAAYA&#10;WwEAALgDAAAAAA==&#10;">
                  <v:fill on="f" focussize="0,0"/>
                  <v:stroke color="#000000 [3213]" joinstyle="round" endarrowlength="long"/>
                  <v:imagedata o:title=""/>
                  <o:lock v:ext="edit" aspectratio="f"/>
                </v:line>
                <v:line id="直线 69" o:spid="_x0000_s1026" o:spt="20" style="position:absolute;left:10294;top:1165514;height:1;width:680;" filled="f" stroked="t" coordsize="21600,21600" o:gfxdata="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YVRUL4A&#10;AADcAAAADwAAAAAAAAABACAAAAAiAAAAZHJzL2Rvd25yZXYueG1sUEsBAhQAFAAAAAgAh07iQDMv&#10;BZ47AAAAOQAAABAAAAAAAAAAAQAgAAAADQEAAGRycy9zaGFwZXhtbC54bWxQSwUGAAAAAAYABgBb&#10;AQAAtwMAAAAA&#10;">
                  <v:fill on="f" focussize="0,0"/>
                  <v:stroke color="#000000" joinstyle="round" endarrow="block" endarrowlength="long"/>
                  <v:imagedata o:title=""/>
                  <o:lock v:ext="edit" aspectratio="f"/>
                </v:line>
              </v:group>
            </w:pict>
          </mc:Fallback>
        </mc:AlternateContent>
      </w:r>
      <w:r>
        <w:rPr>
          <w:rFonts w:hint="default" w:ascii="宋体" w:hAnsi="宋体" w:eastAsia="宋体" w:cs="Times New Roman"/>
          <w:color w:val="000000" w:themeColor="text1"/>
          <w:sz w:val="24"/>
          <w:szCs w:val="20"/>
          <w:lang w:val="en-US" w:eastAsia="zh-CN"/>
          <w14:textFill>
            <w14:solidFill>
              <w14:schemeClr w14:val="tx1"/>
            </w14:solidFill>
          </w14:textFill>
        </w:rPr>
        <w:t>主要产污环节见图</w:t>
      </w:r>
      <w:r>
        <w:rPr>
          <w:rFonts w:hint="eastAsia" w:ascii="宋体" w:hAnsi="宋体" w:eastAsia="宋体" w:cs="Times New Roman"/>
          <w:color w:val="000000" w:themeColor="text1"/>
          <w:sz w:val="24"/>
          <w:szCs w:val="20"/>
          <w:lang w:val="en-US" w:eastAsia="zh-CN"/>
          <w14:textFill>
            <w14:solidFill>
              <w14:schemeClr w14:val="tx1"/>
            </w14:solidFill>
          </w14:textFill>
        </w:rPr>
        <w:t>3.2-2</w:t>
      </w:r>
      <w:r>
        <w:rPr>
          <w:rFonts w:hint="default" w:ascii="宋体" w:hAnsi="宋体" w:eastAsia="宋体" w:cs="Times New Roman"/>
          <w:color w:val="000000" w:themeColor="text1"/>
          <w:sz w:val="24"/>
          <w:szCs w:val="20"/>
          <w:lang w:val="en-US" w:eastAsia="zh-CN"/>
          <w14:textFill>
            <w14:solidFill>
              <w14:schemeClr w14:val="tx1"/>
            </w14:solidFill>
          </w14:textFill>
        </w:rPr>
        <w:t>。</w:t>
      </w:r>
    </w:p>
    <w:p w14:paraId="3B4A1158">
      <w:pPr>
        <w:pStyle w:val="614"/>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textAlignment w:val="auto"/>
        <w:rPr>
          <w:rFonts w:hint="default" w:ascii="Times New Roman" w:hAnsi="Times New Roman" w:cs="Times New Roman"/>
          <w:color w:val="FF0000"/>
          <w:kern w:val="0"/>
        </w:rPr>
      </w:pPr>
    </w:p>
    <w:p w14:paraId="4063EE31">
      <w:pPr>
        <w:pStyle w:val="614"/>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textAlignment w:val="auto"/>
        <w:rPr>
          <w:rFonts w:hint="default" w:ascii="Times New Roman" w:hAnsi="Times New Roman" w:cs="Times New Roman"/>
          <w:color w:val="FF0000"/>
          <w:kern w:val="0"/>
        </w:rPr>
      </w:pPr>
    </w:p>
    <w:p w14:paraId="072F56D0">
      <w:pPr>
        <w:pStyle w:val="614"/>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textAlignment w:val="auto"/>
        <w:rPr>
          <w:rFonts w:hint="default" w:ascii="Times New Roman" w:hAnsi="Times New Roman" w:cs="Times New Roman"/>
          <w:color w:val="FF0000"/>
          <w:kern w:val="0"/>
        </w:rPr>
      </w:pPr>
    </w:p>
    <w:p w14:paraId="6D1A23DF">
      <w:pPr>
        <w:pStyle w:val="614"/>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textAlignment w:val="auto"/>
        <w:rPr>
          <w:rFonts w:hint="default" w:ascii="Times New Roman" w:hAnsi="Times New Roman" w:cs="Times New Roman"/>
          <w:color w:val="FF0000"/>
          <w:kern w:val="0"/>
        </w:rPr>
      </w:pPr>
    </w:p>
    <w:p w14:paraId="017AA0E5">
      <w:pPr>
        <w:pStyle w:val="614"/>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textAlignment w:val="auto"/>
        <w:rPr>
          <w:rFonts w:hint="default" w:ascii="Times New Roman" w:hAnsi="Times New Roman" w:cs="Times New Roman"/>
          <w:color w:val="FF0000"/>
          <w:kern w:val="0"/>
        </w:rPr>
      </w:pPr>
    </w:p>
    <w:p w14:paraId="3EDB76BA">
      <w:pPr>
        <w:spacing w:line="240" w:lineRule="auto"/>
        <w:jc w:val="center"/>
        <w:rPr>
          <w:rFonts w:hint="default" w:ascii="Times New Roman" w:hAnsi="Times New Roman" w:cs="Times New Roman" w:eastAsiaTheme="minorEastAsia"/>
          <w:color w:val="FF0000"/>
          <w:highlight w:val="none"/>
        </w:rPr>
      </w:pPr>
    </w:p>
    <w:p w14:paraId="56D8C813">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center"/>
        <w:textAlignment w:val="auto"/>
        <w:rPr>
          <w:rFonts w:hint="default" w:ascii="Times New Roman" w:hAnsi="Times New Roman" w:cs="Times New Roman" w:eastAsiaTheme="minorEastAsia"/>
          <w:b/>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highlight w:val="none"/>
          <w14:textFill>
            <w14:solidFill>
              <w14:schemeClr w14:val="tx1"/>
            </w14:solidFill>
          </w14:textFill>
        </w:rPr>
        <w:t>图</w:t>
      </w:r>
      <w:r>
        <w:rPr>
          <w:rFonts w:hint="default" w:ascii="Times New Roman" w:hAnsi="Times New Roman" w:cs="Times New Roman" w:eastAsiaTheme="minorEastAsia"/>
          <w:b/>
          <w:bCs/>
          <w:color w:val="000000" w:themeColor="text1"/>
          <w:sz w:val="24"/>
          <w:szCs w:val="24"/>
          <w:highlight w:val="none"/>
          <w:lang w:val="en-US" w:eastAsia="zh-CN"/>
          <w14:textFill>
            <w14:solidFill>
              <w14:schemeClr w14:val="tx1"/>
            </w14:solidFill>
          </w14:textFill>
        </w:rPr>
        <w:t>3.2</w:t>
      </w:r>
      <w:r>
        <w:rPr>
          <w:rFonts w:hint="default" w:ascii="Times New Roman" w:hAnsi="Times New Roman" w:cs="Times New Roman" w:eastAsiaTheme="minorEastAsia"/>
          <w:b/>
          <w:bCs/>
          <w:color w:val="000000" w:themeColor="text1"/>
          <w:sz w:val="24"/>
          <w:szCs w:val="24"/>
          <w:highlight w:val="none"/>
          <w14:textFill>
            <w14:solidFill>
              <w14:schemeClr w14:val="tx1"/>
            </w14:solidFill>
          </w14:textFill>
        </w:rPr>
        <w:t>-</w:t>
      </w:r>
      <w:r>
        <w:rPr>
          <w:rFonts w:hint="default" w:ascii="Times New Roman" w:hAnsi="Times New Roman" w:cs="Times New Roman" w:eastAsiaTheme="minorEastAsia"/>
          <w:b/>
          <w:bCs/>
          <w:color w:val="000000" w:themeColor="text1"/>
          <w:sz w:val="24"/>
          <w:szCs w:val="24"/>
          <w:highlight w:val="none"/>
          <w:lang w:val="en-US" w:eastAsia="zh-CN"/>
          <w14:textFill>
            <w14:solidFill>
              <w14:schemeClr w14:val="tx1"/>
            </w14:solidFill>
          </w14:textFill>
        </w:rPr>
        <w:t>2</w:t>
      </w:r>
      <w:r>
        <w:rPr>
          <w:rFonts w:hint="default" w:ascii="Times New Roman" w:hAnsi="Times New Roman" w:cs="Times New Roman" w:eastAsiaTheme="minorEastAsia"/>
          <w:b/>
          <w:bCs/>
          <w:color w:val="000000" w:themeColor="text1"/>
          <w:sz w:val="24"/>
          <w:szCs w:val="24"/>
          <w:highlight w:val="none"/>
          <w14:textFill>
            <w14:solidFill>
              <w14:schemeClr w14:val="tx1"/>
            </w14:solidFill>
          </w14:textFill>
        </w:rPr>
        <w:t xml:space="preserve">    风电机组施工工艺流程及产污环节</w:t>
      </w:r>
      <w:r>
        <w:rPr>
          <w:rFonts w:hint="default" w:ascii="Times New Roman" w:hAnsi="Times New Roman" w:cs="Times New Roman" w:eastAsiaTheme="minorEastAsia"/>
          <w:b/>
          <w:bCs/>
          <w:color w:val="000000" w:themeColor="text1"/>
          <w:sz w:val="24"/>
          <w:szCs w:val="24"/>
          <w:highlight w:val="none"/>
          <w:lang w:val="en-US" w:eastAsia="zh-CN"/>
          <w14:textFill>
            <w14:solidFill>
              <w14:schemeClr w14:val="tx1"/>
            </w14:solidFill>
          </w14:textFill>
        </w:rPr>
        <w:t>图</w:t>
      </w:r>
    </w:p>
    <w:p w14:paraId="0AC29A65">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cs="Times New Roman" w:eastAsiaTheme="minorEastAsia"/>
          <w:b/>
          <w:color w:val="FF0000"/>
          <w:kern w:val="0"/>
          <w:sz w:val="24"/>
          <w:highlight w:val="none"/>
        </w:rPr>
      </w:pPr>
    </w:p>
    <w:p w14:paraId="737956AF">
      <w:pPr>
        <w:pStyle w:val="12"/>
        <w:keepNext/>
        <w:keepLines/>
        <w:pageBreakBefore w:val="0"/>
        <w:widowControl w:val="0"/>
        <w:numPr>
          <w:ilvl w:val="0"/>
          <w:numId w:val="0"/>
        </w:numPr>
        <w:tabs>
          <w:tab w:val="left" w:pos="1050"/>
        </w:tabs>
        <w:kinsoku/>
        <w:wordWrap/>
        <w:overflowPunct/>
        <w:topLinePunct w:val="0"/>
        <w:autoSpaceDE/>
        <w:autoSpaceDN/>
        <w:bidi w:val="0"/>
        <w:adjustRightInd/>
        <w:snapToGrid/>
        <w:spacing w:before="0" w:beforeLines="0" w:after="0" w:afterLines="0" w:line="360" w:lineRule="auto"/>
        <w:ind w:left="0" w:leftChars="0"/>
        <w:textAlignment w:val="auto"/>
        <w:outlineLvl w:val="3"/>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t>3.2.1.2施工期污染源强分析</w:t>
      </w:r>
    </w:p>
    <w:p w14:paraId="626BEF6A">
      <w:pPr>
        <w:pStyle w:val="614"/>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宋体" w:hAnsi="宋体" w:eastAsia="宋体" w:cs="Times New Roman"/>
          <w:color w:val="000000" w:themeColor="text1"/>
          <w:sz w:val="24"/>
          <w:szCs w:val="20"/>
          <w:lang w:val="en-US" w:eastAsia="zh-CN"/>
          <w14:textFill>
            <w14:solidFill>
              <w14:schemeClr w14:val="tx1"/>
            </w14:solidFill>
          </w14:textFill>
        </w:rPr>
      </w:pPr>
      <w:r>
        <w:rPr>
          <w:rFonts w:hint="default" w:ascii="宋体" w:hAnsi="宋体" w:eastAsia="宋体" w:cs="Times New Roman"/>
          <w:color w:val="000000" w:themeColor="text1"/>
          <w:sz w:val="24"/>
          <w:szCs w:val="20"/>
          <w:lang w:val="en-US" w:eastAsia="zh-CN"/>
          <w14:textFill>
            <w14:solidFill>
              <w14:schemeClr w14:val="tx1"/>
            </w14:solidFill>
          </w14:textFill>
        </w:rPr>
        <w:t>施工期环境污染环节主要有：土方工程开挖、运输产生的扬尘，施工机械、运输车辆排放的废气；施工机械、运输车辆产生的噪声；施工废水、施工人员生活污水；施工人员产生的生活垃圾、多余土方</w:t>
      </w:r>
      <w:r>
        <w:rPr>
          <w:rFonts w:hint="eastAsia" w:ascii="宋体" w:hAnsi="宋体" w:eastAsia="宋体" w:cs="Times New Roman"/>
          <w:color w:val="000000" w:themeColor="text1"/>
          <w:sz w:val="24"/>
          <w:szCs w:val="20"/>
          <w:lang w:val="en-US" w:eastAsia="zh-CN"/>
          <w14:textFill>
            <w14:solidFill>
              <w14:schemeClr w14:val="tx1"/>
            </w14:solidFill>
          </w14:textFill>
        </w:rPr>
        <w:t>、</w:t>
      </w:r>
      <w:r>
        <w:rPr>
          <w:rFonts w:hint="default" w:ascii="宋体" w:hAnsi="宋体" w:eastAsia="宋体" w:cs="Times New Roman"/>
          <w:color w:val="000000" w:themeColor="text1"/>
          <w:sz w:val="24"/>
          <w:szCs w:val="20"/>
          <w:lang w:val="en-US" w:eastAsia="zh-CN"/>
          <w14:textFill>
            <w14:solidFill>
              <w14:schemeClr w14:val="tx1"/>
            </w14:solidFill>
          </w14:textFill>
        </w:rPr>
        <w:t>废包装材料和施工结束后拆除的少量建筑垃圾等固体废物。</w:t>
      </w:r>
    </w:p>
    <w:p w14:paraId="62B7B38A">
      <w:pPr>
        <w:pStyle w:val="614"/>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eastAsiaTheme="minorEastAsia"/>
          <w:b/>
          <w:bCs/>
          <w:snapToGrid w:val="0"/>
          <w:color w:val="000000" w:themeColor="text1"/>
          <w:kern w:val="0"/>
          <w:sz w:val="24"/>
          <w:szCs w:val="20"/>
          <w:highlight w:val="none"/>
          <w:lang w:val="en-US" w:eastAsia="zh-CN"/>
          <w14:textFill>
            <w14:solidFill>
              <w14:schemeClr w14:val="tx1"/>
            </w14:solidFill>
          </w14:textFill>
        </w:rPr>
      </w:pPr>
      <w:r>
        <w:rPr>
          <w:rFonts w:hint="default" w:ascii="Times New Roman" w:hAnsi="Times New Roman" w:cs="Times New Roman" w:eastAsiaTheme="minorEastAsia"/>
          <w:b/>
          <w:bCs/>
          <w:snapToGrid w:val="0"/>
          <w:color w:val="000000" w:themeColor="text1"/>
          <w:kern w:val="0"/>
          <w:sz w:val="24"/>
          <w:szCs w:val="20"/>
          <w:highlight w:val="none"/>
          <w:lang w:val="en-US" w:eastAsia="zh-CN"/>
          <w14:textFill>
            <w14:solidFill>
              <w14:schemeClr w14:val="tx1"/>
            </w14:solidFill>
          </w14:textFill>
        </w:rPr>
        <w:t>（1）废气</w:t>
      </w:r>
    </w:p>
    <w:p w14:paraId="2B3F73C7">
      <w:pPr>
        <w:pStyle w:val="614"/>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宋体" w:hAnsi="宋体" w:eastAsia="宋体" w:cs="Times New Roman"/>
          <w:color w:val="000000" w:themeColor="text1"/>
          <w:sz w:val="24"/>
          <w:szCs w:val="20"/>
          <w:lang w:val="en-US" w:eastAsia="zh-CN"/>
          <w14:textFill>
            <w14:solidFill>
              <w14:schemeClr w14:val="tx1"/>
            </w14:solidFill>
          </w14:textFill>
        </w:rPr>
      </w:pPr>
      <w:r>
        <w:rPr>
          <w:rFonts w:hint="default" w:ascii="宋体" w:hAnsi="宋体" w:eastAsia="宋体" w:cs="Times New Roman"/>
          <w:color w:val="000000" w:themeColor="text1"/>
          <w:sz w:val="24"/>
          <w:szCs w:val="20"/>
          <w:lang w:val="en-US" w:eastAsia="zh-CN"/>
          <w14:textFill>
            <w14:solidFill>
              <w14:schemeClr w14:val="tx1"/>
            </w14:solidFill>
          </w14:textFill>
        </w:rPr>
        <w:t>施工期对环境空气的影响主要是施工扬尘、施工机械和车辆尾气污染。施工期废气污染物排放相对集中，但排放量较小，因此本次评价不进行量化分析。</w:t>
      </w:r>
    </w:p>
    <w:p w14:paraId="68A5E96A">
      <w:pPr>
        <w:pStyle w:val="614"/>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eastAsiaTheme="minorEastAsia"/>
          <w:b/>
          <w:bCs/>
          <w:snapToGrid w:val="0"/>
          <w:color w:val="000000" w:themeColor="text1"/>
          <w:kern w:val="0"/>
          <w:sz w:val="24"/>
          <w:szCs w:val="20"/>
          <w:highlight w:val="none"/>
          <w:lang w:val="en-US" w:eastAsia="zh-CN"/>
          <w14:textFill>
            <w14:solidFill>
              <w14:schemeClr w14:val="tx1"/>
            </w14:solidFill>
          </w14:textFill>
        </w:rPr>
      </w:pPr>
      <w:r>
        <w:rPr>
          <w:rFonts w:hint="default" w:ascii="Times New Roman" w:hAnsi="Times New Roman" w:cs="Times New Roman" w:eastAsiaTheme="minorEastAsia"/>
          <w:b/>
          <w:bCs/>
          <w:snapToGrid w:val="0"/>
          <w:color w:val="000000" w:themeColor="text1"/>
          <w:kern w:val="0"/>
          <w:sz w:val="24"/>
          <w:szCs w:val="20"/>
          <w:highlight w:val="none"/>
          <w:lang w:val="en-US" w:eastAsia="zh-CN"/>
          <w14:textFill>
            <w14:solidFill>
              <w14:schemeClr w14:val="tx1"/>
            </w14:solidFill>
          </w14:textFill>
        </w:rPr>
        <w:t>（2）废水</w:t>
      </w:r>
    </w:p>
    <w:p w14:paraId="1E639EFF">
      <w:pPr>
        <w:pStyle w:val="614"/>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宋体" w:hAnsi="宋体" w:eastAsia="宋体" w:cs="Times New Roman"/>
          <w:color w:val="000000" w:themeColor="text1"/>
          <w:sz w:val="24"/>
          <w:szCs w:val="20"/>
          <w:lang w:val="en-US" w:eastAsia="zh-CN"/>
          <w14:textFill>
            <w14:solidFill>
              <w14:schemeClr w14:val="tx1"/>
            </w14:solidFill>
          </w14:textFill>
        </w:rPr>
      </w:pPr>
      <w:r>
        <w:rPr>
          <w:rFonts w:hint="default" w:ascii="宋体" w:hAnsi="宋体" w:eastAsia="宋体" w:cs="Times New Roman"/>
          <w:color w:val="000000" w:themeColor="text1"/>
          <w:sz w:val="24"/>
          <w:szCs w:val="20"/>
          <w:lang w:val="en-US" w:eastAsia="zh-CN"/>
          <w14:textFill>
            <w14:solidFill>
              <w14:schemeClr w14:val="tx1"/>
            </w14:solidFill>
          </w14:textFill>
        </w:rPr>
        <w:t>①施工废水</w:t>
      </w:r>
    </w:p>
    <w:p w14:paraId="3FAEB543">
      <w:pPr>
        <w:pStyle w:val="614"/>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t>本项目施工场地内不设置机械修配，施工机械修理维护依托</w:t>
      </w:r>
      <w:r>
        <w:rPr>
          <w:rFonts w:hint="eastAsia" w:cs="Times New Roman" w:eastAsiaTheme="minorEastAsia"/>
          <w:snapToGrid w:val="0"/>
          <w:color w:val="000000" w:themeColor="text1"/>
          <w:sz w:val="24"/>
          <w:szCs w:val="20"/>
          <w:highlight w:val="none"/>
          <w:lang w:val="en-US" w:eastAsia="zh-CN"/>
          <w14:textFill>
            <w14:solidFill>
              <w14:schemeClr w14:val="tx1"/>
            </w14:solidFill>
          </w14:textFill>
        </w:rPr>
        <w:t>附近</w:t>
      </w:r>
      <w:r>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t>商业机修站维修。混凝土将依托乌鲁木齐现有的商品混凝土，施工场地内不设置修理厂及混凝土拌合站。因此没有机修废水、砂石冲洗废水产生。</w:t>
      </w:r>
    </w:p>
    <w:p w14:paraId="2718CE03">
      <w:pPr>
        <w:pStyle w:val="614"/>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t>按照《建筑施工扬尘排放标准》（DB6501/T 030-2022），施工场地需设置车辆冲洗平台，产生少量车辆冲洗废水，风电场区施工临建区域建设 1座50m</w:t>
      </w:r>
      <w:r>
        <w:rPr>
          <w:rFonts w:hint="default" w:ascii="Times New Roman" w:hAnsi="Times New Roman" w:cs="Times New Roman" w:eastAsiaTheme="minorEastAsia"/>
          <w:snapToGrid w:val="0"/>
          <w:color w:val="000000" w:themeColor="text1"/>
          <w:sz w:val="24"/>
          <w:szCs w:val="20"/>
          <w:highlight w:val="none"/>
          <w:vertAlign w:val="superscript"/>
          <w:lang w:val="en-US" w:eastAsia="zh-CN"/>
          <w14:textFill>
            <w14:solidFill>
              <w14:schemeClr w14:val="tx1"/>
            </w14:solidFill>
          </w14:textFill>
        </w:rPr>
        <w:t>3</w:t>
      </w:r>
      <w:r>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t>沉淀池，车辆冲洗废水经沉淀池集中收集处理后，循环使用，不外排。</w:t>
      </w:r>
    </w:p>
    <w:p w14:paraId="3573ED34">
      <w:pPr>
        <w:pStyle w:val="614"/>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t>风机、箱变等基础采用混凝土直接浇筑的方式施工，浇筑后表面洒水润湿进行养护，所需用水需采用罐车运送，养护方法为先用吸水材料覆盖混凝土，再在吸水材料上洒水，根据吸收和蒸发情况，适时补充。在养护过程中，大部分养护水被混凝土吸收或被蒸发，不会因养护水漫流而对周边地表水造成影响。</w:t>
      </w:r>
    </w:p>
    <w:p w14:paraId="72AA21A1">
      <w:pPr>
        <w:pStyle w:val="614"/>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t>②施工生活区生活污水</w:t>
      </w:r>
    </w:p>
    <w:p w14:paraId="0D9885FF">
      <w:pPr>
        <w:pStyle w:val="614"/>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t>本项目每日平均施工人员约</w:t>
      </w:r>
      <w:r>
        <w:rPr>
          <w:rFonts w:hint="eastAsia" w:cs="Times New Roman" w:eastAsiaTheme="minorEastAsia"/>
          <w:snapToGrid w:val="0"/>
          <w:color w:val="000000" w:themeColor="text1"/>
          <w:sz w:val="24"/>
          <w:szCs w:val="20"/>
          <w:highlight w:val="none"/>
          <w:lang w:val="en-US" w:eastAsia="zh-CN"/>
          <w14:textFill>
            <w14:solidFill>
              <w14:schemeClr w14:val="tx1"/>
            </w14:solidFill>
          </w14:textFill>
        </w:rPr>
        <w:t>1</w:t>
      </w:r>
      <w:r>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t>00人，根据建设单位提供资料，拟建项目施工期按</w:t>
      </w:r>
      <w:r>
        <w:rPr>
          <w:rFonts w:hint="eastAsia" w:cs="Times New Roman" w:eastAsiaTheme="minorEastAsia"/>
          <w:snapToGrid w:val="0"/>
          <w:color w:val="000000" w:themeColor="text1"/>
          <w:sz w:val="24"/>
          <w:szCs w:val="20"/>
          <w:highlight w:val="none"/>
          <w:lang w:val="en-US" w:eastAsia="zh-CN"/>
          <w14:textFill>
            <w14:solidFill>
              <w14:schemeClr w14:val="tx1"/>
            </w14:solidFill>
          </w14:textFill>
        </w:rPr>
        <w:t>12</w:t>
      </w:r>
      <w:r>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t>个月计算，施工期施工人员生活用水按1m³/人·月计算，生活用水总量为</w:t>
      </w:r>
      <w:r>
        <w:rPr>
          <w:rFonts w:hint="eastAsia" w:cs="Times New Roman" w:eastAsiaTheme="minorEastAsia"/>
          <w:snapToGrid w:val="0"/>
          <w:color w:val="000000" w:themeColor="text1"/>
          <w:sz w:val="24"/>
          <w:szCs w:val="20"/>
          <w:highlight w:val="none"/>
          <w:lang w:val="en-US" w:eastAsia="zh-CN"/>
          <w14:textFill>
            <w14:solidFill>
              <w14:schemeClr w14:val="tx1"/>
            </w14:solidFill>
          </w14:textFill>
        </w:rPr>
        <w:t>12</w:t>
      </w:r>
      <w:r>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t>00m³，生活污水排放系数按照0.8计算，则废水排放量约为</w:t>
      </w:r>
      <w:r>
        <w:rPr>
          <w:rFonts w:hint="eastAsia" w:cs="Times New Roman" w:eastAsiaTheme="minorEastAsia"/>
          <w:snapToGrid w:val="0"/>
          <w:color w:val="000000" w:themeColor="text1"/>
          <w:sz w:val="24"/>
          <w:szCs w:val="20"/>
          <w:highlight w:val="none"/>
          <w:lang w:val="en-US" w:eastAsia="zh-CN"/>
          <w14:textFill>
            <w14:solidFill>
              <w14:schemeClr w14:val="tx1"/>
            </w14:solidFill>
          </w14:textFill>
        </w:rPr>
        <w:t>960</w:t>
      </w:r>
      <w:r>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t>m</w:t>
      </w:r>
      <w:r>
        <w:rPr>
          <w:rFonts w:hint="default" w:ascii="Times New Roman" w:hAnsi="Times New Roman" w:cs="Times New Roman" w:eastAsiaTheme="minorEastAsia"/>
          <w:snapToGrid w:val="0"/>
          <w:color w:val="000000" w:themeColor="text1"/>
          <w:sz w:val="24"/>
          <w:szCs w:val="20"/>
          <w:highlight w:val="none"/>
          <w:vertAlign w:val="superscript"/>
          <w:lang w:val="en-US" w:eastAsia="zh-CN"/>
          <w14:textFill>
            <w14:solidFill>
              <w14:schemeClr w14:val="tx1"/>
            </w14:solidFill>
          </w14:textFill>
        </w:rPr>
        <w:t>3</w:t>
      </w:r>
      <w:r>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t>。生活污水中主要污染物为COD、BOD5、氨氮、SS，浓度分别为SS：250mg/L、BOD5：150mg/L、氨氮：25mg/L、COD：400mg/L。</w:t>
      </w:r>
    </w:p>
    <w:p w14:paraId="301DECB3">
      <w:pPr>
        <w:pStyle w:val="614"/>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t>施工营地生活区设置移动环保厕所及1座100m</w:t>
      </w:r>
      <w:r>
        <w:rPr>
          <w:rFonts w:hint="default" w:ascii="Times New Roman" w:hAnsi="Times New Roman" w:cs="Times New Roman" w:eastAsiaTheme="minorEastAsia"/>
          <w:snapToGrid w:val="0"/>
          <w:color w:val="000000" w:themeColor="text1"/>
          <w:sz w:val="24"/>
          <w:szCs w:val="20"/>
          <w:highlight w:val="none"/>
          <w:vertAlign w:val="superscript"/>
          <w:lang w:val="en-US" w:eastAsia="zh-CN"/>
          <w14:textFill>
            <w14:solidFill>
              <w14:schemeClr w14:val="tx1"/>
            </w14:solidFill>
          </w14:textFill>
        </w:rPr>
        <w:t>3</w:t>
      </w:r>
      <w:r>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t>防渗污水收集池，营地食堂及洗漱废水排入防渗污水收集池；粪便污水排入环保厕所；生活污水及粪便污水定期拉运至污水处理厂处理。施工期结束后将临时废水处理设施拆除并进行相应的土地恢复和平整。</w:t>
      </w:r>
    </w:p>
    <w:p w14:paraId="1CECA744">
      <w:pPr>
        <w:pStyle w:val="614"/>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eastAsiaTheme="minorEastAsia"/>
          <w:b/>
          <w:bCs/>
          <w:snapToGrid w:val="0"/>
          <w:color w:val="000000" w:themeColor="text1"/>
          <w:kern w:val="0"/>
          <w:sz w:val="24"/>
          <w:szCs w:val="20"/>
          <w:highlight w:val="none"/>
          <w:lang w:val="en-US" w:eastAsia="zh-CN"/>
          <w14:textFill>
            <w14:solidFill>
              <w14:schemeClr w14:val="tx1"/>
            </w14:solidFill>
          </w14:textFill>
        </w:rPr>
      </w:pPr>
      <w:r>
        <w:rPr>
          <w:rFonts w:hint="default" w:ascii="Times New Roman" w:hAnsi="Times New Roman" w:cs="Times New Roman" w:eastAsiaTheme="minorEastAsia"/>
          <w:b/>
          <w:bCs/>
          <w:snapToGrid w:val="0"/>
          <w:color w:val="000000" w:themeColor="text1"/>
          <w:kern w:val="0"/>
          <w:sz w:val="24"/>
          <w:szCs w:val="20"/>
          <w:highlight w:val="none"/>
          <w:lang w:val="en-US" w:eastAsia="zh-CN"/>
          <w14:textFill>
            <w14:solidFill>
              <w14:schemeClr w14:val="tx1"/>
            </w14:solidFill>
          </w14:textFill>
        </w:rPr>
        <w:t>（3）噪声</w:t>
      </w:r>
    </w:p>
    <w:p w14:paraId="0D8AD1E0">
      <w:pPr>
        <w:pStyle w:val="614"/>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t>施工期间噪声源主要来自推土机、挖掘机、起重机、运输车辆、平地机、搅拌车等等。主要施工机械噪声值见表3.2-1。</w:t>
      </w:r>
    </w:p>
    <w:p w14:paraId="2996554D">
      <w:pPr>
        <w:pStyle w:val="614"/>
        <w:keepNext w:val="0"/>
        <w:keepLines w:val="0"/>
        <w:pageBreakBefore w:val="0"/>
        <w:widowControl w:val="0"/>
        <w:kinsoku/>
        <w:wordWrap/>
        <w:overflowPunct/>
        <w:topLinePunct w:val="0"/>
        <w:autoSpaceDE/>
        <w:autoSpaceDN/>
        <w:bidi w:val="0"/>
        <w:adjustRightInd w:val="0"/>
        <w:snapToGrid w:val="0"/>
        <w:spacing w:line="240" w:lineRule="auto"/>
        <w:ind w:left="0" w:leftChars="0" w:firstLine="1440" w:firstLineChars="600"/>
        <w:textAlignment w:val="auto"/>
        <w:rPr>
          <w:rFonts w:hint="default" w:ascii="Times New Roman" w:hAnsi="Times New Roman" w:cs="Times New Roman" w:eastAsiaTheme="minorEastAsia"/>
          <w:b/>
          <w:bCs/>
          <w:snapToGrid w:val="0"/>
          <w:color w:val="000000" w:themeColor="text1"/>
          <w:sz w:val="24"/>
          <w:szCs w:val="20"/>
          <w:highlight w:val="none"/>
          <w:lang w:val="en-US" w:eastAsia="zh-CN"/>
          <w14:textFill>
            <w14:solidFill>
              <w14:schemeClr w14:val="tx1"/>
            </w14:solidFill>
          </w14:textFill>
        </w:rPr>
      </w:pPr>
      <w:r>
        <w:rPr>
          <w:rFonts w:hint="default" w:ascii="Times New Roman" w:hAnsi="Times New Roman" w:cs="Times New Roman" w:eastAsiaTheme="minorEastAsia"/>
          <w:b/>
          <w:bCs/>
          <w:snapToGrid w:val="0"/>
          <w:color w:val="000000" w:themeColor="text1"/>
          <w:sz w:val="24"/>
          <w:szCs w:val="20"/>
          <w:highlight w:val="none"/>
          <w:lang w:val="en-US" w:eastAsia="zh-CN"/>
          <w14:textFill>
            <w14:solidFill>
              <w14:schemeClr w14:val="tx1"/>
            </w14:solidFill>
          </w14:textFill>
        </w:rPr>
        <w:t xml:space="preserve">表3.2-1   </w:t>
      </w:r>
      <w:r>
        <w:rPr>
          <w:rFonts w:hint="eastAsia" w:ascii="Times New Roman" w:hAnsi="Times New Roman" w:cs="Times New Roman" w:eastAsiaTheme="minorEastAsia"/>
          <w:b/>
          <w:bCs/>
          <w:snapToGrid w:val="0"/>
          <w:color w:val="000000" w:themeColor="text1"/>
          <w:sz w:val="24"/>
          <w:szCs w:val="20"/>
          <w:highlight w:val="none"/>
          <w:lang w:val="en-US" w:eastAsia="zh-CN"/>
          <w14:textFill>
            <w14:solidFill>
              <w14:schemeClr w14:val="tx1"/>
            </w14:solidFill>
          </w14:textFill>
        </w:rPr>
        <w:t xml:space="preserve">  </w:t>
      </w:r>
      <w:r>
        <w:rPr>
          <w:rFonts w:hint="eastAsia" w:cs="Times New Roman" w:eastAsiaTheme="minorEastAsia"/>
          <w:b/>
          <w:bCs/>
          <w:snapToGrid w:val="0"/>
          <w:color w:val="000000" w:themeColor="text1"/>
          <w:sz w:val="24"/>
          <w:szCs w:val="20"/>
          <w:highlight w:val="none"/>
          <w:lang w:val="en-US" w:eastAsia="zh-CN"/>
          <w14:textFill>
            <w14:solidFill>
              <w14:schemeClr w14:val="tx1"/>
            </w14:solidFill>
          </w14:textFill>
        </w:rPr>
        <w:t xml:space="preserve">   </w:t>
      </w:r>
      <w:r>
        <w:rPr>
          <w:rFonts w:hint="eastAsia" w:ascii="Times New Roman" w:hAnsi="Times New Roman" w:cs="Times New Roman" w:eastAsiaTheme="minorEastAsia"/>
          <w:b/>
          <w:bCs/>
          <w:snapToGrid w:val="0"/>
          <w:color w:val="000000" w:themeColor="text1"/>
          <w:sz w:val="24"/>
          <w:szCs w:val="20"/>
          <w:highlight w:val="none"/>
          <w:lang w:val="en-US" w:eastAsia="zh-CN"/>
          <w14:textFill>
            <w14:solidFill>
              <w14:schemeClr w14:val="tx1"/>
            </w14:solidFill>
          </w14:textFill>
        </w:rPr>
        <w:t xml:space="preserve"> </w:t>
      </w:r>
      <w:r>
        <w:rPr>
          <w:rFonts w:hint="default" w:ascii="Times New Roman" w:hAnsi="Times New Roman" w:cs="Times New Roman" w:eastAsiaTheme="minorEastAsia"/>
          <w:b/>
          <w:bCs/>
          <w:snapToGrid w:val="0"/>
          <w:color w:val="000000" w:themeColor="text1"/>
          <w:sz w:val="24"/>
          <w:szCs w:val="20"/>
          <w:highlight w:val="none"/>
          <w:lang w:val="en-US" w:eastAsia="zh-CN"/>
          <w14:textFill>
            <w14:solidFill>
              <w14:schemeClr w14:val="tx1"/>
            </w14:solidFill>
          </w14:textFill>
        </w:rPr>
        <w:t xml:space="preserve"> 主要施工机械噪声值</w:t>
      </w:r>
    </w:p>
    <w:tbl>
      <w:tblPr>
        <w:tblStyle w:val="75"/>
        <w:tblW w:w="9126" w:type="dxa"/>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28" w:type="dxa"/>
          <w:bottom w:w="0" w:type="dxa"/>
          <w:right w:w="28" w:type="dxa"/>
        </w:tblCellMar>
      </w:tblPr>
      <w:tblGrid>
        <w:gridCol w:w="2281"/>
        <w:gridCol w:w="2281"/>
        <w:gridCol w:w="2282"/>
        <w:gridCol w:w="2282"/>
      </w:tblGrid>
      <w:tr w14:paraId="59A62CDF">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281" w:type="dxa"/>
            <w:tcBorders>
              <w:top w:val="single" w:color="auto" w:sz="12" w:space="0"/>
              <w:left w:val="single" w:color="auto" w:sz="12" w:space="0"/>
              <w:bottom w:val="single" w:color="auto" w:sz="6" w:space="0"/>
            </w:tcBorders>
            <w:vAlign w:val="center"/>
          </w:tcPr>
          <w:p w14:paraId="3E4B134C">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t>声源名称</w:t>
            </w:r>
          </w:p>
        </w:tc>
        <w:tc>
          <w:tcPr>
            <w:tcW w:w="2281" w:type="dxa"/>
            <w:tcBorders>
              <w:top w:val="single" w:color="auto" w:sz="12" w:space="0"/>
              <w:bottom w:val="single" w:color="auto" w:sz="6" w:space="0"/>
              <w:right w:val="single" w:color="auto" w:sz="4" w:space="0"/>
            </w:tcBorders>
            <w:vAlign w:val="center"/>
          </w:tcPr>
          <w:p w14:paraId="3AAE3FBF">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t>噪声级dB(A)</w:t>
            </w:r>
          </w:p>
        </w:tc>
        <w:tc>
          <w:tcPr>
            <w:tcW w:w="2282" w:type="dxa"/>
            <w:tcBorders>
              <w:top w:val="single" w:color="auto" w:sz="12" w:space="0"/>
              <w:left w:val="single" w:color="auto" w:sz="4" w:space="0"/>
              <w:bottom w:val="single" w:color="auto" w:sz="6" w:space="0"/>
              <w:right w:val="single" w:color="auto" w:sz="4" w:space="0"/>
            </w:tcBorders>
            <w:vAlign w:val="center"/>
          </w:tcPr>
          <w:p w14:paraId="11523F78">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t>声源名称</w:t>
            </w:r>
          </w:p>
        </w:tc>
        <w:tc>
          <w:tcPr>
            <w:tcW w:w="2282" w:type="dxa"/>
            <w:tcBorders>
              <w:top w:val="single" w:color="auto" w:sz="12" w:space="0"/>
              <w:left w:val="single" w:color="auto" w:sz="4" w:space="0"/>
              <w:bottom w:val="single" w:color="auto" w:sz="6" w:space="0"/>
              <w:right w:val="single" w:color="auto" w:sz="12" w:space="0"/>
            </w:tcBorders>
            <w:vAlign w:val="center"/>
          </w:tcPr>
          <w:p w14:paraId="3DE1FA2C">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t>噪声级dB(A)</w:t>
            </w:r>
          </w:p>
        </w:tc>
      </w:tr>
      <w:tr w14:paraId="1D47F617">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281" w:type="dxa"/>
            <w:tcBorders>
              <w:top w:val="single" w:color="auto" w:sz="6" w:space="0"/>
              <w:left w:val="single" w:color="auto" w:sz="12" w:space="0"/>
              <w:bottom w:val="single" w:color="auto" w:sz="6" w:space="0"/>
            </w:tcBorders>
            <w:vAlign w:val="center"/>
          </w:tcPr>
          <w:p w14:paraId="6842CAC8">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t>推土机</w:t>
            </w:r>
          </w:p>
        </w:tc>
        <w:tc>
          <w:tcPr>
            <w:tcW w:w="2281" w:type="dxa"/>
            <w:tcBorders>
              <w:top w:val="single" w:color="auto" w:sz="6" w:space="0"/>
              <w:bottom w:val="single" w:color="auto" w:sz="6" w:space="0"/>
              <w:right w:val="single" w:color="auto" w:sz="4" w:space="0"/>
            </w:tcBorders>
            <w:vAlign w:val="center"/>
          </w:tcPr>
          <w:p w14:paraId="3A187EA5">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t>105</w:t>
            </w:r>
          </w:p>
        </w:tc>
        <w:tc>
          <w:tcPr>
            <w:tcW w:w="2282" w:type="dxa"/>
            <w:tcBorders>
              <w:top w:val="single" w:color="auto" w:sz="6" w:space="0"/>
              <w:left w:val="single" w:color="auto" w:sz="4" w:space="0"/>
              <w:bottom w:val="single" w:color="auto" w:sz="6" w:space="0"/>
              <w:right w:val="single" w:color="auto" w:sz="4" w:space="0"/>
            </w:tcBorders>
            <w:vAlign w:val="center"/>
          </w:tcPr>
          <w:p w14:paraId="0B9BDE8E">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t>起重机</w:t>
            </w:r>
          </w:p>
        </w:tc>
        <w:tc>
          <w:tcPr>
            <w:tcW w:w="2282" w:type="dxa"/>
            <w:tcBorders>
              <w:top w:val="single" w:color="auto" w:sz="6" w:space="0"/>
              <w:left w:val="single" w:color="auto" w:sz="4" w:space="0"/>
              <w:bottom w:val="single" w:color="auto" w:sz="6" w:space="0"/>
              <w:right w:val="single" w:color="auto" w:sz="12" w:space="0"/>
            </w:tcBorders>
            <w:vAlign w:val="center"/>
          </w:tcPr>
          <w:p w14:paraId="2BE04D7A">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t>105</w:t>
            </w:r>
          </w:p>
        </w:tc>
      </w:tr>
      <w:tr w14:paraId="36407119">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281" w:type="dxa"/>
            <w:tcBorders>
              <w:top w:val="single" w:color="auto" w:sz="6" w:space="0"/>
              <w:left w:val="single" w:color="auto" w:sz="12" w:space="0"/>
              <w:bottom w:val="single" w:color="auto" w:sz="6" w:space="0"/>
            </w:tcBorders>
            <w:vAlign w:val="center"/>
          </w:tcPr>
          <w:p w14:paraId="6F4CE462">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t>挖掘机</w:t>
            </w:r>
          </w:p>
        </w:tc>
        <w:tc>
          <w:tcPr>
            <w:tcW w:w="2281" w:type="dxa"/>
            <w:tcBorders>
              <w:top w:val="single" w:color="auto" w:sz="6" w:space="0"/>
              <w:bottom w:val="single" w:color="auto" w:sz="6" w:space="0"/>
              <w:right w:val="single" w:color="auto" w:sz="4" w:space="0"/>
            </w:tcBorders>
            <w:vAlign w:val="center"/>
          </w:tcPr>
          <w:p w14:paraId="3EECB6E0">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t>105</w:t>
            </w:r>
          </w:p>
        </w:tc>
        <w:tc>
          <w:tcPr>
            <w:tcW w:w="2282" w:type="dxa"/>
            <w:tcBorders>
              <w:top w:val="single" w:color="auto" w:sz="6" w:space="0"/>
              <w:left w:val="single" w:color="auto" w:sz="4" w:space="0"/>
              <w:bottom w:val="single" w:color="auto" w:sz="6" w:space="0"/>
              <w:right w:val="single" w:color="auto" w:sz="4" w:space="0"/>
            </w:tcBorders>
            <w:vAlign w:val="center"/>
          </w:tcPr>
          <w:p w14:paraId="0563B58B">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t>空压机</w:t>
            </w:r>
          </w:p>
        </w:tc>
        <w:tc>
          <w:tcPr>
            <w:tcW w:w="2282" w:type="dxa"/>
            <w:tcBorders>
              <w:top w:val="single" w:color="auto" w:sz="6" w:space="0"/>
              <w:left w:val="single" w:color="auto" w:sz="4" w:space="0"/>
              <w:bottom w:val="single" w:color="auto" w:sz="6" w:space="0"/>
              <w:right w:val="single" w:color="auto" w:sz="12" w:space="0"/>
            </w:tcBorders>
            <w:vAlign w:val="center"/>
          </w:tcPr>
          <w:p w14:paraId="635D38FB">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t>102</w:t>
            </w:r>
          </w:p>
        </w:tc>
      </w:tr>
      <w:tr w14:paraId="1B450E30">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281" w:type="dxa"/>
            <w:tcBorders>
              <w:top w:val="single" w:color="auto" w:sz="6" w:space="0"/>
              <w:left w:val="single" w:color="auto" w:sz="12" w:space="0"/>
              <w:bottom w:val="single" w:color="auto" w:sz="6" w:space="0"/>
            </w:tcBorders>
            <w:vAlign w:val="center"/>
          </w:tcPr>
          <w:p w14:paraId="106F6ECE">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t>装载机</w:t>
            </w:r>
          </w:p>
        </w:tc>
        <w:tc>
          <w:tcPr>
            <w:tcW w:w="2281" w:type="dxa"/>
            <w:tcBorders>
              <w:top w:val="single" w:color="auto" w:sz="6" w:space="0"/>
              <w:bottom w:val="single" w:color="auto" w:sz="6" w:space="0"/>
              <w:right w:val="single" w:color="auto" w:sz="4" w:space="0"/>
            </w:tcBorders>
            <w:vAlign w:val="center"/>
          </w:tcPr>
          <w:p w14:paraId="188782C9">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t>90</w:t>
            </w:r>
          </w:p>
        </w:tc>
        <w:tc>
          <w:tcPr>
            <w:tcW w:w="2282" w:type="dxa"/>
            <w:tcBorders>
              <w:top w:val="single" w:color="auto" w:sz="6" w:space="0"/>
              <w:left w:val="single" w:color="auto" w:sz="4" w:space="0"/>
              <w:bottom w:val="single" w:color="auto" w:sz="6" w:space="0"/>
              <w:right w:val="single" w:color="auto" w:sz="4" w:space="0"/>
            </w:tcBorders>
            <w:vAlign w:val="center"/>
          </w:tcPr>
          <w:p w14:paraId="46D0210C">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t>振捣器</w:t>
            </w:r>
          </w:p>
        </w:tc>
        <w:tc>
          <w:tcPr>
            <w:tcW w:w="2282" w:type="dxa"/>
            <w:tcBorders>
              <w:top w:val="single" w:color="auto" w:sz="6" w:space="0"/>
              <w:left w:val="single" w:color="auto" w:sz="4" w:space="0"/>
              <w:bottom w:val="single" w:color="auto" w:sz="6" w:space="0"/>
              <w:right w:val="single" w:color="auto" w:sz="12" w:space="0"/>
            </w:tcBorders>
            <w:vAlign w:val="center"/>
          </w:tcPr>
          <w:p w14:paraId="2867AE34">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t>90</w:t>
            </w:r>
          </w:p>
        </w:tc>
      </w:tr>
      <w:tr w14:paraId="3BE64FD1">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281" w:type="dxa"/>
            <w:tcBorders>
              <w:top w:val="single" w:color="auto" w:sz="6" w:space="0"/>
              <w:left w:val="single" w:color="auto" w:sz="12" w:space="0"/>
              <w:bottom w:val="single" w:color="auto" w:sz="6" w:space="0"/>
            </w:tcBorders>
            <w:vAlign w:val="center"/>
          </w:tcPr>
          <w:p w14:paraId="464CFFBB">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t>运输车辆</w:t>
            </w:r>
          </w:p>
        </w:tc>
        <w:tc>
          <w:tcPr>
            <w:tcW w:w="2281" w:type="dxa"/>
            <w:tcBorders>
              <w:top w:val="single" w:color="auto" w:sz="6" w:space="0"/>
              <w:bottom w:val="single" w:color="auto" w:sz="6" w:space="0"/>
              <w:right w:val="single" w:color="auto" w:sz="4" w:space="0"/>
            </w:tcBorders>
            <w:vAlign w:val="center"/>
          </w:tcPr>
          <w:p w14:paraId="2F576FF8">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t>85</w:t>
            </w:r>
          </w:p>
        </w:tc>
        <w:tc>
          <w:tcPr>
            <w:tcW w:w="2282" w:type="dxa"/>
            <w:tcBorders>
              <w:top w:val="single" w:color="auto" w:sz="6" w:space="0"/>
              <w:left w:val="single" w:color="auto" w:sz="4" w:space="0"/>
              <w:bottom w:val="single" w:color="auto" w:sz="6" w:space="0"/>
              <w:right w:val="single" w:color="auto" w:sz="4" w:space="0"/>
            </w:tcBorders>
            <w:vAlign w:val="center"/>
          </w:tcPr>
          <w:p w14:paraId="692B1AC4">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t>钢筋弯曲机</w:t>
            </w:r>
          </w:p>
        </w:tc>
        <w:tc>
          <w:tcPr>
            <w:tcW w:w="2282" w:type="dxa"/>
            <w:tcBorders>
              <w:top w:val="single" w:color="auto" w:sz="6" w:space="0"/>
              <w:left w:val="single" w:color="auto" w:sz="4" w:space="0"/>
              <w:bottom w:val="single" w:color="auto" w:sz="6" w:space="0"/>
              <w:right w:val="single" w:color="auto" w:sz="12" w:space="0"/>
            </w:tcBorders>
            <w:vAlign w:val="center"/>
          </w:tcPr>
          <w:p w14:paraId="1601CEF6">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t>85</w:t>
            </w:r>
          </w:p>
        </w:tc>
      </w:tr>
      <w:tr w14:paraId="73FC126F">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281" w:type="dxa"/>
            <w:tcBorders>
              <w:top w:val="single" w:color="auto" w:sz="6" w:space="0"/>
              <w:left w:val="single" w:color="auto" w:sz="12" w:space="0"/>
              <w:bottom w:val="single" w:color="auto" w:sz="6" w:space="0"/>
            </w:tcBorders>
            <w:vAlign w:val="center"/>
          </w:tcPr>
          <w:p w14:paraId="58FD3DAC">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t>平地机</w:t>
            </w:r>
          </w:p>
        </w:tc>
        <w:tc>
          <w:tcPr>
            <w:tcW w:w="2281" w:type="dxa"/>
            <w:tcBorders>
              <w:top w:val="single" w:color="auto" w:sz="6" w:space="0"/>
              <w:bottom w:val="single" w:color="auto" w:sz="6" w:space="0"/>
              <w:right w:val="single" w:color="auto" w:sz="4" w:space="0"/>
            </w:tcBorders>
            <w:vAlign w:val="center"/>
          </w:tcPr>
          <w:p w14:paraId="38E3B9C7">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t>90</w:t>
            </w:r>
          </w:p>
        </w:tc>
        <w:tc>
          <w:tcPr>
            <w:tcW w:w="2282" w:type="dxa"/>
            <w:tcBorders>
              <w:top w:val="single" w:color="auto" w:sz="6" w:space="0"/>
              <w:left w:val="single" w:color="auto" w:sz="4" w:space="0"/>
              <w:bottom w:val="single" w:color="auto" w:sz="6" w:space="0"/>
              <w:right w:val="single" w:color="auto" w:sz="4" w:space="0"/>
            </w:tcBorders>
            <w:shd w:val="clear" w:color="auto" w:fill="auto"/>
            <w:vAlign w:val="center"/>
          </w:tcPr>
          <w:p w14:paraId="2F2D043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t>卷扬机</w:t>
            </w:r>
          </w:p>
        </w:tc>
        <w:tc>
          <w:tcPr>
            <w:tcW w:w="2282" w:type="dxa"/>
            <w:tcBorders>
              <w:top w:val="single" w:color="auto" w:sz="6" w:space="0"/>
              <w:left w:val="single" w:color="auto" w:sz="4" w:space="0"/>
              <w:bottom w:val="single" w:color="auto" w:sz="6" w:space="0"/>
              <w:right w:val="single" w:color="auto" w:sz="12" w:space="0"/>
            </w:tcBorders>
            <w:shd w:val="clear" w:color="auto" w:fill="auto"/>
            <w:vAlign w:val="center"/>
          </w:tcPr>
          <w:p w14:paraId="60795B6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t>85</w:t>
            </w:r>
          </w:p>
        </w:tc>
      </w:tr>
      <w:tr w14:paraId="4A990B91">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281" w:type="dxa"/>
            <w:tcBorders>
              <w:top w:val="single" w:color="auto" w:sz="6" w:space="0"/>
              <w:left w:val="single" w:color="auto" w:sz="12" w:space="0"/>
              <w:bottom w:val="single" w:color="auto" w:sz="6" w:space="0"/>
            </w:tcBorders>
            <w:vAlign w:val="center"/>
          </w:tcPr>
          <w:p w14:paraId="0E23BFBC">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t>混凝土搅拌车</w:t>
            </w:r>
          </w:p>
        </w:tc>
        <w:tc>
          <w:tcPr>
            <w:tcW w:w="2281" w:type="dxa"/>
            <w:tcBorders>
              <w:top w:val="single" w:color="auto" w:sz="6" w:space="0"/>
              <w:bottom w:val="single" w:color="auto" w:sz="6" w:space="0"/>
              <w:right w:val="single" w:color="auto" w:sz="4" w:space="0"/>
            </w:tcBorders>
            <w:vAlign w:val="center"/>
          </w:tcPr>
          <w:p w14:paraId="411A3203">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t>90</w:t>
            </w:r>
          </w:p>
        </w:tc>
        <w:tc>
          <w:tcPr>
            <w:tcW w:w="2282" w:type="dxa"/>
            <w:tcBorders>
              <w:top w:val="single" w:color="auto" w:sz="6" w:space="0"/>
              <w:left w:val="single" w:color="auto" w:sz="4" w:space="0"/>
              <w:bottom w:val="single" w:color="auto" w:sz="6" w:space="0"/>
              <w:right w:val="single" w:color="auto" w:sz="4" w:space="0"/>
            </w:tcBorders>
            <w:shd w:val="clear" w:color="auto" w:fill="auto"/>
            <w:vAlign w:val="center"/>
          </w:tcPr>
          <w:p w14:paraId="5A04998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t>电锯</w:t>
            </w:r>
          </w:p>
        </w:tc>
        <w:tc>
          <w:tcPr>
            <w:tcW w:w="2282" w:type="dxa"/>
            <w:tcBorders>
              <w:top w:val="single" w:color="auto" w:sz="6" w:space="0"/>
              <w:left w:val="single" w:color="auto" w:sz="4" w:space="0"/>
              <w:bottom w:val="single" w:color="auto" w:sz="6" w:space="0"/>
              <w:right w:val="single" w:color="auto" w:sz="12" w:space="0"/>
            </w:tcBorders>
            <w:shd w:val="clear" w:color="auto" w:fill="auto"/>
            <w:vAlign w:val="center"/>
          </w:tcPr>
          <w:p w14:paraId="38F7415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t>105</w:t>
            </w:r>
          </w:p>
        </w:tc>
      </w:tr>
      <w:tr w14:paraId="3AD7E5B8">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281" w:type="dxa"/>
            <w:tcBorders>
              <w:top w:val="single" w:color="auto" w:sz="6" w:space="0"/>
              <w:left w:val="single" w:color="auto" w:sz="12" w:space="0"/>
              <w:bottom w:val="single" w:color="auto" w:sz="12" w:space="0"/>
            </w:tcBorders>
            <w:vAlign w:val="center"/>
          </w:tcPr>
          <w:p w14:paraId="33E86FA5">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t>切割机</w:t>
            </w:r>
          </w:p>
        </w:tc>
        <w:tc>
          <w:tcPr>
            <w:tcW w:w="2281" w:type="dxa"/>
            <w:tcBorders>
              <w:top w:val="single" w:color="auto" w:sz="6" w:space="0"/>
              <w:bottom w:val="single" w:color="auto" w:sz="12" w:space="0"/>
              <w:right w:val="single" w:color="auto" w:sz="4" w:space="0"/>
            </w:tcBorders>
            <w:vAlign w:val="center"/>
          </w:tcPr>
          <w:p w14:paraId="60D8D2FE">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t>90</w:t>
            </w:r>
          </w:p>
        </w:tc>
        <w:tc>
          <w:tcPr>
            <w:tcW w:w="2282" w:type="dxa"/>
            <w:tcBorders>
              <w:top w:val="single" w:color="auto" w:sz="6" w:space="0"/>
              <w:left w:val="single" w:color="auto" w:sz="4" w:space="0"/>
              <w:bottom w:val="single" w:color="auto" w:sz="12" w:space="0"/>
              <w:right w:val="single" w:color="auto" w:sz="4" w:space="0"/>
            </w:tcBorders>
            <w:vAlign w:val="center"/>
          </w:tcPr>
          <w:p w14:paraId="1712EB64">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t>履带吊</w:t>
            </w:r>
          </w:p>
        </w:tc>
        <w:tc>
          <w:tcPr>
            <w:tcW w:w="2282" w:type="dxa"/>
            <w:tcBorders>
              <w:top w:val="single" w:color="auto" w:sz="6" w:space="0"/>
              <w:left w:val="single" w:color="auto" w:sz="4" w:space="0"/>
              <w:bottom w:val="single" w:color="auto" w:sz="12" w:space="0"/>
              <w:right w:val="single" w:color="auto" w:sz="12" w:space="0"/>
            </w:tcBorders>
            <w:vAlign w:val="center"/>
          </w:tcPr>
          <w:p w14:paraId="5B15E91C">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t>105</w:t>
            </w:r>
          </w:p>
        </w:tc>
      </w:tr>
    </w:tbl>
    <w:p w14:paraId="49CA2FE5">
      <w:pPr>
        <w:pStyle w:val="614"/>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textAlignment w:val="auto"/>
        <w:rPr>
          <w:rFonts w:hint="default" w:ascii="Times New Roman" w:hAnsi="Times New Roman" w:cs="Times New Roman"/>
          <w:color w:val="FF0000"/>
          <w:kern w:val="0"/>
        </w:rPr>
      </w:pPr>
    </w:p>
    <w:p w14:paraId="527AD9B8">
      <w:pPr>
        <w:pStyle w:val="614"/>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eastAsiaTheme="minorEastAsia"/>
          <w:b/>
          <w:bCs/>
          <w:snapToGrid w:val="0"/>
          <w:color w:val="000000" w:themeColor="text1"/>
          <w:kern w:val="0"/>
          <w:sz w:val="24"/>
          <w:szCs w:val="20"/>
          <w:highlight w:val="none"/>
          <w:lang w:val="en-US" w:eastAsia="zh-CN"/>
          <w14:textFill>
            <w14:solidFill>
              <w14:schemeClr w14:val="tx1"/>
            </w14:solidFill>
          </w14:textFill>
        </w:rPr>
      </w:pPr>
      <w:r>
        <w:rPr>
          <w:rFonts w:hint="default" w:ascii="Times New Roman" w:hAnsi="Times New Roman" w:cs="Times New Roman" w:eastAsiaTheme="minorEastAsia"/>
          <w:b/>
          <w:bCs/>
          <w:snapToGrid w:val="0"/>
          <w:color w:val="000000" w:themeColor="text1"/>
          <w:kern w:val="0"/>
          <w:sz w:val="24"/>
          <w:szCs w:val="20"/>
          <w:highlight w:val="none"/>
          <w:lang w:val="en-US" w:eastAsia="zh-CN"/>
          <w14:textFill>
            <w14:solidFill>
              <w14:schemeClr w14:val="tx1"/>
            </w14:solidFill>
          </w14:textFill>
        </w:rPr>
        <w:t>（4）固体废物</w:t>
      </w:r>
    </w:p>
    <w:p w14:paraId="68267E38">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t>本项目施工过程中主要固体废物为施工过程中产生的多余土石方、施工人员产生的生活垃圾、废包装材料和施工结束后拆除的少量建筑垃圾。本项目风电场区每日平均施工人员总计约</w:t>
      </w:r>
      <w:r>
        <w:rPr>
          <w:rFonts w:hint="eastAsia" w:cs="Times New Roman" w:eastAsiaTheme="minorEastAsia"/>
          <w:snapToGrid w:val="0"/>
          <w:color w:val="000000" w:themeColor="text1"/>
          <w:sz w:val="24"/>
          <w:szCs w:val="20"/>
          <w:highlight w:val="none"/>
          <w:lang w:val="en-US" w:eastAsia="zh-CN"/>
          <w14:textFill>
            <w14:solidFill>
              <w14:schemeClr w14:val="tx1"/>
            </w14:solidFill>
          </w14:textFill>
        </w:rPr>
        <w:t>1</w:t>
      </w:r>
      <w:r>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t>00人，施工期为</w:t>
      </w:r>
      <w:r>
        <w:rPr>
          <w:rFonts w:hint="eastAsia" w:cs="Times New Roman" w:eastAsiaTheme="minorEastAsia"/>
          <w:snapToGrid w:val="0"/>
          <w:color w:val="000000" w:themeColor="text1"/>
          <w:sz w:val="24"/>
          <w:szCs w:val="20"/>
          <w:highlight w:val="none"/>
          <w:lang w:val="en-US" w:eastAsia="zh-CN"/>
          <w14:textFill>
            <w14:solidFill>
              <w14:schemeClr w14:val="tx1"/>
            </w14:solidFill>
          </w14:textFill>
        </w:rPr>
        <w:t>12</w:t>
      </w:r>
      <w:r>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t>个月，生活垃圾按1kg/人·d计算，则施工期产生的垃圾总量约</w:t>
      </w:r>
      <w:r>
        <w:rPr>
          <w:rFonts w:hint="eastAsia" w:cs="Times New Roman" w:eastAsiaTheme="minorEastAsia"/>
          <w:snapToGrid w:val="0"/>
          <w:color w:val="000000" w:themeColor="text1"/>
          <w:sz w:val="24"/>
          <w:szCs w:val="20"/>
          <w:highlight w:val="none"/>
          <w:lang w:val="en-US" w:eastAsia="zh-CN"/>
          <w14:textFill>
            <w14:solidFill>
              <w14:schemeClr w14:val="tx1"/>
            </w14:solidFill>
          </w14:textFill>
        </w:rPr>
        <w:t>36.5</w:t>
      </w:r>
      <w:r>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t>t，生活垃圾定期运送到周边垃圾中转站转运，统一处置；根据土石方平衡估算，</w:t>
      </w:r>
      <w:r>
        <w:rPr>
          <w:rFonts w:hint="eastAsia" w:cs="Times New Roman" w:eastAsiaTheme="minorEastAsia"/>
          <w:snapToGrid w:val="0"/>
          <w:color w:val="000000" w:themeColor="text1"/>
          <w:sz w:val="24"/>
          <w:szCs w:val="20"/>
          <w:highlight w:val="none"/>
          <w:lang w:val="en-US" w:eastAsia="zh-CN"/>
          <w14:textFill>
            <w14:solidFill>
              <w14:schemeClr w14:val="tx1"/>
            </w14:solidFill>
          </w14:textFill>
        </w:rPr>
        <w:t>本</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项目开挖土方</w:t>
      </w:r>
      <w:r>
        <w:rPr>
          <w:rFonts w:hint="eastAsia" w:cs="Times New Roman" w:eastAsiaTheme="minorEastAsia"/>
          <w:snapToGrid w:val="0"/>
          <w:color w:val="000000" w:themeColor="text1"/>
          <w:sz w:val="24"/>
          <w:highlight w:val="none"/>
          <w:lang w:val="en-US" w:eastAsia="zh-CN"/>
          <w14:textFill>
            <w14:solidFill>
              <w14:schemeClr w14:val="tx1"/>
            </w14:solidFill>
          </w14:textFill>
        </w:rPr>
        <w:t>21.1322</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万m</w:t>
      </w:r>
      <w:r>
        <w:rPr>
          <w:rFonts w:hint="default" w:ascii="Times New Roman" w:hAnsi="Times New Roman" w:cs="Times New Roman" w:eastAsiaTheme="minorEastAsia"/>
          <w:snapToGrid w:val="0"/>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，回填土方</w:t>
      </w:r>
      <w:r>
        <w:rPr>
          <w:rFonts w:hint="eastAsia" w:cs="Times New Roman" w:eastAsiaTheme="minorEastAsia"/>
          <w:snapToGrid w:val="0"/>
          <w:color w:val="000000" w:themeColor="text1"/>
          <w:sz w:val="24"/>
          <w:highlight w:val="none"/>
          <w:lang w:val="en-US" w:eastAsia="zh-CN"/>
          <w14:textFill>
            <w14:solidFill>
              <w14:schemeClr w14:val="tx1"/>
            </w14:solidFill>
          </w14:textFill>
        </w:rPr>
        <w:t>19.827</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万m</w:t>
      </w:r>
      <w:r>
        <w:rPr>
          <w:rFonts w:hint="default" w:ascii="Times New Roman" w:hAnsi="Times New Roman" w:cs="Times New Roman" w:eastAsiaTheme="minorEastAsia"/>
          <w:snapToGrid w:val="0"/>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w:t>
      </w:r>
      <w:r>
        <w:rPr>
          <w:rFonts w:hint="eastAsia" w:cs="Times New Roman" w:eastAsiaTheme="minorEastAsia"/>
          <w:snapToGrid w:val="0"/>
          <w:color w:val="000000" w:themeColor="text1"/>
          <w:sz w:val="24"/>
          <w:highlight w:val="none"/>
          <w:lang w:val="en-US" w:eastAsia="zh-CN"/>
          <w14:textFill>
            <w14:solidFill>
              <w14:schemeClr w14:val="tx1"/>
            </w14:solidFill>
          </w14:textFill>
        </w:rPr>
        <w:t>区间</w:t>
      </w:r>
      <w:r>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借方3.1437</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万m</w:t>
      </w:r>
      <w:r>
        <w:rPr>
          <w:rFonts w:hint="default" w:ascii="Times New Roman" w:hAnsi="Times New Roman" w:cs="Times New Roman" w:eastAsiaTheme="minorEastAsia"/>
          <w:snapToGrid w:val="0"/>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，借方</w:t>
      </w:r>
      <w:r>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1.3052</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万m</w:t>
      </w:r>
      <w:r>
        <w:rPr>
          <w:rFonts w:hint="default" w:ascii="Times New Roman" w:hAnsi="Times New Roman" w:cs="Times New Roman" w:eastAsiaTheme="minorEastAsia"/>
          <w:snapToGrid w:val="0"/>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w:t>
      </w:r>
      <w:r>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t>来源于外购，不产生弃方。废包装材料产生量约</w:t>
      </w:r>
      <w:r>
        <w:rPr>
          <w:rFonts w:hint="eastAsia" w:cs="Times New Roman" w:eastAsiaTheme="minorEastAsia"/>
          <w:snapToGrid w:val="0"/>
          <w:color w:val="000000" w:themeColor="text1"/>
          <w:sz w:val="24"/>
          <w:szCs w:val="20"/>
          <w:highlight w:val="none"/>
          <w:lang w:val="en-US" w:eastAsia="zh-CN"/>
          <w14:textFill>
            <w14:solidFill>
              <w14:schemeClr w14:val="tx1"/>
            </w14:solidFill>
          </w14:textFill>
        </w:rPr>
        <w:t>4</w:t>
      </w:r>
      <w:r>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t>t，集中收集后，外售综合利用。</w:t>
      </w:r>
      <w:r>
        <w:rPr>
          <w:rFonts w:hint="eastAsia"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t>施工</w:t>
      </w:r>
      <w:r>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t>结束后，临建拆除产生的可回收部分全部集中收集回收利用。本项目共建设</w:t>
      </w:r>
      <w:r>
        <w:rPr>
          <w:rFonts w:hint="eastAsia" w:cs="Times New Roman" w:eastAsiaTheme="minorEastAsia"/>
          <w:snapToGrid w:val="0"/>
          <w:color w:val="000000" w:themeColor="text1"/>
          <w:sz w:val="24"/>
          <w:szCs w:val="20"/>
          <w:highlight w:val="none"/>
          <w:lang w:val="en-US" w:eastAsia="zh-CN"/>
          <w14:textFill>
            <w14:solidFill>
              <w14:schemeClr w14:val="tx1"/>
            </w14:solidFill>
          </w14:textFill>
        </w:rPr>
        <w:t>1</w:t>
      </w:r>
      <w:r>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t>个</w:t>
      </w:r>
      <w:r>
        <w:rPr>
          <w:rFonts w:hint="eastAsia"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t>5</w:t>
      </w:r>
      <w:r>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t>0m</w:t>
      </w:r>
      <w:r>
        <w:rPr>
          <w:rFonts w:hint="default" w:ascii="Times New Roman" w:hAnsi="Times New Roman" w:cs="Times New Roman" w:eastAsiaTheme="minorEastAsia"/>
          <w:snapToGrid w:val="0"/>
          <w:color w:val="000000" w:themeColor="text1"/>
          <w:sz w:val="24"/>
          <w:szCs w:val="20"/>
          <w:highlight w:val="none"/>
          <w:vertAlign w:val="superscript"/>
          <w:lang w:val="en-US" w:eastAsia="zh-CN"/>
          <w14:textFill>
            <w14:solidFill>
              <w14:schemeClr w14:val="tx1"/>
            </w14:solidFill>
          </w14:textFill>
        </w:rPr>
        <w:t>3</w:t>
      </w:r>
      <w:r>
        <w:rPr>
          <w:rFonts w:hint="eastAsia"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t>沉淀池</w:t>
      </w:r>
      <w:r>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t>和</w:t>
      </w:r>
      <w:r>
        <w:rPr>
          <w:rFonts w:hint="eastAsia" w:cs="Times New Roman" w:eastAsiaTheme="minorEastAsia"/>
          <w:snapToGrid w:val="0"/>
          <w:color w:val="000000" w:themeColor="text1"/>
          <w:sz w:val="24"/>
          <w:szCs w:val="20"/>
          <w:highlight w:val="none"/>
          <w:lang w:val="en-US" w:eastAsia="zh-CN"/>
          <w14:textFill>
            <w14:solidFill>
              <w14:schemeClr w14:val="tx1"/>
            </w14:solidFill>
          </w14:textFill>
        </w:rPr>
        <w:t>1</w:t>
      </w:r>
      <w:r>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t>个100m</w:t>
      </w:r>
      <w:r>
        <w:rPr>
          <w:rFonts w:hint="default" w:ascii="Times New Roman" w:hAnsi="Times New Roman" w:cs="Times New Roman" w:eastAsiaTheme="minorEastAsia"/>
          <w:snapToGrid w:val="0"/>
          <w:color w:val="000000" w:themeColor="text1"/>
          <w:sz w:val="24"/>
          <w:szCs w:val="20"/>
          <w:highlight w:val="none"/>
          <w:vertAlign w:val="superscript"/>
          <w:lang w:val="en-US" w:eastAsia="zh-CN"/>
          <w14:textFill>
            <w14:solidFill>
              <w14:schemeClr w14:val="tx1"/>
            </w14:solidFill>
          </w14:textFill>
        </w:rPr>
        <w:t>3</w:t>
      </w:r>
      <w:r>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t>污水收集池，经估算，废砖瓦混凝土砌块产生量约</w:t>
      </w:r>
      <w:r>
        <w:rPr>
          <w:rFonts w:hint="eastAsia" w:cs="Times New Roman" w:eastAsiaTheme="minorEastAsia"/>
          <w:snapToGrid w:val="0"/>
          <w:color w:val="000000" w:themeColor="text1"/>
          <w:sz w:val="24"/>
          <w:szCs w:val="20"/>
          <w:highlight w:val="none"/>
          <w:lang w:val="en-US" w:eastAsia="zh-CN"/>
          <w14:textFill>
            <w14:solidFill>
              <w14:schemeClr w14:val="tx1"/>
            </w14:solidFill>
          </w14:textFill>
        </w:rPr>
        <w:t>10</w:t>
      </w:r>
      <w:r>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t>t，集中收集后拉运至乌鲁木齐市建筑垃圾填埋场处置。</w:t>
      </w:r>
    </w:p>
    <w:p w14:paraId="11923A05">
      <w:pPr>
        <w:pStyle w:val="614"/>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eastAsiaTheme="minorEastAsia"/>
          <w:b/>
          <w:bCs/>
          <w:snapToGrid w:val="0"/>
          <w:color w:val="000000" w:themeColor="text1"/>
          <w:kern w:val="0"/>
          <w:sz w:val="24"/>
          <w:szCs w:val="20"/>
          <w:highlight w:val="none"/>
          <w:lang w:val="en-US" w:eastAsia="zh-CN"/>
          <w14:textFill>
            <w14:solidFill>
              <w14:schemeClr w14:val="tx1"/>
            </w14:solidFill>
          </w14:textFill>
        </w:rPr>
      </w:pPr>
      <w:r>
        <w:rPr>
          <w:rFonts w:hint="default" w:ascii="Times New Roman" w:hAnsi="Times New Roman" w:cs="Times New Roman" w:eastAsiaTheme="minorEastAsia"/>
          <w:b/>
          <w:bCs/>
          <w:snapToGrid w:val="0"/>
          <w:color w:val="000000" w:themeColor="text1"/>
          <w:kern w:val="0"/>
          <w:sz w:val="24"/>
          <w:szCs w:val="20"/>
          <w:highlight w:val="none"/>
          <w:lang w:val="en-US" w:eastAsia="zh-CN"/>
          <w14:textFill>
            <w14:solidFill>
              <w14:schemeClr w14:val="tx1"/>
            </w14:solidFill>
          </w14:textFill>
        </w:rPr>
        <w:t>（5）生态影响</w:t>
      </w:r>
    </w:p>
    <w:p w14:paraId="5572934C">
      <w:pPr>
        <w:pStyle w:val="614"/>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t>①土地利用变化</w:t>
      </w:r>
    </w:p>
    <w:p w14:paraId="4B4CECCA">
      <w:pPr>
        <w:pStyle w:val="614"/>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t>本工程建设将会占用土地，使土地失去原有生态功能。除永久占地外，临时施工区等临时占用土地将对局部生态产生暂时性影响，但施工结束后，一般1-2年内基本可恢复原有土地利用功能。</w:t>
      </w:r>
    </w:p>
    <w:p w14:paraId="4FEBAA9A">
      <w:pPr>
        <w:pStyle w:val="614"/>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t>②对植被影响分析</w:t>
      </w:r>
    </w:p>
    <w:p w14:paraId="0F831F1C">
      <w:pPr>
        <w:pStyle w:val="614"/>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t>施工期由于基础开挖、场地平整、道路施工等工程永久占用土地，地表扰动将使植被生境破坏，生物个体失去生长环境，原有植被遭到永久性破坏，造成生物量损失。</w:t>
      </w:r>
    </w:p>
    <w:p w14:paraId="04C5F618">
      <w:pPr>
        <w:pStyle w:val="614"/>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t>③对野生动物的影响分析</w:t>
      </w:r>
    </w:p>
    <w:p w14:paraId="14FA8E61">
      <w:pPr>
        <w:pStyle w:val="614"/>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t>项目对野生动物的影响主要包括施工占地对其生境的占用和破坏；施工噪音、施工人员活动以及夜间光照等对动物栖息、觅食、求偶繁殖等行为的影响；施工污染物，如废水、弃渣、废弃建筑材料等会在不同程度上对动物及其生境产生一定影响。</w:t>
      </w:r>
    </w:p>
    <w:p w14:paraId="641857AC">
      <w:pPr>
        <w:pStyle w:val="614"/>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t>④对水源保护区的影响</w:t>
      </w:r>
    </w:p>
    <w:p w14:paraId="4DF176A7">
      <w:pPr>
        <w:pStyle w:val="614"/>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t>本项目占用</w:t>
      </w:r>
      <w:r>
        <w:rPr>
          <w:rFonts w:hint="eastAsia" w:ascii="宋体" w:hAnsi="宋体" w:eastAsia="宋体" w:cs="宋体"/>
          <w:color w:val="000000" w:themeColor="text1"/>
          <w:sz w:val="24"/>
          <w:lang w:val="en-US" w:eastAsia="zh-CN"/>
          <w14:textFill>
            <w14:solidFill>
              <w14:schemeClr w14:val="tx1"/>
            </w14:solidFill>
          </w14:textFill>
        </w:rPr>
        <w:t>西山地下饮用水源地二级保护区、</w:t>
      </w:r>
      <w:r>
        <w:rPr>
          <w:rFonts w:hint="eastAsia" w:ascii="宋体" w:hAnsi="宋体" w:eastAsia="宋体"/>
          <w:color w:val="000000" w:themeColor="text1"/>
          <w:sz w:val="24"/>
          <w:highlight w:val="none"/>
          <w14:textFill>
            <w14:solidFill>
              <w14:schemeClr w14:val="tx1"/>
            </w14:solidFill>
          </w14:textFill>
        </w:rPr>
        <w:t>甘河子（含铁路专供）</w:t>
      </w:r>
      <w:r>
        <w:rPr>
          <w:rFonts w:hint="eastAsia" w:ascii="宋体" w:hAnsi="宋体" w:eastAsia="宋体"/>
          <w:color w:val="000000" w:themeColor="text1"/>
          <w:sz w:val="24"/>
          <w:highlight w:val="none"/>
          <w:lang w:val="en-US" w:eastAsia="zh-CN"/>
          <w14:textFill>
            <w14:solidFill>
              <w14:schemeClr w14:val="tx1"/>
            </w14:solidFill>
          </w14:textFill>
        </w:rPr>
        <w:t>地下饮用</w:t>
      </w:r>
      <w:r>
        <w:rPr>
          <w:rFonts w:hint="eastAsia" w:ascii="宋体" w:hAnsi="宋体" w:eastAsia="宋体"/>
          <w:color w:val="000000" w:themeColor="text1"/>
          <w:sz w:val="24"/>
          <w:highlight w:val="none"/>
          <w14:textFill>
            <w14:solidFill>
              <w14:schemeClr w14:val="tx1"/>
            </w14:solidFill>
          </w14:textFill>
        </w:rPr>
        <w:t>水源地</w:t>
      </w:r>
      <w:r>
        <w:rPr>
          <w:rFonts w:hint="eastAsia" w:ascii="宋体" w:hAnsi="宋体" w:eastAsia="宋体"/>
          <w:color w:val="000000" w:themeColor="text1"/>
          <w:sz w:val="24"/>
          <w:highlight w:val="none"/>
          <w:lang w:val="en-US" w:eastAsia="zh-CN"/>
          <w14:textFill>
            <w14:solidFill>
              <w14:schemeClr w14:val="tx1"/>
            </w14:solidFill>
          </w14:textFill>
        </w:rPr>
        <w:t>二级保护区</w:t>
      </w:r>
      <w:r>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t>及乌拉泊、柴西、柴北、西山、甘河子（含铁路专供）准保护区。项目施工期废水、固废</w:t>
      </w:r>
      <w:r>
        <w:rPr>
          <w:rFonts w:hint="eastAsia" w:cs="Times New Roman" w:eastAsiaTheme="minorEastAsia"/>
          <w:snapToGrid w:val="0"/>
          <w:color w:val="000000" w:themeColor="text1"/>
          <w:sz w:val="24"/>
          <w:szCs w:val="20"/>
          <w:highlight w:val="none"/>
          <w:lang w:val="en-US" w:eastAsia="zh-CN"/>
          <w14:textFill>
            <w14:solidFill>
              <w14:schemeClr w14:val="tx1"/>
            </w14:solidFill>
          </w14:textFill>
        </w:rPr>
        <w:t>如果</w:t>
      </w:r>
      <w:r>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t>未得到合理处置，将会污染占地范围内土壤及地下水，可能会污染水源保护区潜水水质。施工期场地平整、施工道路修建、风电、箱变、</w:t>
      </w:r>
      <w:r>
        <w:rPr>
          <w:rFonts w:hint="eastAsia" w:cs="Times New Roman" w:eastAsiaTheme="minorEastAsia"/>
          <w:snapToGrid w:val="0"/>
          <w:color w:val="000000" w:themeColor="text1"/>
          <w:sz w:val="24"/>
          <w:szCs w:val="20"/>
          <w:highlight w:val="none"/>
          <w:lang w:val="en-US" w:eastAsia="zh-CN"/>
          <w14:textFill>
            <w14:solidFill>
              <w14:schemeClr w14:val="tx1"/>
            </w14:solidFill>
          </w14:textFill>
        </w:rPr>
        <w:t>集电</w:t>
      </w:r>
      <w:r>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t>线路杆塔等基础施工中土石方开挖、回填等会造成水土流失，影响水源保护区生态环境。</w:t>
      </w:r>
    </w:p>
    <w:p w14:paraId="456D370E">
      <w:pPr>
        <w:pStyle w:val="614"/>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t>⑤水土流失及土地沙化的影响</w:t>
      </w:r>
    </w:p>
    <w:p w14:paraId="1E96DB5D">
      <w:pPr>
        <w:pStyle w:val="614"/>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t>施工期风电机组、箱变基础开挖与建设、道路修建、集电线路的架设、平整场地等活动，使地表植被和砾幕层遭到破坏、地表局部坡度加大、土体结构松散，改变了外营力与土体抗蚀力之间的自然相对平衡，在外营力的作用下，会诱发、加剧水土流失，造成土地沙化。</w:t>
      </w:r>
    </w:p>
    <w:p w14:paraId="5608AC14">
      <w:pPr>
        <w:pStyle w:val="614"/>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t>⑥景观影响</w:t>
      </w:r>
    </w:p>
    <w:p w14:paraId="4CB351BA">
      <w:pPr>
        <w:pStyle w:val="614"/>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t>风电场施工建设过程中，将不可避免地对项目区周边的自然景观造成不利影响。主要表现为施工道路修建，对连续的自然景观进行切割，使其空间连续性被破坏，在自然的背景上划出明显的人工印迹。风机基础、箱变基础及线路基础开挖，风机吊装平台修建等破坏自然景观完整性。</w:t>
      </w:r>
    </w:p>
    <w:p w14:paraId="4A202462">
      <w:pPr>
        <w:pStyle w:val="614"/>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eastAsiaTheme="minorEastAsia"/>
          <w:b/>
          <w:bCs/>
          <w:snapToGrid w:val="0"/>
          <w:color w:val="000000" w:themeColor="text1"/>
          <w:kern w:val="0"/>
          <w:sz w:val="24"/>
          <w:szCs w:val="20"/>
          <w:highlight w:val="none"/>
          <w:lang w:val="en-US" w:eastAsia="zh-CN"/>
          <w14:textFill>
            <w14:solidFill>
              <w14:schemeClr w14:val="tx1"/>
            </w14:solidFill>
          </w14:textFill>
        </w:rPr>
      </w:pPr>
      <w:r>
        <w:rPr>
          <w:rFonts w:hint="default" w:ascii="Times New Roman" w:hAnsi="Times New Roman" w:cs="Times New Roman" w:eastAsiaTheme="minorEastAsia"/>
          <w:b/>
          <w:bCs/>
          <w:snapToGrid w:val="0"/>
          <w:color w:val="000000" w:themeColor="text1"/>
          <w:kern w:val="0"/>
          <w:sz w:val="24"/>
          <w:szCs w:val="20"/>
          <w:highlight w:val="none"/>
          <w:lang w:val="en-US" w:eastAsia="zh-CN"/>
          <w14:textFill>
            <w14:solidFill>
              <w14:schemeClr w14:val="tx1"/>
            </w14:solidFill>
          </w14:textFill>
        </w:rPr>
        <w:t>（6）施工期污染源强汇总</w:t>
      </w:r>
    </w:p>
    <w:p w14:paraId="53AA0421">
      <w:pPr>
        <w:pStyle w:val="614"/>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t>本项目施工期产生的主要污染物排放源强及处置方式见表3.2-2。</w:t>
      </w:r>
    </w:p>
    <w:p w14:paraId="45F59720">
      <w:pPr>
        <w:pStyle w:val="614"/>
        <w:keepNext w:val="0"/>
        <w:keepLines w:val="0"/>
        <w:pageBreakBefore w:val="0"/>
        <w:widowControl w:val="0"/>
        <w:kinsoku/>
        <w:wordWrap/>
        <w:overflowPunct/>
        <w:topLinePunct w:val="0"/>
        <w:autoSpaceDE/>
        <w:autoSpaceDN/>
        <w:bidi w:val="0"/>
        <w:adjustRightInd w:val="0"/>
        <w:snapToGrid w:val="0"/>
        <w:spacing w:line="240" w:lineRule="auto"/>
        <w:ind w:left="0" w:leftChars="0" w:firstLine="720" w:firstLineChars="300"/>
        <w:textAlignment w:val="auto"/>
        <w:rPr>
          <w:rFonts w:hint="default" w:ascii="Times New Roman" w:hAnsi="Times New Roman" w:cs="Times New Roman" w:eastAsiaTheme="minorEastAsia"/>
          <w:b/>
          <w:bCs/>
          <w:snapToGrid w:val="0"/>
          <w:color w:val="000000" w:themeColor="text1"/>
          <w:sz w:val="24"/>
          <w:szCs w:val="20"/>
          <w:highlight w:val="none"/>
          <w:lang w:val="en-US" w:eastAsia="zh-CN"/>
          <w14:textFill>
            <w14:solidFill>
              <w14:schemeClr w14:val="tx1"/>
            </w14:solidFill>
          </w14:textFill>
        </w:rPr>
      </w:pPr>
      <w:r>
        <w:rPr>
          <w:rFonts w:hint="default" w:ascii="Times New Roman" w:hAnsi="Times New Roman" w:cs="Times New Roman" w:eastAsiaTheme="minorEastAsia"/>
          <w:b/>
          <w:bCs/>
          <w:snapToGrid w:val="0"/>
          <w:color w:val="000000" w:themeColor="text1"/>
          <w:sz w:val="24"/>
          <w:szCs w:val="20"/>
          <w:highlight w:val="none"/>
          <w:lang w:val="en-US" w:eastAsia="zh-CN"/>
          <w14:textFill>
            <w14:solidFill>
              <w14:schemeClr w14:val="tx1"/>
            </w14:solidFill>
          </w14:textFill>
        </w:rPr>
        <w:t>表3.</w:t>
      </w:r>
      <w:r>
        <w:rPr>
          <w:rFonts w:hint="eastAsia" w:cs="Times New Roman" w:eastAsiaTheme="minorEastAsia"/>
          <w:b/>
          <w:bCs/>
          <w:snapToGrid w:val="0"/>
          <w:color w:val="000000" w:themeColor="text1"/>
          <w:sz w:val="24"/>
          <w:szCs w:val="20"/>
          <w:highlight w:val="none"/>
          <w:lang w:val="en-US" w:eastAsia="zh-CN"/>
          <w14:textFill>
            <w14:solidFill>
              <w14:schemeClr w14:val="tx1"/>
            </w14:solidFill>
          </w14:textFill>
        </w:rPr>
        <w:t>2</w:t>
      </w:r>
      <w:r>
        <w:rPr>
          <w:rFonts w:hint="default" w:ascii="Times New Roman" w:hAnsi="Times New Roman" w:cs="Times New Roman" w:eastAsiaTheme="minorEastAsia"/>
          <w:b/>
          <w:bCs/>
          <w:snapToGrid w:val="0"/>
          <w:color w:val="000000" w:themeColor="text1"/>
          <w:sz w:val="24"/>
          <w:szCs w:val="20"/>
          <w:highlight w:val="none"/>
          <w:lang w:val="en-US" w:eastAsia="zh-CN"/>
          <w14:textFill>
            <w14:solidFill>
              <w14:schemeClr w14:val="tx1"/>
            </w14:solidFill>
          </w14:textFill>
        </w:rPr>
        <w:t xml:space="preserve">-2 </w:t>
      </w:r>
      <w:r>
        <w:rPr>
          <w:rFonts w:hint="eastAsia" w:cs="Times New Roman" w:eastAsiaTheme="minorEastAsia"/>
          <w:b/>
          <w:bCs/>
          <w:snapToGrid w:val="0"/>
          <w:color w:val="000000" w:themeColor="text1"/>
          <w:sz w:val="24"/>
          <w:szCs w:val="20"/>
          <w:highlight w:val="none"/>
          <w:lang w:val="en-US" w:eastAsia="zh-CN"/>
          <w14:textFill>
            <w14:solidFill>
              <w14:schemeClr w14:val="tx1"/>
            </w14:solidFill>
          </w14:textFill>
        </w:rPr>
        <w:t xml:space="preserve">    </w:t>
      </w:r>
      <w:r>
        <w:rPr>
          <w:rFonts w:hint="default" w:ascii="Times New Roman" w:hAnsi="Times New Roman" w:cs="Times New Roman" w:eastAsiaTheme="minorEastAsia"/>
          <w:b/>
          <w:bCs/>
          <w:snapToGrid w:val="0"/>
          <w:color w:val="000000" w:themeColor="text1"/>
          <w:sz w:val="24"/>
          <w:szCs w:val="20"/>
          <w:highlight w:val="none"/>
          <w:lang w:val="en-US" w:eastAsia="zh-CN"/>
          <w14:textFill>
            <w14:solidFill>
              <w14:schemeClr w14:val="tx1"/>
            </w14:solidFill>
          </w14:textFill>
        </w:rPr>
        <w:t xml:space="preserve">   施工期主要污染物产生量及排放量汇总表</w:t>
      </w:r>
    </w:p>
    <w:tbl>
      <w:tblPr>
        <w:tblStyle w:val="75"/>
        <w:tblW w:w="5147"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656"/>
        <w:gridCol w:w="611"/>
        <w:gridCol w:w="1272"/>
        <w:gridCol w:w="1562"/>
        <w:gridCol w:w="1437"/>
        <w:gridCol w:w="3714"/>
      </w:tblGrid>
      <w:tr w14:paraId="64E6409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1372" w:type="pct"/>
            <w:gridSpan w:val="3"/>
            <w:vMerge w:val="restart"/>
            <w:tcBorders>
              <w:tl2br w:val="nil"/>
              <w:tr2bl w:val="nil"/>
            </w:tcBorders>
            <w:vAlign w:val="center"/>
          </w:tcPr>
          <w:p w14:paraId="3B5833AD">
            <w:pPr>
              <w:pStyle w:val="309"/>
              <w:keepNext w:val="0"/>
              <w:keepLines w:val="0"/>
              <w:pageBreakBefore w:val="0"/>
              <w:widowControl w:val="0"/>
              <w:kinsoku w:val="0"/>
              <w:wordWrap/>
              <w:overflowPunct w:val="0"/>
              <w:topLinePunct w:val="0"/>
              <w:autoSpaceDE/>
              <w:autoSpaceDN/>
              <w:bidi w:val="0"/>
              <w:adjustRightInd w:val="0"/>
              <w:snapToGrid w:val="0"/>
              <w:spacing w:before="0" w:beforeAutospacing="0" w:line="360" w:lineRule="exact"/>
              <w:ind w:left="0" w:leftChars="0" w:firstLine="0" w:firstLineChars="0"/>
              <w:jc w:val="center"/>
              <w:textAlignment w:val="auto"/>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t>污染源名称</w:t>
            </w:r>
          </w:p>
        </w:tc>
        <w:tc>
          <w:tcPr>
            <w:tcW w:w="1620" w:type="pct"/>
            <w:gridSpan w:val="2"/>
            <w:tcBorders>
              <w:tl2br w:val="nil"/>
              <w:tr2bl w:val="nil"/>
            </w:tcBorders>
            <w:vAlign w:val="center"/>
          </w:tcPr>
          <w:p w14:paraId="66A5D67C">
            <w:pPr>
              <w:pStyle w:val="309"/>
              <w:keepNext w:val="0"/>
              <w:keepLines w:val="0"/>
              <w:pageBreakBefore w:val="0"/>
              <w:widowControl w:val="0"/>
              <w:kinsoku w:val="0"/>
              <w:wordWrap/>
              <w:overflowPunct w:val="0"/>
              <w:topLinePunct w:val="0"/>
              <w:autoSpaceDE/>
              <w:autoSpaceDN/>
              <w:bidi w:val="0"/>
              <w:adjustRightInd w:val="0"/>
              <w:snapToGrid w:val="0"/>
              <w:spacing w:before="0" w:beforeAutospacing="0" w:line="360" w:lineRule="exact"/>
              <w:ind w:left="0" w:leftChars="0" w:firstLine="0" w:firstLineChars="0"/>
              <w:jc w:val="center"/>
              <w:textAlignment w:val="auto"/>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t>主要污染物产生量及排放量</w:t>
            </w:r>
          </w:p>
        </w:tc>
        <w:tc>
          <w:tcPr>
            <w:tcW w:w="2006" w:type="pct"/>
            <w:vMerge w:val="restart"/>
            <w:tcBorders>
              <w:tl2br w:val="nil"/>
              <w:tr2bl w:val="nil"/>
            </w:tcBorders>
            <w:vAlign w:val="center"/>
          </w:tcPr>
          <w:p w14:paraId="13A35143">
            <w:pPr>
              <w:pStyle w:val="309"/>
              <w:keepNext w:val="0"/>
              <w:keepLines w:val="0"/>
              <w:pageBreakBefore w:val="0"/>
              <w:widowControl w:val="0"/>
              <w:kinsoku w:val="0"/>
              <w:wordWrap/>
              <w:overflowPunct w:val="0"/>
              <w:topLinePunct w:val="0"/>
              <w:autoSpaceDE/>
              <w:autoSpaceDN/>
              <w:bidi w:val="0"/>
              <w:adjustRightInd w:val="0"/>
              <w:snapToGrid w:val="0"/>
              <w:spacing w:before="0" w:beforeAutospacing="0" w:line="360" w:lineRule="exact"/>
              <w:ind w:left="0" w:leftChars="0" w:firstLine="0" w:firstLineChars="0"/>
              <w:jc w:val="center"/>
              <w:textAlignment w:val="auto"/>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t>处理、处置方式及去向</w:t>
            </w:r>
          </w:p>
        </w:tc>
      </w:tr>
      <w:tr w14:paraId="624A065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1372" w:type="pct"/>
            <w:gridSpan w:val="3"/>
            <w:vMerge w:val="continue"/>
            <w:tcBorders>
              <w:tl2br w:val="nil"/>
              <w:tr2bl w:val="nil"/>
            </w:tcBorders>
            <w:vAlign w:val="center"/>
          </w:tcPr>
          <w:p w14:paraId="3939D572">
            <w:pPr>
              <w:pStyle w:val="309"/>
              <w:keepNext w:val="0"/>
              <w:keepLines w:val="0"/>
              <w:pageBreakBefore w:val="0"/>
              <w:widowControl w:val="0"/>
              <w:kinsoku w:val="0"/>
              <w:wordWrap/>
              <w:overflowPunct w:val="0"/>
              <w:topLinePunct w:val="0"/>
              <w:autoSpaceDE/>
              <w:autoSpaceDN/>
              <w:bidi w:val="0"/>
              <w:adjustRightInd w:val="0"/>
              <w:snapToGrid w:val="0"/>
              <w:spacing w:before="0" w:beforeAutospacing="0" w:line="360" w:lineRule="exact"/>
              <w:ind w:left="0" w:leftChars="0" w:firstLine="0" w:firstLineChars="0"/>
              <w:jc w:val="center"/>
              <w:textAlignment w:val="auto"/>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pPr>
          </w:p>
        </w:tc>
        <w:tc>
          <w:tcPr>
            <w:tcW w:w="844" w:type="pct"/>
            <w:tcBorders>
              <w:tl2br w:val="nil"/>
              <w:tr2bl w:val="nil"/>
            </w:tcBorders>
            <w:vAlign w:val="center"/>
          </w:tcPr>
          <w:p w14:paraId="68C46D03">
            <w:pPr>
              <w:pStyle w:val="309"/>
              <w:keepNext w:val="0"/>
              <w:keepLines w:val="0"/>
              <w:pageBreakBefore w:val="0"/>
              <w:widowControl w:val="0"/>
              <w:kinsoku w:val="0"/>
              <w:wordWrap/>
              <w:overflowPunct w:val="0"/>
              <w:topLinePunct w:val="0"/>
              <w:autoSpaceDE/>
              <w:autoSpaceDN/>
              <w:bidi w:val="0"/>
              <w:adjustRightInd w:val="0"/>
              <w:snapToGrid w:val="0"/>
              <w:spacing w:before="0" w:beforeAutospacing="0" w:line="360" w:lineRule="exact"/>
              <w:ind w:left="0" w:leftChars="0" w:firstLine="0" w:firstLineChars="0"/>
              <w:jc w:val="center"/>
              <w:textAlignment w:val="auto"/>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t>产生量</w:t>
            </w:r>
          </w:p>
        </w:tc>
        <w:tc>
          <w:tcPr>
            <w:tcW w:w="776" w:type="pct"/>
            <w:tcBorders>
              <w:tl2br w:val="nil"/>
              <w:tr2bl w:val="nil"/>
            </w:tcBorders>
            <w:vAlign w:val="center"/>
          </w:tcPr>
          <w:p w14:paraId="349AD951">
            <w:pPr>
              <w:pStyle w:val="309"/>
              <w:keepNext w:val="0"/>
              <w:keepLines w:val="0"/>
              <w:pageBreakBefore w:val="0"/>
              <w:widowControl w:val="0"/>
              <w:kinsoku w:val="0"/>
              <w:wordWrap/>
              <w:overflowPunct w:val="0"/>
              <w:topLinePunct w:val="0"/>
              <w:autoSpaceDE/>
              <w:autoSpaceDN/>
              <w:bidi w:val="0"/>
              <w:adjustRightInd w:val="0"/>
              <w:snapToGrid w:val="0"/>
              <w:spacing w:before="0" w:beforeAutospacing="0" w:line="360" w:lineRule="exact"/>
              <w:ind w:left="0" w:leftChars="0" w:firstLine="0" w:firstLineChars="0"/>
              <w:jc w:val="center"/>
              <w:textAlignment w:val="auto"/>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t>排放量</w:t>
            </w:r>
          </w:p>
        </w:tc>
        <w:tc>
          <w:tcPr>
            <w:tcW w:w="2006" w:type="pct"/>
            <w:vMerge w:val="continue"/>
            <w:tcBorders>
              <w:tl2br w:val="nil"/>
              <w:tr2bl w:val="nil"/>
            </w:tcBorders>
            <w:vAlign w:val="center"/>
          </w:tcPr>
          <w:p w14:paraId="1965EF4E">
            <w:pPr>
              <w:pStyle w:val="309"/>
              <w:keepNext w:val="0"/>
              <w:keepLines w:val="0"/>
              <w:pageBreakBefore w:val="0"/>
              <w:widowControl w:val="0"/>
              <w:kinsoku w:val="0"/>
              <w:wordWrap/>
              <w:overflowPunct w:val="0"/>
              <w:topLinePunct w:val="0"/>
              <w:autoSpaceDE/>
              <w:autoSpaceDN/>
              <w:bidi w:val="0"/>
              <w:adjustRightInd w:val="0"/>
              <w:snapToGrid w:val="0"/>
              <w:spacing w:before="0" w:beforeAutospacing="0" w:line="360" w:lineRule="exact"/>
              <w:ind w:left="0" w:leftChars="0" w:firstLine="0" w:firstLineChars="0"/>
              <w:jc w:val="center"/>
              <w:textAlignment w:val="auto"/>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pPr>
          </w:p>
        </w:tc>
      </w:tr>
      <w:tr w14:paraId="1646941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55" w:type="pct"/>
            <w:tcBorders>
              <w:tl2br w:val="nil"/>
              <w:tr2bl w:val="nil"/>
            </w:tcBorders>
            <w:vAlign w:val="center"/>
          </w:tcPr>
          <w:p w14:paraId="12603B5A">
            <w:pPr>
              <w:pStyle w:val="309"/>
              <w:keepNext w:val="0"/>
              <w:keepLines w:val="0"/>
              <w:pageBreakBefore w:val="0"/>
              <w:widowControl w:val="0"/>
              <w:kinsoku w:val="0"/>
              <w:wordWrap/>
              <w:overflowPunct w:val="0"/>
              <w:topLinePunct w:val="0"/>
              <w:autoSpaceDE/>
              <w:autoSpaceDN/>
              <w:bidi w:val="0"/>
              <w:adjustRightInd w:val="0"/>
              <w:snapToGrid w:val="0"/>
              <w:spacing w:before="0" w:beforeAutospacing="0" w:line="360" w:lineRule="exact"/>
              <w:ind w:left="0" w:leftChars="0" w:firstLine="0" w:firstLineChars="0"/>
              <w:jc w:val="center"/>
              <w:textAlignment w:val="auto"/>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t>废气</w:t>
            </w:r>
          </w:p>
        </w:tc>
        <w:tc>
          <w:tcPr>
            <w:tcW w:w="1017" w:type="pct"/>
            <w:gridSpan w:val="2"/>
            <w:tcBorders>
              <w:tl2br w:val="nil"/>
              <w:tr2bl w:val="nil"/>
            </w:tcBorders>
            <w:vAlign w:val="center"/>
          </w:tcPr>
          <w:p w14:paraId="02ECF2D2">
            <w:pPr>
              <w:pStyle w:val="309"/>
              <w:keepNext w:val="0"/>
              <w:keepLines w:val="0"/>
              <w:pageBreakBefore w:val="0"/>
              <w:widowControl w:val="0"/>
              <w:kinsoku w:val="0"/>
              <w:wordWrap/>
              <w:overflowPunct w:val="0"/>
              <w:topLinePunct w:val="0"/>
              <w:autoSpaceDE/>
              <w:autoSpaceDN/>
              <w:bidi w:val="0"/>
              <w:adjustRightInd w:val="0"/>
              <w:snapToGrid w:val="0"/>
              <w:spacing w:before="0" w:beforeAutospacing="0" w:line="360" w:lineRule="exact"/>
              <w:ind w:left="0" w:leftChars="0" w:firstLine="0" w:firstLineChars="0"/>
              <w:jc w:val="center"/>
              <w:textAlignment w:val="auto"/>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t>施工扬尘及道路扬尘（TSP）</w:t>
            </w:r>
          </w:p>
        </w:tc>
        <w:tc>
          <w:tcPr>
            <w:tcW w:w="1620" w:type="pct"/>
            <w:gridSpan w:val="2"/>
            <w:tcBorders>
              <w:tl2br w:val="nil"/>
              <w:tr2bl w:val="nil"/>
            </w:tcBorders>
            <w:vAlign w:val="center"/>
          </w:tcPr>
          <w:p w14:paraId="1AF05EDD">
            <w:pPr>
              <w:pStyle w:val="309"/>
              <w:keepNext w:val="0"/>
              <w:keepLines w:val="0"/>
              <w:pageBreakBefore w:val="0"/>
              <w:widowControl w:val="0"/>
              <w:kinsoku w:val="0"/>
              <w:wordWrap/>
              <w:overflowPunct w:val="0"/>
              <w:topLinePunct w:val="0"/>
              <w:autoSpaceDE/>
              <w:autoSpaceDN/>
              <w:bidi w:val="0"/>
              <w:adjustRightInd w:val="0"/>
              <w:snapToGrid w:val="0"/>
              <w:spacing w:before="0" w:beforeAutospacing="0" w:line="360" w:lineRule="exact"/>
              <w:ind w:left="0" w:leftChars="0" w:firstLine="0" w:firstLineChars="0"/>
              <w:jc w:val="center"/>
              <w:textAlignment w:val="auto"/>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t>少量</w:t>
            </w:r>
          </w:p>
        </w:tc>
        <w:tc>
          <w:tcPr>
            <w:tcW w:w="2006" w:type="pct"/>
            <w:tcBorders>
              <w:tl2br w:val="nil"/>
              <w:tr2bl w:val="nil"/>
            </w:tcBorders>
            <w:vAlign w:val="center"/>
          </w:tcPr>
          <w:p w14:paraId="3945FB0B">
            <w:pPr>
              <w:pStyle w:val="309"/>
              <w:keepNext w:val="0"/>
              <w:keepLines w:val="0"/>
              <w:pageBreakBefore w:val="0"/>
              <w:widowControl w:val="0"/>
              <w:kinsoku w:val="0"/>
              <w:wordWrap/>
              <w:overflowPunct w:val="0"/>
              <w:topLinePunct w:val="0"/>
              <w:autoSpaceDE/>
              <w:autoSpaceDN/>
              <w:bidi w:val="0"/>
              <w:adjustRightInd w:val="0"/>
              <w:snapToGrid w:val="0"/>
              <w:spacing w:before="0" w:beforeAutospacing="0" w:line="360" w:lineRule="exact"/>
              <w:ind w:left="0" w:leftChars="0" w:firstLine="0" w:firstLineChars="0"/>
              <w:jc w:val="center"/>
              <w:textAlignment w:val="auto"/>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t>无组织排放，采取洒水、遮盖等措施</w:t>
            </w:r>
          </w:p>
        </w:tc>
      </w:tr>
      <w:tr w14:paraId="4C85F25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55" w:type="pct"/>
            <w:vMerge w:val="restart"/>
            <w:tcBorders>
              <w:tl2br w:val="nil"/>
              <w:tr2bl w:val="nil"/>
            </w:tcBorders>
            <w:vAlign w:val="center"/>
          </w:tcPr>
          <w:p w14:paraId="35A305E9">
            <w:pPr>
              <w:pStyle w:val="309"/>
              <w:keepNext w:val="0"/>
              <w:keepLines w:val="0"/>
              <w:pageBreakBefore w:val="0"/>
              <w:widowControl w:val="0"/>
              <w:kinsoku w:val="0"/>
              <w:wordWrap/>
              <w:overflowPunct w:val="0"/>
              <w:topLinePunct w:val="0"/>
              <w:autoSpaceDE/>
              <w:autoSpaceDN/>
              <w:bidi w:val="0"/>
              <w:adjustRightInd w:val="0"/>
              <w:snapToGrid w:val="0"/>
              <w:spacing w:before="0" w:beforeAutospacing="0" w:line="360" w:lineRule="exact"/>
              <w:ind w:left="0" w:leftChars="0" w:firstLine="0" w:firstLineChars="0"/>
              <w:jc w:val="center"/>
              <w:textAlignment w:val="auto"/>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t>废水</w:t>
            </w:r>
          </w:p>
        </w:tc>
        <w:tc>
          <w:tcPr>
            <w:tcW w:w="330" w:type="pct"/>
            <w:vMerge w:val="restart"/>
            <w:tcBorders>
              <w:tl2br w:val="nil"/>
              <w:tr2bl w:val="nil"/>
            </w:tcBorders>
            <w:vAlign w:val="center"/>
          </w:tcPr>
          <w:p w14:paraId="424B0672">
            <w:pPr>
              <w:pStyle w:val="309"/>
              <w:keepNext w:val="0"/>
              <w:keepLines w:val="0"/>
              <w:pageBreakBefore w:val="0"/>
              <w:widowControl w:val="0"/>
              <w:kinsoku w:val="0"/>
              <w:wordWrap/>
              <w:overflowPunct w:val="0"/>
              <w:topLinePunct w:val="0"/>
              <w:autoSpaceDE/>
              <w:autoSpaceDN/>
              <w:bidi w:val="0"/>
              <w:adjustRightInd w:val="0"/>
              <w:snapToGrid w:val="0"/>
              <w:spacing w:before="0" w:beforeAutospacing="0" w:line="360" w:lineRule="exact"/>
              <w:ind w:left="0" w:leftChars="0" w:firstLine="0" w:firstLineChars="0"/>
              <w:jc w:val="center"/>
              <w:textAlignment w:val="auto"/>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t>生活污水</w:t>
            </w:r>
          </w:p>
        </w:tc>
        <w:tc>
          <w:tcPr>
            <w:tcW w:w="686" w:type="pct"/>
            <w:tcBorders>
              <w:tl2br w:val="nil"/>
              <w:tr2bl w:val="nil"/>
            </w:tcBorders>
            <w:vAlign w:val="center"/>
          </w:tcPr>
          <w:p w14:paraId="18BDDC74">
            <w:pPr>
              <w:pStyle w:val="309"/>
              <w:keepNext w:val="0"/>
              <w:keepLines w:val="0"/>
              <w:pageBreakBefore w:val="0"/>
              <w:widowControl w:val="0"/>
              <w:kinsoku w:val="0"/>
              <w:wordWrap/>
              <w:overflowPunct w:val="0"/>
              <w:topLinePunct w:val="0"/>
              <w:autoSpaceDE/>
              <w:autoSpaceDN/>
              <w:bidi w:val="0"/>
              <w:adjustRightInd w:val="0"/>
              <w:snapToGrid w:val="0"/>
              <w:spacing w:before="0" w:beforeAutospacing="0" w:line="360" w:lineRule="exact"/>
              <w:ind w:left="0" w:leftChars="0" w:firstLine="0" w:firstLineChars="0"/>
              <w:jc w:val="center"/>
              <w:textAlignment w:val="auto"/>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t>废水量</w:t>
            </w:r>
          </w:p>
        </w:tc>
        <w:tc>
          <w:tcPr>
            <w:tcW w:w="844" w:type="pct"/>
            <w:tcBorders>
              <w:tl2br w:val="nil"/>
              <w:tr2bl w:val="nil"/>
            </w:tcBorders>
            <w:vAlign w:val="center"/>
          </w:tcPr>
          <w:p w14:paraId="60C96207">
            <w:pPr>
              <w:pStyle w:val="309"/>
              <w:keepNext w:val="0"/>
              <w:keepLines w:val="0"/>
              <w:pageBreakBefore w:val="0"/>
              <w:widowControl w:val="0"/>
              <w:kinsoku w:val="0"/>
              <w:wordWrap/>
              <w:overflowPunct w:val="0"/>
              <w:topLinePunct w:val="0"/>
              <w:autoSpaceDE/>
              <w:autoSpaceDN/>
              <w:bidi w:val="0"/>
              <w:adjustRightInd w:val="0"/>
              <w:snapToGrid w:val="0"/>
              <w:spacing w:before="0" w:beforeAutospacing="0" w:line="360" w:lineRule="exact"/>
              <w:ind w:left="0" w:leftChars="0" w:firstLine="0" w:firstLineChars="0"/>
              <w:jc w:val="center"/>
              <w:textAlignment w:val="auto"/>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pPr>
            <w:r>
              <w:rPr>
                <w:rFonts w:hint="eastAsia" w:cs="Times New Roman" w:eastAsiaTheme="minorEastAsia"/>
                <w:snapToGrid w:val="0"/>
                <w:color w:val="000000" w:themeColor="text1"/>
                <w:sz w:val="21"/>
                <w:szCs w:val="21"/>
                <w:highlight w:val="none"/>
                <w:lang w:val="en-US" w:eastAsia="zh-CN"/>
                <w14:textFill>
                  <w14:solidFill>
                    <w14:schemeClr w14:val="tx1"/>
                  </w14:solidFill>
                </w14:textFill>
              </w:rPr>
              <w:t>960</w:t>
            </w:r>
            <w:r>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t>m</w:t>
            </w:r>
            <w:r>
              <w:rPr>
                <w:rFonts w:hint="default" w:ascii="Times New Roman" w:hAnsi="Times New Roman" w:cs="Times New Roman" w:eastAsiaTheme="minorEastAsia"/>
                <w:snapToGrid w:val="0"/>
                <w:color w:val="000000" w:themeColor="text1"/>
                <w:sz w:val="21"/>
                <w:szCs w:val="21"/>
                <w:highlight w:val="none"/>
                <w:vertAlign w:val="superscript"/>
                <w:lang w:val="en-US" w:eastAsia="zh-CN"/>
                <w14:textFill>
                  <w14:solidFill>
                    <w14:schemeClr w14:val="tx1"/>
                  </w14:solidFill>
                </w14:textFill>
              </w:rPr>
              <w:t>3</w:t>
            </w:r>
          </w:p>
        </w:tc>
        <w:tc>
          <w:tcPr>
            <w:tcW w:w="776" w:type="pct"/>
            <w:tcBorders>
              <w:tl2br w:val="nil"/>
              <w:tr2bl w:val="nil"/>
            </w:tcBorders>
            <w:vAlign w:val="center"/>
          </w:tcPr>
          <w:p w14:paraId="25A583E6">
            <w:pPr>
              <w:pStyle w:val="309"/>
              <w:keepNext w:val="0"/>
              <w:keepLines w:val="0"/>
              <w:pageBreakBefore w:val="0"/>
              <w:widowControl w:val="0"/>
              <w:kinsoku w:val="0"/>
              <w:wordWrap/>
              <w:overflowPunct w:val="0"/>
              <w:topLinePunct w:val="0"/>
              <w:autoSpaceDE/>
              <w:autoSpaceDN/>
              <w:bidi w:val="0"/>
              <w:adjustRightInd w:val="0"/>
              <w:snapToGrid w:val="0"/>
              <w:spacing w:before="0" w:beforeAutospacing="0" w:line="360" w:lineRule="exact"/>
              <w:ind w:left="0" w:leftChars="0" w:firstLine="0" w:firstLineChars="0"/>
              <w:jc w:val="center"/>
              <w:textAlignment w:val="auto"/>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t>0</w:t>
            </w:r>
          </w:p>
        </w:tc>
        <w:tc>
          <w:tcPr>
            <w:tcW w:w="2006" w:type="pct"/>
            <w:vMerge w:val="restart"/>
            <w:tcBorders>
              <w:tl2br w:val="nil"/>
              <w:tr2bl w:val="nil"/>
            </w:tcBorders>
            <w:vAlign w:val="center"/>
          </w:tcPr>
          <w:p w14:paraId="35C25A76">
            <w:pPr>
              <w:pStyle w:val="309"/>
              <w:keepNext w:val="0"/>
              <w:keepLines w:val="0"/>
              <w:pageBreakBefore w:val="0"/>
              <w:widowControl w:val="0"/>
              <w:kinsoku w:val="0"/>
              <w:wordWrap/>
              <w:overflowPunct w:val="0"/>
              <w:topLinePunct w:val="0"/>
              <w:autoSpaceDE/>
              <w:autoSpaceDN/>
              <w:bidi w:val="0"/>
              <w:adjustRightInd w:val="0"/>
              <w:snapToGrid w:val="0"/>
              <w:spacing w:before="0" w:beforeAutospacing="0" w:line="360" w:lineRule="exact"/>
              <w:ind w:left="0" w:leftChars="0" w:firstLine="0" w:firstLineChars="0"/>
              <w:jc w:val="center"/>
              <w:textAlignment w:val="auto"/>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t>施工期生活污水由施工营地配置的移动式环保厕所和防渗污水收集池集中收集，委托环卫部门采用吸污车统一清运。</w:t>
            </w:r>
          </w:p>
        </w:tc>
      </w:tr>
      <w:tr w14:paraId="75F256C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55" w:type="pct"/>
            <w:vMerge w:val="continue"/>
            <w:tcBorders>
              <w:tl2br w:val="nil"/>
              <w:tr2bl w:val="nil"/>
            </w:tcBorders>
            <w:vAlign w:val="center"/>
          </w:tcPr>
          <w:p w14:paraId="2AB46479">
            <w:pPr>
              <w:pStyle w:val="309"/>
              <w:keepNext w:val="0"/>
              <w:keepLines w:val="0"/>
              <w:pageBreakBefore w:val="0"/>
              <w:widowControl w:val="0"/>
              <w:kinsoku w:val="0"/>
              <w:wordWrap/>
              <w:overflowPunct w:val="0"/>
              <w:topLinePunct w:val="0"/>
              <w:autoSpaceDE/>
              <w:autoSpaceDN/>
              <w:bidi w:val="0"/>
              <w:adjustRightInd w:val="0"/>
              <w:snapToGrid w:val="0"/>
              <w:spacing w:before="0" w:beforeAutospacing="0" w:line="360" w:lineRule="exact"/>
              <w:ind w:left="0" w:leftChars="0" w:firstLine="0" w:firstLineChars="0"/>
              <w:jc w:val="center"/>
              <w:textAlignment w:val="auto"/>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pPr>
          </w:p>
        </w:tc>
        <w:tc>
          <w:tcPr>
            <w:tcW w:w="330" w:type="pct"/>
            <w:vMerge w:val="continue"/>
            <w:tcBorders>
              <w:tl2br w:val="nil"/>
              <w:tr2bl w:val="nil"/>
            </w:tcBorders>
            <w:vAlign w:val="center"/>
          </w:tcPr>
          <w:p w14:paraId="6B7F78EA">
            <w:pPr>
              <w:pStyle w:val="309"/>
              <w:keepNext w:val="0"/>
              <w:keepLines w:val="0"/>
              <w:pageBreakBefore w:val="0"/>
              <w:widowControl w:val="0"/>
              <w:kinsoku w:val="0"/>
              <w:wordWrap/>
              <w:overflowPunct w:val="0"/>
              <w:topLinePunct w:val="0"/>
              <w:autoSpaceDE/>
              <w:autoSpaceDN/>
              <w:bidi w:val="0"/>
              <w:adjustRightInd w:val="0"/>
              <w:snapToGrid w:val="0"/>
              <w:spacing w:before="0" w:beforeAutospacing="0" w:line="360" w:lineRule="exact"/>
              <w:ind w:left="0" w:leftChars="0" w:firstLine="0" w:firstLineChars="0"/>
              <w:jc w:val="center"/>
              <w:textAlignment w:val="auto"/>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pPr>
          </w:p>
        </w:tc>
        <w:tc>
          <w:tcPr>
            <w:tcW w:w="686" w:type="pct"/>
            <w:tcBorders>
              <w:tl2br w:val="nil"/>
              <w:tr2bl w:val="nil"/>
            </w:tcBorders>
            <w:vAlign w:val="center"/>
          </w:tcPr>
          <w:p w14:paraId="75AA3031">
            <w:pPr>
              <w:pStyle w:val="309"/>
              <w:keepNext w:val="0"/>
              <w:keepLines w:val="0"/>
              <w:pageBreakBefore w:val="0"/>
              <w:widowControl w:val="0"/>
              <w:kinsoku w:val="0"/>
              <w:wordWrap/>
              <w:overflowPunct w:val="0"/>
              <w:topLinePunct w:val="0"/>
              <w:autoSpaceDE/>
              <w:autoSpaceDN/>
              <w:bidi w:val="0"/>
              <w:adjustRightInd w:val="0"/>
              <w:snapToGrid w:val="0"/>
              <w:spacing w:before="0" w:beforeAutospacing="0" w:line="360" w:lineRule="exact"/>
              <w:ind w:left="0" w:leftChars="0" w:firstLine="0" w:firstLineChars="0"/>
              <w:jc w:val="center"/>
              <w:textAlignment w:val="auto"/>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t>COD</w:t>
            </w:r>
          </w:p>
        </w:tc>
        <w:tc>
          <w:tcPr>
            <w:tcW w:w="844" w:type="pct"/>
            <w:tcBorders>
              <w:tl2br w:val="nil"/>
              <w:tr2bl w:val="nil"/>
            </w:tcBorders>
            <w:vAlign w:val="center"/>
          </w:tcPr>
          <w:p w14:paraId="0C16C4F9">
            <w:pPr>
              <w:pStyle w:val="309"/>
              <w:keepNext w:val="0"/>
              <w:keepLines w:val="0"/>
              <w:pageBreakBefore w:val="0"/>
              <w:widowControl w:val="0"/>
              <w:kinsoku w:val="0"/>
              <w:wordWrap/>
              <w:overflowPunct w:val="0"/>
              <w:topLinePunct w:val="0"/>
              <w:autoSpaceDE/>
              <w:autoSpaceDN/>
              <w:bidi w:val="0"/>
              <w:adjustRightInd w:val="0"/>
              <w:snapToGrid w:val="0"/>
              <w:spacing w:before="0" w:beforeAutospacing="0" w:line="360" w:lineRule="exact"/>
              <w:ind w:left="0" w:leftChars="0" w:firstLine="0" w:firstLineChars="0"/>
              <w:jc w:val="center"/>
              <w:textAlignment w:val="auto"/>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t>0.</w:t>
            </w:r>
            <w:r>
              <w:rPr>
                <w:rFonts w:hint="eastAsia" w:cs="Times New Roman" w:eastAsiaTheme="minorEastAsia"/>
                <w:snapToGrid w:val="0"/>
                <w:color w:val="000000" w:themeColor="text1"/>
                <w:sz w:val="21"/>
                <w:szCs w:val="21"/>
                <w:highlight w:val="none"/>
                <w:lang w:val="en-US" w:eastAsia="zh-CN"/>
                <w14:textFill>
                  <w14:solidFill>
                    <w14:schemeClr w14:val="tx1"/>
                  </w14:solidFill>
                </w14:textFill>
              </w:rPr>
              <w:t>38</w:t>
            </w:r>
            <w:r>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t>t</w:t>
            </w:r>
          </w:p>
        </w:tc>
        <w:tc>
          <w:tcPr>
            <w:tcW w:w="776" w:type="pct"/>
            <w:tcBorders>
              <w:tl2br w:val="nil"/>
              <w:tr2bl w:val="nil"/>
            </w:tcBorders>
            <w:vAlign w:val="center"/>
          </w:tcPr>
          <w:p w14:paraId="6924F808">
            <w:pPr>
              <w:pStyle w:val="309"/>
              <w:keepNext w:val="0"/>
              <w:keepLines w:val="0"/>
              <w:pageBreakBefore w:val="0"/>
              <w:widowControl w:val="0"/>
              <w:kinsoku w:val="0"/>
              <w:wordWrap/>
              <w:overflowPunct w:val="0"/>
              <w:topLinePunct w:val="0"/>
              <w:autoSpaceDE/>
              <w:autoSpaceDN/>
              <w:bidi w:val="0"/>
              <w:adjustRightInd w:val="0"/>
              <w:snapToGrid w:val="0"/>
              <w:spacing w:before="0" w:beforeAutospacing="0" w:line="360" w:lineRule="exact"/>
              <w:ind w:left="0" w:leftChars="0" w:firstLine="0" w:firstLineChars="0"/>
              <w:jc w:val="center"/>
              <w:textAlignment w:val="auto"/>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t>0</w:t>
            </w:r>
          </w:p>
        </w:tc>
        <w:tc>
          <w:tcPr>
            <w:tcW w:w="2006" w:type="pct"/>
            <w:vMerge w:val="continue"/>
            <w:tcBorders>
              <w:tl2br w:val="nil"/>
              <w:tr2bl w:val="nil"/>
            </w:tcBorders>
            <w:vAlign w:val="center"/>
          </w:tcPr>
          <w:p w14:paraId="756883F6">
            <w:pPr>
              <w:pStyle w:val="309"/>
              <w:keepNext w:val="0"/>
              <w:keepLines w:val="0"/>
              <w:pageBreakBefore w:val="0"/>
              <w:widowControl w:val="0"/>
              <w:kinsoku w:val="0"/>
              <w:wordWrap/>
              <w:overflowPunct w:val="0"/>
              <w:topLinePunct w:val="0"/>
              <w:autoSpaceDE/>
              <w:autoSpaceDN/>
              <w:bidi w:val="0"/>
              <w:adjustRightInd w:val="0"/>
              <w:snapToGrid w:val="0"/>
              <w:spacing w:before="0" w:beforeAutospacing="0" w:line="360" w:lineRule="exact"/>
              <w:ind w:left="0" w:leftChars="0" w:firstLine="0" w:firstLineChars="0"/>
              <w:jc w:val="center"/>
              <w:textAlignment w:val="auto"/>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pPr>
          </w:p>
        </w:tc>
      </w:tr>
      <w:tr w14:paraId="47F5602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55" w:type="pct"/>
            <w:vMerge w:val="continue"/>
            <w:tcBorders>
              <w:tl2br w:val="nil"/>
              <w:tr2bl w:val="nil"/>
            </w:tcBorders>
            <w:vAlign w:val="center"/>
          </w:tcPr>
          <w:p w14:paraId="0223BEDD">
            <w:pPr>
              <w:pStyle w:val="309"/>
              <w:keepNext w:val="0"/>
              <w:keepLines w:val="0"/>
              <w:pageBreakBefore w:val="0"/>
              <w:widowControl w:val="0"/>
              <w:kinsoku w:val="0"/>
              <w:wordWrap/>
              <w:overflowPunct w:val="0"/>
              <w:topLinePunct w:val="0"/>
              <w:autoSpaceDE/>
              <w:autoSpaceDN/>
              <w:bidi w:val="0"/>
              <w:adjustRightInd w:val="0"/>
              <w:snapToGrid w:val="0"/>
              <w:spacing w:before="0" w:beforeAutospacing="0" w:line="360" w:lineRule="exact"/>
              <w:ind w:left="0" w:leftChars="0" w:firstLine="0" w:firstLineChars="0"/>
              <w:jc w:val="center"/>
              <w:textAlignment w:val="auto"/>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pPr>
          </w:p>
        </w:tc>
        <w:tc>
          <w:tcPr>
            <w:tcW w:w="330" w:type="pct"/>
            <w:vMerge w:val="continue"/>
            <w:tcBorders>
              <w:tl2br w:val="nil"/>
              <w:tr2bl w:val="nil"/>
            </w:tcBorders>
            <w:vAlign w:val="center"/>
          </w:tcPr>
          <w:p w14:paraId="6569C309">
            <w:pPr>
              <w:pStyle w:val="309"/>
              <w:keepNext w:val="0"/>
              <w:keepLines w:val="0"/>
              <w:pageBreakBefore w:val="0"/>
              <w:widowControl w:val="0"/>
              <w:kinsoku w:val="0"/>
              <w:wordWrap/>
              <w:overflowPunct w:val="0"/>
              <w:topLinePunct w:val="0"/>
              <w:autoSpaceDE/>
              <w:autoSpaceDN/>
              <w:bidi w:val="0"/>
              <w:adjustRightInd w:val="0"/>
              <w:snapToGrid w:val="0"/>
              <w:spacing w:before="0" w:beforeAutospacing="0" w:line="360" w:lineRule="exact"/>
              <w:ind w:left="0" w:leftChars="0" w:firstLine="0" w:firstLineChars="0"/>
              <w:jc w:val="center"/>
              <w:textAlignment w:val="auto"/>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pPr>
          </w:p>
        </w:tc>
        <w:tc>
          <w:tcPr>
            <w:tcW w:w="686" w:type="pct"/>
            <w:tcBorders>
              <w:tl2br w:val="nil"/>
              <w:tr2bl w:val="nil"/>
            </w:tcBorders>
            <w:vAlign w:val="center"/>
          </w:tcPr>
          <w:p w14:paraId="77CF7FC8">
            <w:pPr>
              <w:pStyle w:val="309"/>
              <w:keepNext w:val="0"/>
              <w:keepLines w:val="0"/>
              <w:pageBreakBefore w:val="0"/>
              <w:widowControl w:val="0"/>
              <w:kinsoku w:val="0"/>
              <w:wordWrap/>
              <w:overflowPunct w:val="0"/>
              <w:topLinePunct w:val="0"/>
              <w:autoSpaceDE/>
              <w:autoSpaceDN/>
              <w:bidi w:val="0"/>
              <w:adjustRightInd w:val="0"/>
              <w:snapToGrid w:val="0"/>
              <w:spacing w:before="0" w:beforeAutospacing="0" w:line="360" w:lineRule="exact"/>
              <w:ind w:left="0" w:leftChars="0" w:firstLine="0" w:firstLineChars="0"/>
              <w:jc w:val="center"/>
              <w:textAlignment w:val="auto"/>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t>BOD5</w:t>
            </w:r>
          </w:p>
        </w:tc>
        <w:tc>
          <w:tcPr>
            <w:tcW w:w="844" w:type="pct"/>
            <w:tcBorders>
              <w:tl2br w:val="nil"/>
              <w:tr2bl w:val="nil"/>
            </w:tcBorders>
            <w:vAlign w:val="center"/>
          </w:tcPr>
          <w:p w14:paraId="737AB079">
            <w:pPr>
              <w:pStyle w:val="309"/>
              <w:keepNext w:val="0"/>
              <w:keepLines w:val="0"/>
              <w:pageBreakBefore w:val="0"/>
              <w:widowControl w:val="0"/>
              <w:kinsoku w:val="0"/>
              <w:wordWrap/>
              <w:overflowPunct w:val="0"/>
              <w:topLinePunct w:val="0"/>
              <w:autoSpaceDE/>
              <w:autoSpaceDN/>
              <w:bidi w:val="0"/>
              <w:adjustRightInd w:val="0"/>
              <w:snapToGrid w:val="0"/>
              <w:spacing w:before="0" w:beforeAutospacing="0" w:line="360" w:lineRule="exact"/>
              <w:ind w:left="0" w:leftChars="0" w:firstLine="0" w:firstLineChars="0"/>
              <w:jc w:val="center"/>
              <w:textAlignment w:val="auto"/>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t>0.</w:t>
            </w:r>
            <w:r>
              <w:rPr>
                <w:rFonts w:hint="eastAsia" w:cs="Times New Roman" w:eastAsiaTheme="minorEastAsia"/>
                <w:snapToGrid w:val="0"/>
                <w:color w:val="000000" w:themeColor="text1"/>
                <w:sz w:val="21"/>
                <w:szCs w:val="21"/>
                <w:highlight w:val="none"/>
                <w:lang w:val="en-US" w:eastAsia="zh-CN"/>
                <w14:textFill>
                  <w14:solidFill>
                    <w14:schemeClr w14:val="tx1"/>
                  </w14:solidFill>
                </w14:textFill>
              </w:rPr>
              <w:t>14</w:t>
            </w:r>
            <w:r>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t>t</w:t>
            </w:r>
          </w:p>
        </w:tc>
        <w:tc>
          <w:tcPr>
            <w:tcW w:w="776" w:type="pct"/>
            <w:tcBorders>
              <w:tl2br w:val="nil"/>
              <w:tr2bl w:val="nil"/>
            </w:tcBorders>
            <w:vAlign w:val="center"/>
          </w:tcPr>
          <w:p w14:paraId="0286BD1D">
            <w:pPr>
              <w:pStyle w:val="309"/>
              <w:keepNext w:val="0"/>
              <w:keepLines w:val="0"/>
              <w:pageBreakBefore w:val="0"/>
              <w:widowControl w:val="0"/>
              <w:kinsoku w:val="0"/>
              <w:wordWrap/>
              <w:overflowPunct w:val="0"/>
              <w:topLinePunct w:val="0"/>
              <w:autoSpaceDE/>
              <w:autoSpaceDN/>
              <w:bidi w:val="0"/>
              <w:adjustRightInd w:val="0"/>
              <w:snapToGrid w:val="0"/>
              <w:spacing w:before="0" w:beforeAutospacing="0" w:line="360" w:lineRule="exact"/>
              <w:ind w:left="0" w:leftChars="0" w:firstLine="0" w:firstLineChars="0"/>
              <w:jc w:val="center"/>
              <w:textAlignment w:val="auto"/>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t>0</w:t>
            </w:r>
          </w:p>
        </w:tc>
        <w:tc>
          <w:tcPr>
            <w:tcW w:w="2006" w:type="pct"/>
            <w:vMerge w:val="continue"/>
            <w:tcBorders>
              <w:tl2br w:val="nil"/>
              <w:tr2bl w:val="nil"/>
            </w:tcBorders>
            <w:vAlign w:val="center"/>
          </w:tcPr>
          <w:p w14:paraId="6AED3BE3">
            <w:pPr>
              <w:pStyle w:val="309"/>
              <w:keepNext w:val="0"/>
              <w:keepLines w:val="0"/>
              <w:pageBreakBefore w:val="0"/>
              <w:widowControl w:val="0"/>
              <w:kinsoku w:val="0"/>
              <w:wordWrap/>
              <w:overflowPunct w:val="0"/>
              <w:topLinePunct w:val="0"/>
              <w:autoSpaceDE/>
              <w:autoSpaceDN/>
              <w:bidi w:val="0"/>
              <w:adjustRightInd w:val="0"/>
              <w:snapToGrid w:val="0"/>
              <w:spacing w:before="0" w:beforeAutospacing="0" w:line="360" w:lineRule="exact"/>
              <w:ind w:left="0" w:leftChars="0" w:firstLine="0" w:firstLineChars="0"/>
              <w:jc w:val="center"/>
              <w:textAlignment w:val="auto"/>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pPr>
          </w:p>
        </w:tc>
      </w:tr>
      <w:tr w14:paraId="758A0E8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55" w:type="pct"/>
            <w:vMerge w:val="continue"/>
            <w:tcBorders>
              <w:tl2br w:val="nil"/>
              <w:tr2bl w:val="nil"/>
            </w:tcBorders>
            <w:vAlign w:val="center"/>
          </w:tcPr>
          <w:p w14:paraId="5F1469F8">
            <w:pPr>
              <w:pStyle w:val="309"/>
              <w:keepNext w:val="0"/>
              <w:keepLines w:val="0"/>
              <w:pageBreakBefore w:val="0"/>
              <w:widowControl w:val="0"/>
              <w:kinsoku w:val="0"/>
              <w:wordWrap/>
              <w:overflowPunct w:val="0"/>
              <w:topLinePunct w:val="0"/>
              <w:autoSpaceDE/>
              <w:autoSpaceDN/>
              <w:bidi w:val="0"/>
              <w:adjustRightInd w:val="0"/>
              <w:snapToGrid w:val="0"/>
              <w:spacing w:before="0" w:beforeAutospacing="0" w:line="360" w:lineRule="exact"/>
              <w:ind w:left="0" w:leftChars="0" w:firstLine="0" w:firstLineChars="0"/>
              <w:jc w:val="center"/>
              <w:textAlignment w:val="auto"/>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pPr>
          </w:p>
        </w:tc>
        <w:tc>
          <w:tcPr>
            <w:tcW w:w="330" w:type="pct"/>
            <w:vMerge w:val="continue"/>
            <w:tcBorders>
              <w:tl2br w:val="nil"/>
              <w:tr2bl w:val="nil"/>
            </w:tcBorders>
            <w:vAlign w:val="center"/>
          </w:tcPr>
          <w:p w14:paraId="0060F0D3">
            <w:pPr>
              <w:pStyle w:val="309"/>
              <w:keepNext w:val="0"/>
              <w:keepLines w:val="0"/>
              <w:pageBreakBefore w:val="0"/>
              <w:widowControl w:val="0"/>
              <w:kinsoku w:val="0"/>
              <w:wordWrap/>
              <w:overflowPunct w:val="0"/>
              <w:topLinePunct w:val="0"/>
              <w:autoSpaceDE/>
              <w:autoSpaceDN/>
              <w:bidi w:val="0"/>
              <w:adjustRightInd w:val="0"/>
              <w:snapToGrid w:val="0"/>
              <w:spacing w:before="0" w:beforeAutospacing="0" w:line="360" w:lineRule="exact"/>
              <w:ind w:left="0" w:leftChars="0" w:firstLine="0" w:firstLineChars="0"/>
              <w:jc w:val="center"/>
              <w:textAlignment w:val="auto"/>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pPr>
          </w:p>
        </w:tc>
        <w:tc>
          <w:tcPr>
            <w:tcW w:w="686" w:type="pct"/>
            <w:tcBorders>
              <w:tl2br w:val="nil"/>
              <w:tr2bl w:val="nil"/>
            </w:tcBorders>
            <w:vAlign w:val="center"/>
          </w:tcPr>
          <w:p w14:paraId="3D512E4F">
            <w:pPr>
              <w:pStyle w:val="309"/>
              <w:keepNext w:val="0"/>
              <w:keepLines w:val="0"/>
              <w:pageBreakBefore w:val="0"/>
              <w:widowControl w:val="0"/>
              <w:kinsoku w:val="0"/>
              <w:wordWrap/>
              <w:overflowPunct w:val="0"/>
              <w:topLinePunct w:val="0"/>
              <w:autoSpaceDE/>
              <w:autoSpaceDN/>
              <w:bidi w:val="0"/>
              <w:adjustRightInd w:val="0"/>
              <w:snapToGrid w:val="0"/>
              <w:spacing w:before="0" w:beforeAutospacing="0" w:line="360" w:lineRule="exact"/>
              <w:ind w:left="0" w:leftChars="0" w:firstLine="0" w:firstLineChars="0"/>
              <w:jc w:val="center"/>
              <w:textAlignment w:val="auto"/>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t>氨氮</w:t>
            </w:r>
          </w:p>
        </w:tc>
        <w:tc>
          <w:tcPr>
            <w:tcW w:w="844" w:type="pct"/>
            <w:tcBorders>
              <w:tl2br w:val="nil"/>
              <w:tr2bl w:val="nil"/>
            </w:tcBorders>
            <w:vAlign w:val="center"/>
          </w:tcPr>
          <w:p w14:paraId="4D26C0E6">
            <w:pPr>
              <w:pStyle w:val="309"/>
              <w:keepNext w:val="0"/>
              <w:keepLines w:val="0"/>
              <w:pageBreakBefore w:val="0"/>
              <w:widowControl w:val="0"/>
              <w:kinsoku w:val="0"/>
              <w:wordWrap/>
              <w:overflowPunct w:val="0"/>
              <w:topLinePunct w:val="0"/>
              <w:autoSpaceDE/>
              <w:autoSpaceDN/>
              <w:bidi w:val="0"/>
              <w:adjustRightInd w:val="0"/>
              <w:snapToGrid w:val="0"/>
              <w:spacing w:before="0" w:beforeAutospacing="0" w:line="360" w:lineRule="exact"/>
              <w:ind w:left="0" w:leftChars="0" w:firstLine="0" w:firstLineChars="0"/>
              <w:jc w:val="center"/>
              <w:textAlignment w:val="auto"/>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t>0.0</w:t>
            </w:r>
            <w:r>
              <w:rPr>
                <w:rFonts w:hint="eastAsia" w:cs="Times New Roman" w:eastAsiaTheme="minorEastAsia"/>
                <w:snapToGrid w:val="0"/>
                <w:color w:val="000000" w:themeColor="text1"/>
                <w:sz w:val="21"/>
                <w:szCs w:val="21"/>
                <w:highlight w:val="none"/>
                <w:lang w:val="en-US" w:eastAsia="zh-CN"/>
                <w14:textFill>
                  <w14:solidFill>
                    <w14:schemeClr w14:val="tx1"/>
                  </w14:solidFill>
                </w14:textFill>
              </w:rPr>
              <w:t>2</w:t>
            </w:r>
            <w:r>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t>t</w:t>
            </w:r>
          </w:p>
        </w:tc>
        <w:tc>
          <w:tcPr>
            <w:tcW w:w="776" w:type="pct"/>
            <w:tcBorders>
              <w:tl2br w:val="nil"/>
              <w:tr2bl w:val="nil"/>
            </w:tcBorders>
            <w:vAlign w:val="center"/>
          </w:tcPr>
          <w:p w14:paraId="560268F5">
            <w:pPr>
              <w:pStyle w:val="309"/>
              <w:keepNext w:val="0"/>
              <w:keepLines w:val="0"/>
              <w:pageBreakBefore w:val="0"/>
              <w:widowControl w:val="0"/>
              <w:kinsoku w:val="0"/>
              <w:wordWrap/>
              <w:overflowPunct w:val="0"/>
              <w:topLinePunct w:val="0"/>
              <w:autoSpaceDE/>
              <w:autoSpaceDN/>
              <w:bidi w:val="0"/>
              <w:adjustRightInd w:val="0"/>
              <w:snapToGrid w:val="0"/>
              <w:spacing w:before="0" w:beforeAutospacing="0" w:line="360" w:lineRule="exact"/>
              <w:ind w:left="0" w:leftChars="0" w:firstLine="0" w:firstLineChars="0"/>
              <w:jc w:val="center"/>
              <w:textAlignment w:val="auto"/>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t>0</w:t>
            </w:r>
          </w:p>
        </w:tc>
        <w:tc>
          <w:tcPr>
            <w:tcW w:w="2006" w:type="pct"/>
            <w:vMerge w:val="continue"/>
            <w:tcBorders>
              <w:tl2br w:val="nil"/>
              <w:tr2bl w:val="nil"/>
            </w:tcBorders>
            <w:vAlign w:val="center"/>
          </w:tcPr>
          <w:p w14:paraId="5A5649DE">
            <w:pPr>
              <w:pStyle w:val="309"/>
              <w:keepNext w:val="0"/>
              <w:keepLines w:val="0"/>
              <w:pageBreakBefore w:val="0"/>
              <w:widowControl w:val="0"/>
              <w:kinsoku w:val="0"/>
              <w:wordWrap/>
              <w:overflowPunct w:val="0"/>
              <w:topLinePunct w:val="0"/>
              <w:autoSpaceDE/>
              <w:autoSpaceDN/>
              <w:bidi w:val="0"/>
              <w:adjustRightInd w:val="0"/>
              <w:snapToGrid w:val="0"/>
              <w:spacing w:before="0" w:beforeAutospacing="0" w:line="360" w:lineRule="exact"/>
              <w:ind w:left="0" w:leftChars="0" w:firstLine="0" w:firstLineChars="0"/>
              <w:jc w:val="center"/>
              <w:textAlignment w:val="auto"/>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pPr>
          </w:p>
        </w:tc>
      </w:tr>
      <w:tr w14:paraId="5BA0231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55" w:type="pct"/>
            <w:vMerge w:val="continue"/>
            <w:tcBorders>
              <w:tl2br w:val="nil"/>
              <w:tr2bl w:val="nil"/>
            </w:tcBorders>
            <w:vAlign w:val="center"/>
          </w:tcPr>
          <w:p w14:paraId="522DEC08">
            <w:pPr>
              <w:pStyle w:val="309"/>
              <w:keepNext w:val="0"/>
              <w:keepLines w:val="0"/>
              <w:pageBreakBefore w:val="0"/>
              <w:widowControl w:val="0"/>
              <w:kinsoku w:val="0"/>
              <w:wordWrap/>
              <w:overflowPunct w:val="0"/>
              <w:topLinePunct w:val="0"/>
              <w:autoSpaceDE/>
              <w:autoSpaceDN/>
              <w:bidi w:val="0"/>
              <w:adjustRightInd w:val="0"/>
              <w:snapToGrid w:val="0"/>
              <w:spacing w:before="0" w:beforeAutospacing="0" w:line="360" w:lineRule="exact"/>
              <w:ind w:left="0" w:leftChars="0" w:firstLine="0" w:firstLineChars="0"/>
              <w:jc w:val="center"/>
              <w:textAlignment w:val="auto"/>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pPr>
          </w:p>
        </w:tc>
        <w:tc>
          <w:tcPr>
            <w:tcW w:w="330" w:type="pct"/>
            <w:vMerge w:val="continue"/>
            <w:tcBorders>
              <w:tl2br w:val="nil"/>
              <w:tr2bl w:val="nil"/>
            </w:tcBorders>
            <w:vAlign w:val="center"/>
          </w:tcPr>
          <w:p w14:paraId="3C9C591D">
            <w:pPr>
              <w:pStyle w:val="309"/>
              <w:keepNext w:val="0"/>
              <w:keepLines w:val="0"/>
              <w:pageBreakBefore w:val="0"/>
              <w:widowControl w:val="0"/>
              <w:kinsoku w:val="0"/>
              <w:wordWrap/>
              <w:overflowPunct w:val="0"/>
              <w:topLinePunct w:val="0"/>
              <w:autoSpaceDE/>
              <w:autoSpaceDN/>
              <w:bidi w:val="0"/>
              <w:adjustRightInd w:val="0"/>
              <w:snapToGrid w:val="0"/>
              <w:spacing w:before="0" w:beforeAutospacing="0" w:line="360" w:lineRule="exact"/>
              <w:ind w:left="0" w:leftChars="0" w:firstLine="0" w:firstLineChars="0"/>
              <w:jc w:val="center"/>
              <w:textAlignment w:val="auto"/>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pPr>
          </w:p>
        </w:tc>
        <w:tc>
          <w:tcPr>
            <w:tcW w:w="686" w:type="pct"/>
            <w:tcBorders>
              <w:tl2br w:val="nil"/>
              <w:tr2bl w:val="nil"/>
            </w:tcBorders>
            <w:vAlign w:val="center"/>
          </w:tcPr>
          <w:p w14:paraId="7665D07A">
            <w:pPr>
              <w:pStyle w:val="309"/>
              <w:keepNext w:val="0"/>
              <w:keepLines w:val="0"/>
              <w:pageBreakBefore w:val="0"/>
              <w:widowControl w:val="0"/>
              <w:kinsoku w:val="0"/>
              <w:wordWrap/>
              <w:overflowPunct w:val="0"/>
              <w:topLinePunct w:val="0"/>
              <w:autoSpaceDE/>
              <w:autoSpaceDN/>
              <w:bidi w:val="0"/>
              <w:adjustRightInd w:val="0"/>
              <w:snapToGrid w:val="0"/>
              <w:spacing w:before="0" w:beforeAutospacing="0" w:line="360" w:lineRule="exact"/>
              <w:ind w:left="0" w:leftChars="0" w:firstLine="0" w:firstLineChars="0"/>
              <w:jc w:val="center"/>
              <w:textAlignment w:val="auto"/>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t>SS</w:t>
            </w:r>
          </w:p>
        </w:tc>
        <w:tc>
          <w:tcPr>
            <w:tcW w:w="844" w:type="pct"/>
            <w:tcBorders>
              <w:tl2br w:val="nil"/>
              <w:tr2bl w:val="nil"/>
            </w:tcBorders>
            <w:vAlign w:val="center"/>
          </w:tcPr>
          <w:p w14:paraId="2BE58BA3">
            <w:pPr>
              <w:pStyle w:val="309"/>
              <w:keepNext w:val="0"/>
              <w:keepLines w:val="0"/>
              <w:pageBreakBefore w:val="0"/>
              <w:widowControl w:val="0"/>
              <w:kinsoku w:val="0"/>
              <w:wordWrap/>
              <w:overflowPunct w:val="0"/>
              <w:topLinePunct w:val="0"/>
              <w:autoSpaceDE/>
              <w:autoSpaceDN/>
              <w:bidi w:val="0"/>
              <w:adjustRightInd w:val="0"/>
              <w:snapToGrid w:val="0"/>
              <w:spacing w:before="0" w:beforeAutospacing="0" w:line="360" w:lineRule="exact"/>
              <w:ind w:left="0" w:leftChars="0" w:firstLine="0" w:firstLineChars="0"/>
              <w:jc w:val="center"/>
              <w:textAlignment w:val="auto"/>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t>0.</w:t>
            </w:r>
            <w:r>
              <w:rPr>
                <w:rFonts w:hint="eastAsia" w:cs="Times New Roman" w:eastAsiaTheme="minorEastAsia"/>
                <w:snapToGrid w:val="0"/>
                <w:color w:val="000000" w:themeColor="text1"/>
                <w:sz w:val="21"/>
                <w:szCs w:val="21"/>
                <w:highlight w:val="none"/>
                <w:lang w:val="en-US" w:eastAsia="zh-CN"/>
                <w14:textFill>
                  <w14:solidFill>
                    <w14:schemeClr w14:val="tx1"/>
                  </w14:solidFill>
                </w14:textFill>
              </w:rPr>
              <w:t>2</w:t>
            </w:r>
            <w:r>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t>4t</w:t>
            </w:r>
          </w:p>
        </w:tc>
        <w:tc>
          <w:tcPr>
            <w:tcW w:w="776" w:type="pct"/>
            <w:tcBorders>
              <w:tl2br w:val="nil"/>
              <w:tr2bl w:val="nil"/>
            </w:tcBorders>
            <w:vAlign w:val="center"/>
          </w:tcPr>
          <w:p w14:paraId="1930A007">
            <w:pPr>
              <w:pStyle w:val="309"/>
              <w:keepNext w:val="0"/>
              <w:keepLines w:val="0"/>
              <w:pageBreakBefore w:val="0"/>
              <w:widowControl w:val="0"/>
              <w:kinsoku w:val="0"/>
              <w:wordWrap/>
              <w:overflowPunct w:val="0"/>
              <w:topLinePunct w:val="0"/>
              <w:autoSpaceDE/>
              <w:autoSpaceDN/>
              <w:bidi w:val="0"/>
              <w:adjustRightInd w:val="0"/>
              <w:snapToGrid w:val="0"/>
              <w:spacing w:before="0" w:beforeAutospacing="0" w:line="360" w:lineRule="exact"/>
              <w:ind w:left="0" w:leftChars="0" w:firstLine="0" w:firstLineChars="0"/>
              <w:jc w:val="center"/>
              <w:textAlignment w:val="auto"/>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t>0</w:t>
            </w:r>
          </w:p>
        </w:tc>
        <w:tc>
          <w:tcPr>
            <w:tcW w:w="2006" w:type="pct"/>
            <w:vMerge w:val="continue"/>
            <w:tcBorders>
              <w:tl2br w:val="nil"/>
              <w:tr2bl w:val="nil"/>
            </w:tcBorders>
            <w:vAlign w:val="center"/>
          </w:tcPr>
          <w:p w14:paraId="244371B7">
            <w:pPr>
              <w:pStyle w:val="309"/>
              <w:keepNext w:val="0"/>
              <w:keepLines w:val="0"/>
              <w:pageBreakBefore w:val="0"/>
              <w:widowControl w:val="0"/>
              <w:kinsoku w:val="0"/>
              <w:wordWrap/>
              <w:overflowPunct w:val="0"/>
              <w:topLinePunct w:val="0"/>
              <w:autoSpaceDE/>
              <w:autoSpaceDN/>
              <w:bidi w:val="0"/>
              <w:adjustRightInd w:val="0"/>
              <w:snapToGrid w:val="0"/>
              <w:spacing w:before="0" w:beforeAutospacing="0" w:line="360" w:lineRule="exact"/>
              <w:ind w:left="0" w:leftChars="0" w:firstLine="0" w:firstLineChars="0"/>
              <w:jc w:val="center"/>
              <w:textAlignment w:val="auto"/>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pPr>
          </w:p>
        </w:tc>
      </w:tr>
      <w:tr w14:paraId="20D0D34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4" w:hRule="atLeast"/>
          <w:jc w:val="center"/>
        </w:trPr>
        <w:tc>
          <w:tcPr>
            <w:tcW w:w="355" w:type="pct"/>
            <w:vMerge w:val="continue"/>
            <w:tcBorders>
              <w:tl2br w:val="nil"/>
              <w:tr2bl w:val="nil"/>
            </w:tcBorders>
            <w:vAlign w:val="center"/>
          </w:tcPr>
          <w:p w14:paraId="6C35AF56">
            <w:pPr>
              <w:pStyle w:val="309"/>
              <w:keepNext w:val="0"/>
              <w:keepLines w:val="0"/>
              <w:pageBreakBefore w:val="0"/>
              <w:widowControl w:val="0"/>
              <w:kinsoku w:val="0"/>
              <w:wordWrap/>
              <w:overflowPunct w:val="0"/>
              <w:topLinePunct w:val="0"/>
              <w:autoSpaceDE/>
              <w:autoSpaceDN/>
              <w:bidi w:val="0"/>
              <w:adjustRightInd w:val="0"/>
              <w:snapToGrid w:val="0"/>
              <w:spacing w:before="0" w:beforeAutospacing="0" w:line="360" w:lineRule="exact"/>
              <w:ind w:left="0" w:leftChars="0" w:firstLine="0" w:firstLineChars="0"/>
              <w:jc w:val="center"/>
              <w:textAlignment w:val="auto"/>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pPr>
          </w:p>
        </w:tc>
        <w:tc>
          <w:tcPr>
            <w:tcW w:w="1017" w:type="pct"/>
            <w:gridSpan w:val="2"/>
            <w:tcBorders>
              <w:tl2br w:val="nil"/>
              <w:tr2bl w:val="nil"/>
            </w:tcBorders>
            <w:vAlign w:val="center"/>
          </w:tcPr>
          <w:p w14:paraId="2D3702D3">
            <w:pPr>
              <w:pStyle w:val="309"/>
              <w:keepNext w:val="0"/>
              <w:keepLines w:val="0"/>
              <w:pageBreakBefore w:val="0"/>
              <w:widowControl w:val="0"/>
              <w:kinsoku w:val="0"/>
              <w:wordWrap/>
              <w:overflowPunct w:val="0"/>
              <w:topLinePunct w:val="0"/>
              <w:autoSpaceDE/>
              <w:autoSpaceDN/>
              <w:bidi w:val="0"/>
              <w:adjustRightInd w:val="0"/>
              <w:snapToGrid w:val="0"/>
              <w:spacing w:before="0" w:beforeAutospacing="0" w:line="360" w:lineRule="exact"/>
              <w:ind w:left="0" w:leftChars="0" w:firstLine="0" w:firstLineChars="0"/>
              <w:jc w:val="center"/>
              <w:textAlignment w:val="auto"/>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t>混凝土养护废水</w:t>
            </w:r>
          </w:p>
        </w:tc>
        <w:tc>
          <w:tcPr>
            <w:tcW w:w="844" w:type="pct"/>
            <w:tcBorders>
              <w:tl2br w:val="nil"/>
              <w:tr2bl w:val="nil"/>
            </w:tcBorders>
            <w:vAlign w:val="center"/>
          </w:tcPr>
          <w:p w14:paraId="28775DFB">
            <w:pPr>
              <w:pStyle w:val="309"/>
              <w:keepNext w:val="0"/>
              <w:keepLines w:val="0"/>
              <w:pageBreakBefore w:val="0"/>
              <w:widowControl w:val="0"/>
              <w:kinsoku w:val="0"/>
              <w:wordWrap/>
              <w:overflowPunct w:val="0"/>
              <w:topLinePunct w:val="0"/>
              <w:autoSpaceDE/>
              <w:autoSpaceDN/>
              <w:bidi w:val="0"/>
              <w:adjustRightInd w:val="0"/>
              <w:snapToGrid w:val="0"/>
              <w:spacing w:before="0" w:beforeAutospacing="0" w:line="360" w:lineRule="exact"/>
              <w:ind w:left="0" w:leftChars="0" w:firstLine="0" w:firstLineChars="0"/>
              <w:jc w:val="center"/>
              <w:textAlignment w:val="auto"/>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t>少量</w:t>
            </w:r>
          </w:p>
        </w:tc>
        <w:tc>
          <w:tcPr>
            <w:tcW w:w="776" w:type="pct"/>
            <w:tcBorders>
              <w:tl2br w:val="nil"/>
              <w:tr2bl w:val="nil"/>
            </w:tcBorders>
            <w:vAlign w:val="center"/>
          </w:tcPr>
          <w:p w14:paraId="113710EB">
            <w:pPr>
              <w:pStyle w:val="309"/>
              <w:keepNext w:val="0"/>
              <w:keepLines w:val="0"/>
              <w:pageBreakBefore w:val="0"/>
              <w:widowControl w:val="0"/>
              <w:kinsoku w:val="0"/>
              <w:wordWrap/>
              <w:overflowPunct w:val="0"/>
              <w:topLinePunct w:val="0"/>
              <w:autoSpaceDE/>
              <w:autoSpaceDN/>
              <w:bidi w:val="0"/>
              <w:adjustRightInd w:val="0"/>
              <w:snapToGrid w:val="0"/>
              <w:spacing w:before="0" w:beforeAutospacing="0" w:line="360" w:lineRule="exact"/>
              <w:ind w:left="0" w:leftChars="0" w:firstLine="0" w:firstLineChars="0"/>
              <w:jc w:val="center"/>
              <w:textAlignment w:val="auto"/>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t>0</w:t>
            </w:r>
          </w:p>
        </w:tc>
        <w:tc>
          <w:tcPr>
            <w:tcW w:w="2006" w:type="pct"/>
            <w:tcBorders>
              <w:tl2br w:val="nil"/>
              <w:tr2bl w:val="nil"/>
            </w:tcBorders>
            <w:vAlign w:val="center"/>
          </w:tcPr>
          <w:p w14:paraId="4271B3AF">
            <w:pPr>
              <w:pStyle w:val="309"/>
              <w:keepNext w:val="0"/>
              <w:keepLines w:val="0"/>
              <w:pageBreakBefore w:val="0"/>
              <w:widowControl w:val="0"/>
              <w:kinsoku w:val="0"/>
              <w:wordWrap/>
              <w:overflowPunct w:val="0"/>
              <w:topLinePunct w:val="0"/>
              <w:autoSpaceDE/>
              <w:autoSpaceDN/>
              <w:bidi w:val="0"/>
              <w:adjustRightInd w:val="0"/>
              <w:snapToGrid w:val="0"/>
              <w:spacing w:before="0" w:beforeAutospacing="0" w:line="360" w:lineRule="exact"/>
              <w:ind w:left="0" w:leftChars="0" w:firstLine="0" w:firstLineChars="0"/>
              <w:jc w:val="center"/>
              <w:textAlignment w:val="auto"/>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t>铺设防渗膜，自然蒸发，不外排。</w:t>
            </w:r>
          </w:p>
        </w:tc>
      </w:tr>
      <w:tr w14:paraId="0C86B92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4" w:hRule="atLeast"/>
          <w:jc w:val="center"/>
        </w:trPr>
        <w:tc>
          <w:tcPr>
            <w:tcW w:w="355" w:type="pct"/>
            <w:vMerge w:val="continue"/>
            <w:tcBorders>
              <w:tl2br w:val="nil"/>
              <w:tr2bl w:val="nil"/>
            </w:tcBorders>
            <w:vAlign w:val="center"/>
          </w:tcPr>
          <w:p w14:paraId="33CADB9D">
            <w:pPr>
              <w:pStyle w:val="309"/>
              <w:keepNext w:val="0"/>
              <w:keepLines w:val="0"/>
              <w:pageBreakBefore w:val="0"/>
              <w:widowControl w:val="0"/>
              <w:kinsoku w:val="0"/>
              <w:wordWrap/>
              <w:overflowPunct w:val="0"/>
              <w:topLinePunct w:val="0"/>
              <w:autoSpaceDE/>
              <w:autoSpaceDN/>
              <w:bidi w:val="0"/>
              <w:adjustRightInd w:val="0"/>
              <w:snapToGrid w:val="0"/>
              <w:spacing w:before="0" w:beforeAutospacing="0" w:line="360" w:lineRule="exact"/>
              <w:ind w:left="0" w:leftChars="0" w:firstLine="0" w:firstLineChars="0"/>
              <w:jc w:val="center"/>
              <w:textAlignment w:val="auto"/>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pPr>
          </w:p>
        </w:tc>
        <w:tc>
          <w:tcPr>
            <w:tcW w:w="1017" w:type="pct"/>
            <w:gridSpan w:val="2"/>
            <w:tcBorders>
              <w:tl2br w:val="nil"/>
              <w:tr2bl w:val="nil"/>
            </w:tcBorders>
            <w:vAlign w:val="center"/>
          </w:tcPr>
          <w:p w14:paraId="2EAB7550">
            <w:pPr>
              <w:pStyle w:val="309"/>
              <w:keepNext w:val="0"/>
              <w:keepLines w:val="0"/>
              <w:pageBreakBefore w:val="0"/>
              <w:widowControl w:val="0"/>
              <w:kinsoku w:val="0"/>
              <w:wordWrap/>
              <w:overflowPunct w:val="0"/>
              <w:topLinePunct w:val="0"/>
              <w:autoSpaceDE/>
              <w:autoSpaceDN/>
              <w:bidi w:val="0"/>
              <w:adjustRightInd w:val="0"/>
              <w:snapToGrid w:val="0"/>
              <w:spacing w:before="0" w:beforeAutospacing="0" w:line="360" w:lineRule="exact"/>
              <w:ind w:left="0" w:leftChars="0" w:firstLine="0" w:firstLineChars="0"/>
              <w:jc w:val="center"/>
              <w:textAlignment w:val="auto"/>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t>车辆冲洗废水</w:t>
            </w:r>
          </w:p>
        </w:tc>
        <w:tc>
          <w:tcPr>
            <w:tcW w:w="1562" w:type="dxa"/>
            <w:tcBorders>
              <w:tl2br w:val="nil"/>
              <w:tr2bl w:val="nil"/>
            </w:tcBorders>
            <w:vAlign w:val="center"/>
          </w:tcPr>
          <w:p w14:paraId="1A79F918">
            <w:pPr>
              <w:pStyle w:val="309"/>
              <w:keepNext w:val="0"/>
              <w:keepLines w:val="0"/>
              <w:pageBreakBefore w:val="0"/>
              <w:widowControl w:val="0"/>
              <w:kinsoku w:val="0"/>
              <w:wordWrap/>
              <w:overflowPunct w:val="0"/>
              <w:topLinePunct w:val="0"/>
              <w:autoSpaceDE/>
              <w:autoSpaceDN/>
              <w:bidi w:val="0"/>
              <w:adjustRightInd w:val="0"/>
              <w:snapToGrid w:val="0"/>
              <w:spacing w:before="0" w:beforeAutospacing="0" w:line="360" w:lineRule="exact"/>
              <w:ind w:left="0" w:leftChars="0" w:firstLine="0" w:firstLineChars="0"/>
              <w:jc w:val="center"/>
              <w:textAlignment w:val="auto"/>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t>少量</w:t>
            </w:r>
          </w:p>
        </w:tc>
        <w:tc>
          <w:tcPr>
            <w:tcW w:w="1437" w:type="dxa"/>
            <w:tcBorders>
              <w:tl2br w:val="nil"/>
              <w:tr2bl w:val="nil"/>
            </w:tcBorders>
            <w:vAlign w:val="center"/>
          </w:tcPr>
          <w:p w14:paraId="4540D835">
            <w:pPr>
              <w:pStyle w:val="309"/>
              <w:keepNext w:val="0"/>
              <w:keepLines w:val="0"/>
              <w:pageBreakBefore w:val="0"/>
              <w:widowControl w:val="0"/>
              <w:kinsoku w:val="0"/>
              <w:wordWrap/>
              <w:overflowPunct w:val="0"/>
              <w:topLinePunct w:val="0"/>
              <w:autoSpaceDE/>
              <w:autoSpaceDN/>
              <w:bidi w:val="0"/>
              <w:adjustRightInd w:val="0"/>
              <w:snapToGrid w:val="0"/>
              <w:spacing w:before="0" w:beforeAutospacing="0" w:line="360" w:lineRule="exact"/>
              <w:ind w:left="0" w:leftChars="0" w:firstLine="0" w:firstLineChars="0"/>
              <w:jc w:val="center"/>
              <w:textAlignment w:val="auto"/>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t>0</w:t>
            </w:r>
          </w:p>
        </w:tc>
        <w:tc>
          <w:tcPr>
            <w:tcW w:w="2006" w:type="pct"/>
            <w:tcBorders>
              <w:tl2br w:val="nil"/>
              <w:tr2bl w:val="nil"/>
            </w:tcBorders>
            <w:vAlign w:val="center"/>
          </w:tcPr>
          <w:p w14:paraId="66FDA1E2">
            <w:pPr>
              <w:pStyle w:val="309"/>
              <w:keepNext w:val="0"/>
              <w:keepLines w:val="0"/>
              <w:pageBreakBefore w:val="0"/>
              <w:widowControl w:val="0"/>
              <w:kinsoku w:val="0"/>
              <w:wordWrap/>
              <w:overflowPunct w:val="0"/>
              <w:topLinePunct w:val="0"/>
              <w:autoSpaceDE/>
              <w:autoSpaceDN/>
              <w:bidi w:val="0"/>
              <w:adjustRightInd w:val="0"/>
              <w:snapToGrid w:val="0"/>
              <w:spacing w:before="0" w:beforeAutospacing="0" w:line="360" w:lineRule="exact"/>
              <w:ind w:left="0" w:leftChars="0" w:firstLine="0" w:firstLineChars="0"/>
              <w:jc w:val="center"/>
              <w:textAlignment w:val="auto"/>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t>沉淀池集中收集处理，循环使用，不外排</w:t>
            </w:r>
          </w:p>
        </w:tc>
      </w:tr>
      <w:tr w14:paraId="42A46AB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55" w:type="pct"/>
            <w:vMerge w:val="restart"/>
            <w:tcBorders>
              <w:tl2br w:val="nil"/>
              <w:tr2bl w:val="nil"/>
            </w:tcBorders>
            <w:vAlign w:val="center"/>
          </w:tcPr>
          <w:p w14:paraId="7E801EEF">
            <w:pPr>
              <w:pStyle w:val="309"/>
              <w:keepNext w:val="0"/>
              <w:keepLines w:val="0"/>
              <w:pageBreakBefore w:val="0"/>
              <w:widowControl w:val="0"/>
              <w:kinsoku w:val="0"/>
              <w:wordWrap/>
              <w:overflowPunct w:val="0"/>
              <w:topLinePunct w:val="0"/>
              <w:autoSpaceDE/>
              <w:autoSpaceDN/>
              <w:bidi w:val="0"/>
              <w:adjustRightInd w:val="0"/>
              <w:snapToGrid w:val="0"/>
              <w:spacing w:before="0" w:beforeAutospacing="0" w:line="360" w:lineRule="exact"/>
              <w:ind w:left="0" w:leftChars="0" w:firstLine="0" w:firstLineChars="0"/>
              <w:jc w:val="center"/>
              <w:textAlignment w:val="auto"/>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t>固体废物</w:t>
            </w:r>
          </w:p>
        </w:tc>
        <w:tc>
          <w:tcPr>
            <w:tcW w:w="1017" w:type="pct"/>
            <w:gridSpan w:val="2"/>
            <w:tcBorders>
              <w:tl2br w:val="nil"/>
              <w:tr2bl w:val="nil"/>
            </w:tcBorders>
            <w:vAlign w:val="center"/>
          </w:tcPr>
          <w:p w14:paraId="52B2B7B7">
            <w:pPr>
              <w:pStyle w:val="309"/>
              <w:keepNext w:val="0"/>
              <w:keepLines w:val="0"/>
              <w:pageBreakBefore w:val="0"/>
              <w:widowControl w:val="0"/>
              <w:kinsoku w:val="0"/>
              <w:wordWrap/>
              <w:overflowPunct w:val="0"/>
              <w:topLinePunct w:val="0"/>
              <w:autoSpaceDE/>
              <w:autoSpaceDN/>
              <w:bidi w:val="0"/>
              <w:adjustRightInd w:val="0"/>
              <w:snapToGrid w:val="0"/>
              <w:spacing w:before="0" w:beforeAutospacing="0" w:line="360" w:lineRule="exact"/>
              <w:ind w:left="0" w:leftChars="0" w:firstLine="0" w:firstLineChars="0"/>
              <w:jc w:val="center"/>
              <w:textAlignment w:val="auto"/>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t>生活垃圾</w:t>
            </w:r>
          </w:p>
        </w:tc>
        <w:tc>
          <w:tcPr>
            <w:tcW w:w="844" w:type="pct"/>
            <w:tcBorders>
              <w:tl2br w:val="nil"/>
              <w:tr2bl w:val="nil"/>
            </w:tcBorders>
            <w:vAlign w:val="center"/>
          </w:tcPr>
          <w:p w14:paraId="161E96FA">
            <w:pPr>
              <w:pStyle w:val="309"/>
              <w:keepNext w:val="0"/>
              <w:keepLines w:val="0"/>
              <w:pageBreakBefore w:val="0"/>
              <w:widowControl w:val="0"/>
              <w:kinsoku w:val="0"/>
              <w:wordWrap/>
              <w:overflowPunct w:val="0"/>
              <w:topLinePunct w:val="0"/>
              <w:autoSpaceDE/>
              <w:autoSpaceDN/>
              <w:bidi w:val="0"/>
              <w:adjustRightInd w:val="0"/>
              <w:snapToGrid w:val="0"/>
              <w:spacing w:before="0" w:beforeAutospacing="0" w:line="360" w:lineRule="exact"/>
              <w:ind w:left="0" w:leftChars="0" w:firstLine="0" w:firstLineChars="0"/>
              <w:jc w:val="center"/>
              <w:textAlignment w:val="auto"/>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pPr>
            <w:r>
              <w:rPr>
                <w:rFonts w:hint="eastAsia" w:cs="Times New Roman" w:eastAsiaTheme="minorEastAsia"/>
                <w:snapToGrid w:val="0"/>
                <w:color w:val="000000" w:themeColor="text1"/>
                <w:sz w:val="21"/>
                <w:szCs w:val="21"/>
                <w:highlight w:val="none"/>
                <w:lang w:val="en-US" w:eastAsia="zh-CN"/>
                <w14:textFill>
                  <w14:solidFill>
                    <w14:schemeClr w14:val="tx1"/>
                  </w14:solidFill>
                </w14:textFill>
              </w:rPr>
              <w:t>36.5</w:t>
            </w:r>
            <w:r>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t>t</w:t>
            </w:r>
          </w:p>
        </w:tc>
        <w:tc>
          <w:tcPr>
            <w:tcW w:w="776" w:type="pct"/>
            <w:tcBorders>
              <w:tl2br w:val="nil"/>
              <w:tr2bl w:val="nil"/>
            </w:tcBorders>
            <w:vAlign w:val="center"/>
          </w:tcPr>
          <w:p w14:paraId="1665627D">
            <w:pPr>
              <w:pStyle w:val="309"/>
              <w:keepNext w:val="0"/>
              <w:keepLines w:val="0"/>
              <w:pageBreakBefore w:val="0"/>
              <w:widowControl w:val="0"/>
              <w:kinsoku w:val="0"/>
              <w:wordWrap/>
              <w:overflowPunct w:val="0"/>
              <w:topLinePunct w:val="0"/>
              <w:autoSpaceDE/>
              <w:autoSpaceDN/>
              <w:bidi w:val="0"/>
              <w:adjustRightInd w:val="0"/>
              <w:snapToGrid w:val="0"/>
              <w:spacing w:before="0" w:beforeAutospacing="0" w:line="360" w:lineRule="exact"/>
              <w:ind w:left="0" w:leftChars="0" w:firstLine="0" w:firstLineChars="0"/>
              <w:jc w:val="center"/>
              <w:textAlignment w:val="auto"/>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t>0</w:t>
            </w:r>
          </w:p>
        </w:tc>
        <w:tc>
          <w:tcPr>
            <w:tcW w:w="2006" w:type="pct"/>
            <w:tcBorders>
              <w:tl2br w:val="nil"/>
              <w:tr2bl w:val="nil"/>
            </w:tcBorders>
            <w:vAlign w:val="center"/>
          </w:tcPr>
          <w:p w14:paraId="0F738050">
            <w:pPr>
              <w:pStyle w:val="309"/>
              <w:keepNext w:val="0"/>
              <w:keepLines w:val="0"/>
              <w:pageBreakBefore w:val="0"/>
              <w:widowControl w:val="0"/>
              <w:kinsoku w:val="0"/>
              <w:wordWrap/>
              <w:overflowPunct w:val="0"/>
              <w:topLinePunct w:val="0"/>
              <w:autoSpaceDE/>
              <w:autoSpaceDN/>
              <w:bidi w:val="0"/>
              <w:adjustRightInd w:val="0"/>
              <w:snapToGrid w:val="0"/>
              <w:spacing w:before="0" w:beforeAutospacing="0" w:line="360" w:lineRule="exact"/>
              <w:ind w:left="0" w:leftChars="0" w:firstLine="0" w:firstLineChars="0"/>
              <w:jc w:val="center"/>
              <w:textAlignment w:val="auto"/>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t>集中收集，定期运送到周边垃圾中转站转运，统一处置。</w:t>
            </w:r>
          </w:p>
        </w:tc>
      </w:tr>
      <w:tr w14:paraId="7C079BC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55" w:type="pct"/>
            <w:vMerge w:val="continue"/>
            <w:tcBorders>
              <w:tl2br w:val="nil"/>
              <w:tr2bl w:val="nil"/>
            </w:tcBorders>
            <w:vAlign w:val="center"/>
          </w:tcPr>
          <w:p w14:paraId="059B6CED">
            <w:pPr>
              <w:pStyle w:val="309"/>
              <w:keepNext w:val="0"/>
              <w:keepLines w:val="0"/>
              <w:pageBreakBefore w:val="0"/>
              <w:widowControl w:val="0"/>
              <w:kinsoku w:val="0"/>
              <w:wordWrap/>
              <w:overflowPunct w:val="0"/>
              <w:topLinePunct w:val="0"/>
              <w:autoSpaceDE/>
              <w:autoSpaceDN/>
              <w:bidi w:val="0"/>
              <w:adjustRightInd w:val="0"/>
              <w:snapToGrid w:val="0"/>
              <w:spacing w:before="0" w:beforeAutospacing="0" w:line="360" w:lineRule="exact"/>
              <w:ind w:left="0" w:leftChars="0" w:firstLine="0" w:firstLineChars="0"/>
              <w:jc w:val="center"/>
              <w:textAlignment w:val="auto"/>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pPr>
          </w:p>
        </w:tc>
        <w:tc>
          <w:tcPr>
            <w:tcW w:w="1017" w:type="pct"/>
            <w:gridSpan w:val="2"/>
            <w:tcBorders>
              <w:tl2br w:val="nil"/>
              <w:tr2bl w:val="nil"/>
            </w:tcBorders>
            <w:vAlign w:val="center"/>
          </w:tcPr>
          <w:p w14:paraId="31EC2449">
            <w:pPr>
              <w:pStyle w:val="309"/>
              <w:keepNext w:val="0"/>
              <w:keepLines w:val="0"/>
              <w:pageBreakBefore w:val="0"/>
              <w:widowControl w:val="0"/>
              <w:kinsoku w:val="0"/>
              <w:wordWrap/>
              <w:overflowPunct w:val="0"/>
              <w:topLinePunct w:val="0"/>
              <w:autoSpaceDE/>
              <w:autoSpaceDN/>
              <w:bidi w:val="0"/>
              <w:adjustRightInd w:val="0"/>
              <w:snapToGrid w:val="0"/>
              <w:spacing w:before="0" w:beforeAutospacing="0" w:line="360" w:lineRule="exact"/>
              <w:ind w:left="0" w:leftChars="0" w:firstLine="0" w:firstLineChars="0"/>
              <w:jc w:val="center"/>
              <w:textAlignment w:val="auto"/>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t>材料外包装垃圾</w:t>
            </w:r>
          </w:p>
        </w:tc>
        <w:tc>
          <w:tcPr>
            <w:tcW w:w="844" w:type="pct"/>
            <w:tcBorders>
              <w:tl2br w:val="nil"/>
              <w:tr2bl w:val="nil"/>
            </w:tcBorders>
            <w:vAlign w:val="center"/>
          </w:tcPr>
          <w:p w14:paraId="08C2B78E">
            <w:pPr>
              <w:pStyle w:val="309"/>
              <w:keepNext w:val="0"/>
              <w:keepLines w:val="0"/>
              <w:pageBreakBefore w:val="0"/>
              <w:widowControl w:val="0"/>
              <w:kinsoku w:val="0"/>
              <w:wordWrap/>
              <w:overflowPunct w:val="0"/>
              <w:topLinePunct w:val="0"/>
              <w:autoSpaceDE/>
              <w:autoSpaceDN/>
              <w:bidi w:val="0"/>
              <w:adjustRightInd w:val="0"/>
              <w:snapToGrid w:val="0"/>
              <w:spacing w:before="0" w:beforeAutospacing="0" w:line="360" w:lineRule="exact"/>
              <w:ind w:left="0" w:leftChars="0" w:firstLine="0" w:firstLineChars="0"/>
              <w:jc w:val="center"/>
              <w:textAlignment w:val="auto"/>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pPr>
            <w:r>
              <w:rPr>
                <w:rFonts w:hint="eastAsia" w:cs="Times New Roman" w:eastAsiaTheme="minorEastAsia"/>
                <w:snapToGrid w:val="0"/>
                <w:color w:val="000000" w:themeColor="text1"/>
                <w:sz w:val="21"/>
                <w:szCs w:val="21"/>
                <w:highlight w:val="none"/>
                <w:lang w:val="en-US" w:eastAsia="zh-CN"/>
                <w14:textFill>
                  <w14:solidFill>
                    <w14:schemeClr w14:val="tx1"/>
                  </w14:solidFill>
                </w14:textFill>
              </w:rPr>
              <w:t>4</w:t>
            </w:r>
            <w:r>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t>t</w:t>
            </w:r>
          </w:p>
        </w:tc>
        <w:tc>
          <w:tcPr>
            <w:tcW w:w="776" w:type="pct"/>
            <w:tcBorders>
              <w:tl2br w:val="nil"/>
              <w:tr2bl w:val="nil"/>
            </w:tcBorders>
            <w:vAlign w:val="center"/>
          </w:tcPr>
          <w:p w14:paraId="790C920E">
            <w:pPr>
              <w:pStyle w:val="309"/>
              <w:keepNext w:val="0"/>
              <w:keepLines w:val="0"/>
              <w:pageBreakBefore w:val="0"/>
              <w:widowControl w:val="0"/>
              <w:kinsoku w:val="0"/>
              <w:wordWrap/>
              <w:overflowPunct w:val="0"/>
              <w:topLinePunct w:val="0"/>
              <w:autoSpaceDE/>
              <w:autoSpaceDN/>
              <w:bidi w:val="0"/>
              <w:adjustRightInd w:val="0"/>
              <w:snapToGrid w:val="0"/>
              <w:spacing w:before="0" w:beforeAutospacing="0" w:line="360" w:lineRule="exact"/>
              <w:ind w:left="0" w:leftChars="0" w:firstLine="0" w:firstLineChars="0"/>
              <w:jc w:val="center"/>
              <w:textAlignment w:val="auto"/>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t>0</w:t>
            </w:r>
          </w:p>
        </w:tc>
        <w:tc>
          <w:tcPr>
            <w:tcW w:w="2006" w:type="pct"/>
            <w:tcBorders>
              <w:tl2br w:val="nil"/>
              <w:tr2bl w:val="nil"/>
            </w:tcBorders>
            <w:vAlign w:val="center"/>
          </w:tcPr>
          <w:p w14:paraId="2388DC5A">
            <w:pPr>
              <w:pStyle w:val="309"/>
              <w:keepNext w:val="0"/>
              <w:keepLines w:val="0"/>
              <w:pageBreakBefore w:val="0"/>
              <w:widowControl w:val="0"/>
              <w:kinsoku w:val="0"/>
              <w:wordWrap/>
              <w:overflowPunct w:val="0"/>
              <w:topLinePunct w:val="0"/>
              <w:autoSpaceDE/>
              <w:autoSpaceDN/>
              <w:bidi w:val="0"/>
              <w:adjustRightInd w:val="0"/>
              <w:snapToGrid w:val="0"/>
              <w:spacing w:before="0" w:beforeAutospacing="0" w:line="360" w:lineRule="exact"/>
              <w:ind w:left="0" w:leftChars="0" w:firstLine="0" w:firstLineChars="0"/>
              <w:jc w:val="center"/>
              <w:textAlignment w:val="auto"/>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t>外售，综合利用。</w:t>
            </w:r>
          </w:p>
        </w:tc>
      </w:tr>
      <w:tr w14:paraId="66C8B9A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55" w:type="pct"/>
            <w:vMerge w:val="continue"/>
            <w:tcBorders>
              <w:tl2br w:val="nil"/>
              <w:tr2bl w:val="nil"/>
            </w:tcBorders>
            <w:vAlign w:val="center"/>
          </w:tcPr>
          <w:p w14:paraId="287FE4F0">
            <w:pPr>
              <w:pStyle w:val="309"/>
              <w:keepNext w:val="0"/>
              <w:keepLines w:val="0"/>
              <w:pageBreakBefore w:val="0"/>
              <w:widowControl w:val="0"/>
              <w:kinsoku w:val="0"/>
              <w:wordWrap/>
              <w:overflowPunct w:val="0"/>
              <w:topLinePunct w:val="0"/>
              <w:autoSpaceDE/>
              <w:autoSpaceDN/>
              <w:bidi w:val="0"/>
              <w:adjustRightInd w:val="0"/>
              <w:snapToGrid w:val="0"/>
              <w:spacing w:before="0" w:beforeAutospacing="0" w:line="360" w:lineRule="exact"/>
              <w:ind w:left="0" w:leftChars="0" w:firstLine="0" w:firstLineChars="0"/>
              <w:jc w:val="center"/>
              <w:textAlignment w:val="auto"/>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pPr>
          </w:p>
        </w:tc>
        <w:tc>
          <w:tcPr>
            <w:tcW w:w="1017" w:type="pct"/>
            <w:gridSpan w:val="2"/>
            <w:tcBorders>
              <w:tl2br w:val="nil"/>
              <w:tr2bl w:val="nil"/>
            </w:tcBorders>
            <w:vAlign w:val="center"/>
          </w:tcPr>
          <w:p w14:paraId="050906F5">
            <w:pPr>
              <w:pStyle w:val="309"/>
              <w:keepNext w:val="0"/>
              <w:keepLines w:val="0"/>
              <w:pageBreakBefore w:val="0"/>
              <w:widowControl w:val="0"/>
              <w:kinsoku w:val="0"/>
              <w:wordWrap/>
              <w:overflowPunct w:val="0"/>
              <w:topLinePunct w:val="0"/>
              <w:autoSpaceDE/>
              <w:autoSpaceDN/>
              <w:bidi w:val="0"/>
              <w:adjustRightInd w:val="0"/>
              <w:snapToGrid w:val="0"/>
              <w:spacing w:before="0" w:beforeAutospacing="0" w:line="360" w:lineRule="exact"/>
              <w:ind w:left="0" w:leftChars="0" w:firstLine="0" w:firstLineChars="0"/>
              <w:jc w:val="center"/>
              <w:textAlignment w:val="auto"/>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t>多余土方</w:t>
            </w:r>
          </w:p>
        </w:tc>
        <w:tc>
          <w:tcPr>
            <w:tcW w:w="844" w:type="pct"/>
            <w:tcBorders>
              <w:tl2br w:val="nil"/>
              <w:tr2bl w:val="nil"/>
            </w:tcBorders>
            <w:vAlign w:val="center"/>
          </w:tcPr>
          <w:p w14:paraId="63F71B68">
            <w:pPr>
              <w:pStyle w:val="309"/>
              <w:keepNext w:val="0"/>
              <w:keepLines w:val="0"/>
              <w:pageBreakBefore w:val="0"/>
              <w:widowControl w:val="0"/>
              <w:kinsoku w:val="0"/>
              <w:wordWrap/>
              <w:overflowPunct w:val="0"/>
              <w:topLinePunct w:val="0"/>
              <w:autoSpaceDE/>
              <w:autoSpaceDN/>
              <w:bidi w:val="0"/>
              <w:adjustRightInd w:val="0"/>
              <w:snapToGrid w:val="0"/>
              <w:spacing w:before="0" w:beforeAutospacing="0" w:line="360" w:lineRule="exact"/>
              <w:ind w:left="0" w:leftChars="0" w:firstLine="0" w:firstLineChars="0"/>
              <w:jc w:val="center"/>
              <w:textAlignment w:val="auto"/>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pPr>
            <w:r>
              <w:rPr>
                <w:rFonts w:hint="eastAsia" w:cs="Times New Roman" w:eastAsiaTheme="minorEastAsia"/>
                <w:snapToGrid w:val="0"/>
                <w:color w:val="000000" w:themeColor="text1"/>
                <w:sz w:val="21"/>
                <w:szCs w:val="21"/>
                <w:highlight w:val="none"/>
                <w:lang w:val="en-US" w:eastAsia="zh-CN"/>
                <w14:textFill>
                  <w14:solidFill>
                    <w14:schemeClr w14:val="tx1"/>
                  </w14:solidFill>
                </w14:textFill>
              </w:rPr>
              <w:t>3.1437</w:t>
            </w:r>
            <w:r>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t>万m</w:t>
            </w:r>
            <w:r>
              <w:rPr>
                <w:rFonts w:hint="default" w:ascii="Times New Roman" w:hAnsi="Times New Roman" w:cs="Times New Roman" w:eastAsiaTheme="minorEastAsia"/>
                <w:snapToGrid w:val="0"/>
                <w:color w:val="000000" w:themeColor="text1"/>
                <w:sz w:val="21"/>
                <w:szCs w:val="21"/>
                <w:highlight w:val="none"/>
                <w:vertAlign w:val="superscript"/>
                <w:lang w:val="en-US" w:eastAsia="zh-CN"/>
                <w14:textFill>
                  <w14:solidFill>
                    <w14:schemeClr w14:val="tx1"/>
                  </w14:solidFill>
                </w14:textFill>
              </w:rPr>
              <w:t>3</w:t>
            </w:r>
          </w:p>
        </w:tc>
        <w:tc>
          <w:tcPr>
            <w:tcW w:w="776" w:type="pct"/>
            <w:tcBorders>
              <w:tl2br w:val="nil"/>
              <w:tr2bl w:val="nil"/>
            </w:tcBorders>
            <w:vAlign w:val="center"/>
          </w:tcPr>
          <w:p w14:paraId="30C3F19A">
            <w:pPr>
              <w:pStyle w:val="309"/>
              <w:keepNext w:val="0"/>
              <w:keepLines w:val="0"/>
              <w:pageBreakBefore w:val="0"/>
              <w:widowControl w:val="0"/>
              <w:kinsoku w:val="0"/>
              <w:wordWrap/>
              <w:overflowPunct w:val="0"/>
              <w:topLinePunct w:val="0"/>
              <w:autoSpaceDE/>
              <w:autoSpaceDN/>
              <w:bidi w:val="0"/>
              <w:adjustRightInd w:val="0"/>
              <w:snapToGrid w:val="0"/>
              <w:spacing w:before="0" w:beforeAutospacing="0" w:line="360" w:lineRule="exact"/>
              <w:ind w:left="0" w:leftChars="0" w:firstLine="0" w:firstLineChars="0"/>
              <w:jc w:val="center"/>
              <w:textAlignment w:val="auto"/>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t>0</w:t>
            </w:r>
          </w:p>
        </w:tc>
        <w:tc>
          <w:tcPr>
            <w:tcW w:w="2006" w:type="pct"/>
            <w:tcBorders>
              <w:tl2br w:val="nil"/>
              <w:tr2bl w:val="nil"/>
            </w:tcBorders>
            <w:vAlign w:val="center"/>
          </w:tcPr>
          <w:p w14:paraId="537F894B">
            <w:pPr>
              <w:pStyle w:val="309"/>
              <w:keepNext w:val="0"/>
              <w:keepLines w:val="0"/>
              <w:pageBreakBefore w:val="0"/>
              <w:widowControl w:val="0"/>
              <w:kinsoku w:val="0"/>
              <w:wordWrap/>
              <w:overflowPunct w:val="0"/>
              <w:topLinePunct w:val="0"/>
              <w:autoSpaceDE/>
              <w:autoSpaceDN/>
              <w:bidi w:val="0"/>
              <w:adjustRightInd w:val="0"/>
              <w:snapToGrid w:val="0"/>
              <w:spacing w:before="0" w:beforeAutospacing="0" w:line="360" w:lineRule="exact"/>
              <w:ind w:left="0" w:leftChars="0" w:firstLine="0" w:firstLineChars="0"/>
              <w:jc w:val="center"/>
              <w:textAlignment w:val="auto"/>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t>内部调用，无弃方。</w:t>
            </w:r>
          </w:p>
        </w:tc>
      </w:tr>
      <w:tr w14:paraId="44D1041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55" w:type="pct"/>
            <w:vMerge w:val="continue"/>
            <w:tcBorders>
              <w:tl2br w:val="nil"/>
              <w:tr2bl w:val="nil"/>
            </w:tcBorders>
            <w:vAlign w:val="center"/>
          </w:tcPr>
          <w:p w14:paraId="56EBECEB">
            <w:pPr>
              <w:pStyle w:val="309"/>
              <w:keepNext w:val="0"/>
              <w:keepLines w:val="0"/>
              <w:pageBreakBefore w:val="0"/>
              <w:widowControl w:val="0"/>
              <w:kinsoku w:val="0"/>
              <w:wordWrap/>
              <w:overflowPunct w:val="0"/>
              <w:topLinePunct w:val="0"/>
              <w:autoSpaceDE/>
              <w:autoSpaceDN/>
              <w:bidi w:val="0"/>
              <w:adjustRightInd w:val="0"/>
              <w:snapToGrid w:val="0"/>
              <w:spacing w:before="0" w:beforeAutospacing="0" w:line="360" w:lineRule="exact"/>
              <w:ind w:left="0" w:leftChars="0" w:firstLine="0" w:firstLineChars="0"/>
              <w:jc w:val="center"/>
              <w:textAlignment w:val="auto"/>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pPr>
          </w:p>
        </w:tc>
        <w:tc>
          <w:tcPr>
            <w:tcW w:w="1017" w:type="pct"/>
            <w:gridSpan w:val="2"/>
            <w:tcBorders>
              <w:tl2br w:val="nil"/>
              <w:tr2bl w:val="nil"/>
            </w:tcBorders>
            <w:vAlign w:val="center"/>
          </w:tcPr>
          <w:p w14:paraId="131E9C9D">
            <w:pPr>
              <w:pStyle w:val="309"/>
              <w:keepNext w:val="0"/>
              <w:keepLines w:val="0"/>
              <w:pageBreakBefore w:val="0"/>
              <w:widowControl w:val="0"/>
              <w:kinsoku w:val="0"/>
              <w:wordWrap/>
              <w:overflowPunct w:val="0"/>
              <w:topLinePunct w:val="0"/>
              <w:autoSpaceDE/>
              <w:autoSpaceDN/>
              <w:bidi w:val="0"/>
              <w:adjustRightInd w:val="0"/>
              <w:snapToGrid w:val="0"/>
              <w:spacing w:before="0" w:beforeAutospacing="0" w:line="360" w:lineRule="exact"/>
              <w:ind w:left="0" w:leftChars="0" w:firstLine="0" w:firstLineChars="0"/>
              <w:jc w:val="center"/>
              <w:textAlignment w:val="auto"/>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t>建筑垃圾</w:t>
            </w:r>
          </w:p>
        </w:tc>
        <w:tc>
          <w:tcPr>
            <w:tcW w:w="844" w:type="pct"/>
            <w:tcBorders>
              <w:tl2br w:val="nil"/>
              <w:tr2bl w:val="nil"/>
            </w:tcBorders>
            <w:vAlign w:val="center"/>
          </w:tcPr>
          <w:p w14:paraId="5E146670">
            <w:pPr>
              <w:pStyle w:val="309"/>
              <w:keepNext w:val="0"/>
              <w:keepLines w:val="0"/>
              <w:pageBreakBefore w:val="0"/>
              <w:widowControl w:val="0"/>
              <w:kinsoku w:val="0"/>
              <w:wordWrap/>
              <w:overflowPunct w:val="0"/>
              <w:topLinePunct w:val="0"/>
              <w:autoSpaceDE/>
              <w:autoSpaceDN/>
              <w:bidi w:val="0"/>
              <w:adjustRightInd w:val="0"/>
              <w:snapToGrid w:val="0"/>
              <w:spacing w:before="0" w:beforeAutospacing="0" w:line="360" w:lineRule="exact"/>
              <w:ind w:left="0" w:leftChars="0" w:firstLine="0" w:firstLineChars="0"/>
              <w:jc w:val="center"/>
              <w:textAlignment w:val="auto"/>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pPr>
            <w:r>
              <w:rPr>
                <w:rFonts w:hint="eastAsia" w:cs="Times New Roman" w:eastAsiaTheme="minorEastAsia"/>
                <w:snapToGrid w:val="0"/>
                <w:color w:val="000000" w:themeColor="text1"/>
                <w:sz w:val="21"/>
                <w:szCs w:val="21"/>
                <w:highlight w:val="none"/>
                <w:lang w:val="en-US" w:eastAsia="zh-CN"/>
                <w14:textFill>
                  <w14:solidFill>
                    <w14:schemeClr w14:val="tx1"/>
                  </w14:solidFill>
                </w14:textFill>
              </w:rPr>
              <w:t>10</w:t>
            </w:r>
            <w:r>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t>t</w:t>
            </w:r>
          </w:p>
        </w:tc>
        <w:tc>
          <w:tcPr>
            <w:tcW w:w="776" w:type="pct"/>
            <w:tcBorders>
              <w:tl2br w:val="nil"/>
              <w:tr2bl w:val="nil"/>
            </w:tcBorders>
            <w:vAlign w:val="center"/>
          </w:tcPr>
          <w:p w14:paraId="69411A1D">
            <w:pPr>
              <w:pStyle w:val="309"/>
              <w:keepNext w:val="0"/>
              <w:keepLines w:val="0"/>
              <w:pageBreakBefore w:val="0"/>
              <w:widowControl w:val="0"/>
              <w:kinsoku w:val="0"/>
              <w:wordWrap/>
              <w:overflowPunct w:val="0"/>
              <w:topLinePunct w:val="0"/>
              <w:autoSpaceDE/>
              <w:autoSpaceDN/>
              <w:bidi w:val="0"/>
              <w:adjustRightInd w:val="0"/>
              <w:snapToGrid w:val="0"/>
              <w:spacing w:before="0" w:beforeAutospacing="0" w:line="360" w:lineRule="exact"/>
              <w:ind w:left="0" w:leftChars="0" w:firstLine="0" w:firstLineChars="0"/>
              <w:jc w:val="center"/>
              <w:textAlignment w:val="auto"/>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t>0</w:t>
            </w:r>
          </w:p>
        </w:tc>
        <w:tc>
          <w:tcPr>
            <w:tcW w:w="2006" w:type="pct"/>
            <w:tcBorders>
              <w:tl2br w:val="nil"/>
              <w:tr2bl w:val="nil"/>
            </w:tcBorders>
            <w:vAlign w:val="center"/>
          </w:tcPr>
          <w:p w14:paraId="6B530B81">
            <w:pPr>
              <w:pStyle w:val="309"/>
              <w:keepNext w:val="0"/>
              <w:keepLines w:val="0"/>
              <w:pageBreakBefore w:val="0"/>
              <w:widowControl w:val="0"/>
              <w:kinsoku w:val="0"/>
              <w:wordWrap/>
              <w:overflowPunct w:val="0"/>
              <w:topLinePunct w:val="0"/>
              <w:autoSpaceDE/>
              <w:autoSpaceDN/>
              <w:bidi w:val="0"/>
              <w:adjustRightInd w:val="0"/>
              <w:snapToGrid w:val="0"/>
              <w:spacing w:before="0" w:beforeAutospacing="0" w:line="360" w:lineRule="exact"/>
              <w:ind w:left="0" w:leftChars="0" w:firstLine="0" w:firstLineChars="0"/>
              <w:jc w:val="center"/>
              <w:textAlignment w:val="auto"/>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t>集中收集后拉运至乌鲁木齐市建筑垃圾填埋场处置。</w:t>
            </w:r>
          </w:p>
        </w:tc>
      </w:tr>
      <w:tr w14:paraId="2DF4E2B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55" w:type="pct"/>
            <w:tcBorders>
              <w:tl2br w:val="nil"/>
              <w:tr2bl w:val="nil"/>
            </w:tcBorders>
            <w:vAlign w:val="center"/>
          </w:tcPr>
          <w:p w14:paraId="147237A4">
            <w:pPr>
              <w:pStyle w:val="309"/>
              <w:keepNext w:val="0"/>
              <w:keepLines w:val="0"/>
              <w:pageBreakBefore w:val="0"/>
              <w:widowControl w:val="0"/>
              <w:kinsoku w:val="0"/>
              <w:wordWrap/>
              <w:overflowPunct w:val="0"/>
              <w:topLinePunct w:val="0"/>
              <w:autoSpaceDE/>
              <w:autoSpaceDN/>
              <w:bidi w:val="0"/>
              <w:adjustRightInd w:val="0"/>
              <w:snapToGrid w:val="0"/>
              <w:spacing w:before="0" w:beforeAutospacing="0" w:line="360" w:lineRule="exact"/>
              <w:ind w:left="0" w:leftChars="0" w:firstLine="0" w:firstLineChars="0"/>
              <w:jc w:val="center"/>
              <w:textAlignment w:val="auto"/>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t>噪声</w:t>
            </w:r>
          </w:p>
        </w:tc>
        <w:tc>
          <w:tcPr>
            <w:tcW w:w="1017" w:type="pct"/>
            <w:gridSpan w:val="2"/>
            <w:tcBorders>
              <w:tl2br w:val="nil"/>
              <w:tr2bl w:val="nil"/>
            </w:tcBorders>
            <w:vAlign w:val="center"/>
          </w:tcPr>
          <w:p w14:paraId="7D158765">
            <w:pPr>
              <w:pStyle w:val="309"/>
              <w:keepNext w:val="0"/>
              <w:keepLines w:val="0"/>
              <w:pageBreakBefore w:val="0"/>
              <w:widowControl w:val="0"/>
              <w:kinsoku w:val="0"/>
              <w:wordWrap/>
              <w:overflowPunct w:val="0"/>
              <w:topLinePunct w:val="0"/>
              <w:autoSpaceDE/>
              <w:autoSpaceDN/>
              <w:bidi w:val="0"/>
              <w:adjustRightInd w:val="0"/>
              <w:snapToGrid w:val="0"/>
              <w:spacing w:before="0" w:beforeAutospacing="0" w:line="360" w:lineRule="exact"/>
              <w:ind w:left="0" w:leftChars="0" w:firstLine="0" w:firstLineChars="0"/>
              <w:jc w:val="center"/>
              <w:textAlignment w:val="auto"/>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t>噪声</w:t>
            </w:r>
          </w:p>
        </w:tc>
        <w:tc>
          <w:tcPr>
            <w:tcW w:w="1620" w:type="pct"/>
            <w:gridSpan w:val="2"/>
            <w:tcBorders>
              <w:tl2br w:val="nil"/>
              <w:tr2bl w:val="nil"/>
            </w:tcBorders>
            <w:vAlign w:val="center"/>
          </w:tcPr>
          <w:p w14:paraId="40DDAFE3">
            <w:pPr>
              <w:pStyle w:val="309"/>
              <w:keepNext w:val="0"/>
              <w:keepLines w:val="0"/>
              <w:pageBreakBefore w:val="0"/>
              <w:widowControl w:val="0"/>
              <w:kinsoku w:val="0"/>
              <w:wordWrap/>
              <w:overflowPunct w:val="0"/>
              <w:topLinePunct w:val="0"/>
              <w:autoSpaceDE/>
              <w:autoSpaceDN/>
              <w:bidi w:val="0"/>
              <w:adjustRightInd w:val="0"/>
              <w:snapToGrid w:val="0"/>
              <w:spacing w:before="0" w:beforeAutospacing="0" w:line="360" w:lineRule="exact"/>
              <w:ind w:left="0" w:leftChars="0" w:firstLine="0" w:firstLineChars="0"/>
              <w:jc w:val="center"/>
              <w:textAlignment w:val="auto"/>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t>施工设备噪声在距源10m处的噪声级在75-90dB(A)之间</w:t>
            </w:r>
          </w:p>
        </w:tc>
        <w:tc>
          <w:tcPr>
            <w:tcW w:w="2006" w:type="pct"/>
            <w:tcBorders>
              <w:tl2br w:val="nil"/>
              <w:tr2bl w:val="nil"/>
            </w:tcBorders>
            <w:vAlign w:val="center"/>
          </w:tcPr>
          <w:p w14:paraId="4D0231A5">
            <w:pPr>
              <w:pStyle w:val="309"/>
              <w:keepNext w:val="0"/>
              <w:keepLines w:val="0"/>
              <w:pageBreakBefore w:val="0"/>
              <w:widowControl w:val="0"/>
              <w:kinsoku w:val="0"/>
              <w:wordWrap/>
              <w:overflowPunct w:val="0"/>
              <w:topLinePunct w:val="0"/>
              <w:autoSpaceDE/>
              <w:autoSpaceDN/>
              <w:bidi w:val="0"/>
              <w:adjustRightInd w:val="0"/>
              <w:snapToGrid w:val="0"/>
              <w:spacing w:before="0" w:beforeAutospacing="0" w:line="360" w:lineRule="exact"/>
              <w:ind w:left="0" w:leftChars="0" w:firstLine="0" w:firstLineChars="0"/>
              <w:jc w:val="center"/>
              <w:textAlignment w:val="auto"/>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t>经采取降噪措施后能达标排放。</w:t>
            </w:r>
          </w:p>
        </w:tc>
      </w:tr>
      <w:tr w14:paraId="1D2E1C4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72" w:type="pct"/>
            <w:gridSpan w:val="3"/>
            <w:tcBorders>
              <w:tl2br w:val="nil"/>
              <w:tr2bl w:val="nil"/>
            </w:tcBorders>
            <w:vAlign w:val="center"/>
          </w:tcPr>
          <w:p w14:paraId="371CEB4E">
            <w:pPr>
              <w:pStyle w:val="309"/>
              <w:keepNext w:val="0"/>
              <w:keepLines w:val="0"/>
              <w:pageBreakBefore w:val="0"/>
              <w:widowControl w:val="0"/>
              <w:kinsoku w:val="0"/>
              <w:wordWrap/>
              <w:overflowPunct w:val="0"/>
              <w:topLinePunct w:val="0"/>
              <w:autoSpaceDE/>
              <w:autoSpaceDN/>
              <w:bidi w:val="0"/>
              <w:adjustRightInd w:val="0"/>
              <w:snapToGrid w:val="0"/>
              <w:spacing w:before="0" w:beforeAutospacing="0" w:line="360" w:lineRule="exact"/>
              <w:ind w:left="0" w:leftChars="0" w:firstLine="0" w:firstLineChars="0"/>
              <w:jc w:val="center"/>
              <w:textAlignment w:val="auto"/>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t>生态</w:t>
            </w:r>
          </w:p>
        </w:tc>
        <w:tc>
          <w:tcPr>
            <w:tcW w:w="1620" w:type="pct"/>
            <w:gridSpan w:val="2"/>
            <w:tcBorders>
              <w:tl2br w:val="nil"/>
              <w:tr2bl w:val="nil"/>
            </w:tcBorders>
            <w:vAlign w:val="center"/>
          </w:tcPr>
          <w:p w14:paraId="70E025F1">
            <w:pPr>
              <w:pStyle w:val="309"/>
              <w:keepNext w:val="0"/>
              <w:keepLines w:val="0"/>
              <w:pageBreakBefore w:val="0"/>
              <w:widowControl w:val="0"/>
              <w:kinsoku w:val="0"/>
              <w:wordWrap/>
              <w:overflowPunct w:val="0"/>
              <w:topLinePunct w:val="0"/>
              <w:autoSpaceDE/>
              <w:autoSpaceDN/>
              <w:bidi w:val="0"/>
              <w:adjustRightInd w:val="0"/>
              <w:snapToGrid w:val="0"/>
              <w:spacing w:before="0" w:beforeAutospacing="0" w:line="360" w:lineRule="exact"/>
              <w:ind w:left="0" w:leftChars="0" w:firstLine="0" w:firstLineChars="0"/>
              <w:jc w:val="center"/>
              <w:textAlignment w:val="auto"/>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t>对土地利用、植被、野生动物、水源保护区、水土流失、土地沙化及景观影响</w:t>
            </w:r>
          </w:p>
        </w:tc>
        <w:tc>
          <w:tcPr>
            <w:tcW w:w="2006" w:type="pct"/>
            <w:tcBorders>
              <w:tl2br w:val="nil"/>
              <w:tr2bl w:val="nil"/>
            </w:tcBorders>
            <w:vAlign w:val="center"/>
          </w:tcPr>
          <w:p w14:paraId="12A9646A">
            <w:pPr>
              <w:pStyle w:val="309"/>
              <w:keepNext w:val="0"/>
              <w:keepLines w:val="0"/>
              <w:pageBreakBefore w:val="0"/>
              <w:widowControl w:val="0"/>
              <w:kinsoku w:val="0"/>
              <w:wordWrap/>
              <w:overflowPunct w:val="0"/>
              <w:topLinePunct w:val="0"/>
              <w:autoSpaceDE/>
              <w:autoSpaceDN/>
              <w:bidi w:val="0"/>
              <w:adjustRightInd w:val="0"/>
              <w:snapToGrid w:val="0"/>
              <w:spacing w:before="0" w:beforeAutospacing="0" w:line="360" w:lineRule="exact"/>
              <w:ind w:left="0" w:leftChars="0" w:firstLine="0" w:firstLineChars="0"/>
              <w:jc w:val="center"/>
              <w:textAlignment w:val="auto"/>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t>优化设计及施工方案，严格控制施工占地、采取废水、固废等污染防治措施、采取水土流失防治措施、施工结束后进行生态恢复。</w:t>
            </w:r>
          </w:p>
        </w:tc>
      </w:tr>
    </w:tbl>
    <w:p w14:paraId="575AB4F6">
      <w:pPr>
        <w:bidi w:val="0"/>
        <w:rPr>
          <w:rFonts w:hint="default" w:ascii="Times New Roman" w:hAnsi="Times New Roman" w:cs="Times New Roman"/>
          <w:color w:val="FF0000"/>
          <w:lang w:val="en-US" w:eastAsia="zh-CN"/>
        </w:rPr>
      </w:pPr>
    </w:p>
    <w:p w14:paraId="467175C1">
      <w:pPr>
        <w:pStyle w:val="11"/>
        <w:keepNext/>
        <w:keepLines/>
        <w:pageBreakBefore w:val="0"/>
        <w:widowControl w:val="0"/>
        <w:kinsoku/>
        <w:wordWrap/>
        <w:overflowPunct/>
        <w:topLinePunct w:val="0"/>
        <w:autoSpaceDE/>
        <w:autoSpaceDN/>
        <w:bidi w:val="0"/>
        <w:adjustRightInd/>
        <w:snapToGrid w:val="0"/>
        <w:spacing w:beforeLines="0" w:afterLines="0"/>
        <w:ind w:left="0"/>
        <w:textAlignment w:val="auto"/>
        <w:outlineLvl w:val="2"/>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3.2.2运营期污染工序与污染源强</w:t>
      </w:r>
    </w:p>
    <w:p w14:paraId="14C1BBFD">
      <w:pPr>
        <w:pStyle w:val="12"/>
        <w:keepNext/>
        <w:keepLines/>
        <w:pageBreakBefore w:val="0"/>
        <w:widowControl w:val="0"/>
        <w:numPr>
          <w:ilvl w:val="0"/>
          <w:numId w:val="0"/>
        </w:numPr>
        <w:tabs>
          <w:tab w:val="left" w:pos="1050"/>
        </w:tabs>
        <w:kinsoku/>
        <w:wordWrap/>
        <w:overflowPunct/>
        <w:topLinePunct w:val="0"/>
        <w:autoSpaceDE/>
        <w:autoSpaceDN/>
        <w:bidi w:val="0"/>
        <w:adjustRightInd/>
        <w:snapToGrid w:val="0"/>
        <w:spacing w:before="0" w:beforeLines="0" w:after="0" w:afterLines="0" w:line="360" w:lineRule="auto"/>
        <w:ind w:left="0" w:leftChars="0"/>
        <w:textAlignment w:val="auto"/>
        <w:outlineLvl w:val="3"/>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t>3.2.2.1运营期工艺流程及产污工序</w:t>
      </w:r>
    </w:p>
    <w:p w14:paraId="2EEA0495">
      <w:pPr>
        <w:keepNext w:val="0"/>
        <w:keepLines w:val="0"/>
        <w:pageBreakBefore w:val="0"/>
        <w:widowControl w:val="0"/>
        <w:kinsoku/>
        <w:wordWrap/>
        <w:overflowPunct/>
        <w:topLinePunct w:val="0"/>
        <w:autoSpaceDE/>
        <w:autoSpaceDN/>
        <w:bidi w:val="0"/>
        <w:adjustRightInd w:val="0"/>
        <w:snapToGrid w:val="0"/>
        <w:ind w:left="0" w:leftChars="0" w:firstLine="480" w:firstLineChars="200"/>
        <w:textAlignment w:val="auto"/>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t>（1）风电场工艺流程及产污工序</w:t>
      </w:r>
    </w:p>
    <w:p w14:paraId="056461B1">
      <w:pPr>
        <w:keepNext w:val="0"/>
        <w:keepLines w:val="0"/>
        <w:pageBreakBefore w:val="0"/>
        <w:widowControl w:val="0"/>
        <w:kinsoku/>
        <w:wordWrap/>
        <w:overflowPunct/>
        <w:topLinePunct w:val="0"/>
        <w:autoSpaceDE/>
        <w:autoSpaceDN/>
        <w:bidi w:val="0"/>
        <w:adjustRightInd w:val="0"/>
        <w:snapToGrid w:val="0"/>
        <w:ind w:left="0" w:leftChars="0" w:firstLine="480" w:firstLineChars="200"/>
        <w:textAlignment w:val="auto"/>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t>风力发电场营运期无人工原料，依赖当地风能资源，产品是电能。通过将风能转化为机械能，再将机械能转化为电能。发电机的电流经初步升压后，进入风电场升压站，经升压后的电流送入电网，供用户使用。</w:t>
      </w:r>
    </w:p>
    <w:p w14:paraId="1D88D23D">
      <w:pPr>
        <w:keepNext w:val="0"/>
        <w:keepLines w:val="0"/>
        <w:pageBreakBefore w:val="0"/>
        <w:widowControl w:val="0"/>
        <w:kinsoku/>
        <w:wordWrap/>
        <w:overflowPunct/>
        <w:topLinePunct w:val="0"/>
        <w:autoSpaceDE/>
        <w:autoSpaceDN/>
        <w:bidi w:val="0"/>
        <w:adjustRightInd w:val="0"/>
        <w:snapToGrid w:val="0"/>
        <w:ind w:left="0" w:leftChars="0" w:firstLine="480" w:firstLineChars="200"/>
        <w:textAlignment w:val="auto"/>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t>风电场工艺流程：风机叶片在风力带动下将风能转化成机械能，经过传动系统和发电机的作用下，机械能转化为电能，带动发电机发电产生电流。风力发电机组采用一机一变的单元接线方式。将电压通过箱式变压器升至35kV后，经35kV架空线路输送至风电场110kV升压站。风力发电机的运行由计算机控制，通过风速仪、风向仪、转速、温度、压力等各种传感器来监测各个部件的运行情况，自动化程度高。当风力机或电网发生故障时，传感器能检测出故障部位，并预报故障点或故障类型，能及时刹闸停机，保护风力机安全。当平均风速达到启动风速以上时，盘闸松闸，叶轮开始转动，并带动发电机转动。当平均风速达到额定风速时，发电机并网发电。当平均风速达到切出风速以上时，风力机自动停机，不受大风的危害。本项目采用永磁风机、箱变采用干式变压器，风电场主要污染源为风机噪声。风电场运营期工艺流程及产污环节见图3.2-</w:t>
      </w:r>
      <w:r>
        <w:rPr>
          <w:rFonts w:hint="eastAsia" w:cs="Times New Roman" w:eastAsiaTheme="minorEastAsia"/>
          <w:snapToGrid w:val="0"/>
          <w:color w:val="000000" w:themeColor="text1"/>
          <w:sz w:val="24"/>
          <w:szCs w:val="20"/>
          <w:highlight w:val="none"/>
          <w:lang w:val="en-US" w:eastAsia="zh-CN"/>
          <w14:textFill>
            <w14:solidFill>
              <w14:schemeClr w14:val="tx1"/>
            </w14:solidFill>
          </w14:textFill>
        </w:rPr>
        <w:t>3</w:t>
      </w:r>
      <w:r>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t>。</w:t>
      </w:r>
    </w:p>
    <w:p w14:paraId="26CA45E2">
      <w:pPr>
        <w:ind w:left="0" w:leftChars="0" w:firstLine="0" w:firstLineChars="0"/>
        <w:jc w:val="center"/>
        <w:rPr>
          <w:rFonts w:hint="default" w:ascii="Times New Roman" w:hAnsi="Times New Roman" w:eastAsia="宋体" w:cs="Times New Roman"/>
          <w:color w:val="FF0000"/>
          <w:lang w:eastAsia="zh-CN"/>
        </w:rPr>
      </w:pPr>
      <w:r>
        <w:rPr>
          <w:rFonts w:hint="default" w:ascii="Times New Roman" w:hAnsi="Times New Roman" w:cs="Times New Roman"/>
          <w:color w:val="FF0000"/>
        </w:rPr>
        <mc:AlternateContent>
          <mc:Choice Requires="wpg">
            <w:drawing>
              <wp:anchor distT="0" distB="0" distL="114300" distR="114300" simplePos="0" relativeHeight="251672576" behindDoc="0" locked="0" layoutInCell="1" allowOverlap="1">
                <wp:simplePos x="0" y="0"/>
                <wp:positionH relativeFrom="column">
                  <wp:posOffset>1330325</wp:posOffset>
                </wp:positionH>
                <wp:positionV relativeFrom="paragraph">
                  <wp:posOffset>77470</wp:posOffset>
                </wp:positionV>
                <wp:extent cx="3030220" cy="924560"/>
                <wp:effectExtent l="5080" t="4445" r="12700" b="23495"/>
                <wp:wrapNone/>
                <wp:docPr id="490" name="组合 126"/>
                <wp:cNvGraphicFramePr/>
                <a:graphic xmlns:a="http://schemas.openxmlformats.org/drawingml/2006/main">
                  <a:graphicData uri="http://schemas.microsoft.com/office/word/2010/wordprocessingGroup">
                    <wpg:wgp>
                      <wpg:cNvGrpSpPr/>
                      <wpg:grpSpPr>
                        <a:xfrm>
                          <a:off x="0" y="0"/>
                          <a:ext cx="3030220" cy="924560"/>
                          <a:chOff x="4398" y="1262941"/>
                          <a:chExt cx="4772" cy="1456"/>
                        </a:xfrm>
                      </wpg:grpSpPr>
                      <wps:wsp>
                        <wps:cNvPr id="491" name="矩形 128"/>
                        <wps:cNvSpPr/>
                        <wps:spPr>
                          <a:xfrm>
                            <a:off x="4401" y="1263960"/>
                            <a:ext cx="1020" cy="43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717C0DD">
                              <w:pPr>
                                <w:spacing w:line="240" w:lineRule="auto"/>
                                <w:ind w:left="-84" w:leftChars="-30" w:right="-84" w:rightChars="-30" w:firstLine="0" w:firstLineChars="0"/>
                                <w:jc w:val="center"/>
                                <w:rPr>
                                  <w:sz w:val="21"/>
                                  <w:szCs w:val="21"/>
                                </w:rPr>
                              </w:pPr>
                              <w:r>
                                <w:rPr>
                                  <w:rFonts w:hint="eastAsia"/>
                                  <w:sz w:val="21"/>
                                  <w:szCs w:val="21"/>
                                </w:rPr>
                                <w:t>风机</w:t>
                              </w:r>
                            </w:p>
                          </w:txbxContent>
                        </wps:txbx>
                        <wps:bodyPr upright="1"/>
                      </wps:wsp>
                      <wps:wsp>
                        <wps:cNvPr id="492" name="直线 131"/>
                        <wps:cNvCnPr/>
                        <wps:spPr>
                          <a:xfrm>
                            <a:off x="5422" y="1264180"/>
                            <a:ext cx="454" cy="1"/>
                          </a:xfrm>
                          <a:prstGeom prst="line">
                            <a:avLst/>
                          </a:prstGeom>
                          <a:ln w="9525" cap="flat" cmpd="sng">
                            <a:solidFill>
                              <a:srgbClr val="000000"/>
                            </a:solidFill>
                            <a:prstDash val="solid"/>
                            <a:headEnd type="none" w="med" len="med"/>
                            <a:tailEnd type="triangle" w="med" len="lg"/>
                          </a:ln>
                        </wps:spPr>
                        <wps:bodyPr/>
                      </wps:wsp>
                      <wps:wsp>
                        <wps:cNvPr id="493" name="矩形 132"/>
                        <wps:cNvSpPr/>
                        <wps:spPr>
                          <a:xfrm>
                            <a:off x="5869" y="1263959"/>
                            <a:ext cx="1170" cy="43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81C908C">
                              <w:pPr>
                                <w:spacing w:line="240" w:lineRule="auto"/>
                                <w:ind w:left="-84" w:leftChars="-30" w:right="-84" w:rightChars="-30" w:firstLine="0" w:firstLineChars="0"/>
                                <w:jc w:val="center"/>
                                <w:rPr>
                                  <w:sz w:val="21"/>
                                  <w:szCs w:val="21"/>
                                </w:rPr>
                              </w:pPr>
                              <w:r>
                                <w:rPr>
                                  <w:rFonts w:hint="eastAsia"/>
                                  <w:sz w:val="21"/>
                                  <w:szCs w:val="21"/>
                                </w:rPr>
                                <w:t>35kV箱变</w:t>
                              </w:r>
                            </w:p>
                          </w:txbxContent>
                        </wps:txbx>
                        <wps:bodyPr upright="1"/>
                      </wps:wsp>
                      <wps:wsp>
                        <wps:cNvPr id="494" name="矩形 133"/>
                        <wps:cNvSpPr/>
                        <wps:spPr>
                          <a:xfrm>
                            <a:off x="7516" y="1263950"/>
                            <a:ext cx="1654" cy="43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38AA04B">
                              <w:pPr>
                                <w:spacing w:line="240" w:lineRule="auto"/>
                                <w:ind w:left="-84" w:leftChars="-30" w:right="-84" w:rightChars="-30" w:firstLine="0" w:firstLineChars="0"/>
                                <w:jc w:val="center"/>
                                <w:rPr>
                                  <w:sz w:val="21"/>
                                  <w:szCs w:val="21"/>
                                </w:rPr>
                              </w:pPr>
                              <w:r>
                                <w:rPr>
                                  <w:rFonts w:hint="eastAsia"/>
                                  <w:sz w:val="21"/>
                                  <w:szCs w:val="21"/>
                                </w:rPr>
                                <w:t>35kV集电线路</w:t>
                              </w:r>
                            </w:p>
                            <w:p w14:paraId="14682897">
                              <w:pPr>
                                <w:spacing w:line="240" w:lineRule="auto"/>
                                <w:ind w:left="-84" w:leftChars="-30" w:right="-84" w:rightChars="-30" w:firstLine="0" w:firstLineChars="0"/>
                                <w:jc w:val="center"/>
                                <w:rPr>
                                  <w:sz w:val="21"/>
                                  <w:szCs w:val="21"/>
                                </w:rPr>
                              </w:pPr>
                            </w:p>
                          </w:txbxContent>
                        </wps:txbx>
                        <wps:bodyPr upright="1"/>
                      </wps:wsp>
                      <wps:wsp>
                        <wps:cNvPr id="495" name="直线 134"/>
                        <wps:cNvCnPr/>
                        <wps:spPr>
                          <a:xfrm>
                            <a:off x="7051" y="1264195"/>
                            <a:ext cx="454" cy="1"/>
                          </a:xfrm>
                          <a:prstGeom prst="line">
                            <a:avLst/>
                          </a:prstGeom>
                          <a:ln w="9525" cap="flat" cmpd="sng">
                            <a:solidFill>
                              <a:srgbClr val="000000"/>
                            </a:solidFill>
                            <a:prstDash val="solid"/>
                            <a:headEnd type="none" w="med" len="med"/>
                            <a:tailEnd type="triangle" w="med" len="lg"/>
                          </a:ln>
                        </wps:spPr>
                        <wps:bodyPr/>
                      </wps:wsp>
                      <wps:wsp>
                        <wps:cNvPr id="496" name="直线 137"/>
                        <wps:cNvCnPr/>
                        <wps:spPr>
                          <a:xfrm flipH="1" flipV="1">
                            <a:off x="4931" y="1263389"/>
                            <a:ext cx="13" cy="565"/>
                          </a:xfrm>
                          <a:prstGeom prst="line">
                            <a:avLst/>
                          </a:prstGeom>
                          <a:ln w="9525" cap="flat" cmpd="sng">
                            <a:solidFill>
                              <a:srgbClr val="000000"/>
                            </a:solidFill>
                            <a:prstDash val="dash"/>
                            <a:headEnd type="none" w="med" len="med"/>
                            <a:tailEnd type="triangle" w="med" len="lg"/>
                          </a:ln>
                        </wps:spPr>
                        <wps:bodyPr/>
                      </wps:wsp>
                      <wps:wsp>
                        <wps:cNvPr id="497" name="矩形 138"/>
                        <wps:cNvSpPr/>
                        <wps:spPr>
                          <a:xfrm>
                            <a:off x="4398" y="1262941"/>
                            <a:ext cx="1054" cy="423"/>
                          </a:xfrm>
                          <a:prstGeom prst="rect">
                            <a:avLst/>
                          </a:prstGeom>
                          <a:solidFill>
                            <a:srgbClr val="FFFFFF"/>
                          </a:solidFill>
                          <a:ln w="9525" cap="flat" cmpd="sng">
                            <a:solidFill>
                              <a:srgbClr val="000000"/>
                            </a:solidFill>
                            <a:prstDash val="dash"/>
                            <a:miter/>
                            <a:headEnd type="none" w="med" len="med"/>
                            <a:tailEnd type="none" w="med" len="med"/>
                          </a:ln>
                        </wps:spPr>
                        <wps:txbx>
                          <w:txbxContent>
                            <w:p w14:paraId="3E975BD2">
                              <w:pPr>
                                <w:spacing w:line="240" w:lineRule="auto"/>
                                <w:ind w:left="0" w:leftChars="0" w:firstLine="0" w:firstLineChars="0"/>
                                <w:jc w:val="center"/>
                                <w:rPr>
                                  <w:sz w:val="21"/>
                                  <w:szCs w:val="21"/>
                                </w:rPr>
                              </w:pPr>
                              <w:r>
                                <w:rPr>
                                  <w:rFonts w:hint="eastAsia"/>
                                  <w:sz w:val="21"/>
                                  <w:szCs w:val="21"/>
                                </w:rPr>
                                <w:t>噪声</w:t>
                              </w:r>
                            </w:p>
                          </w:txbxContent>
                        </wps:txbx>
                        <wps:bodyPr upright="1"/>
                      </wps:wsp>
                    </wpg:wgp>
                  </a:graphicData>
                </a:graphic>
              </wp:anchor>
            </w:drawing>
          </mc:Choice>
          <mc:Fallback>
            <w:pict>
              <v:group id="组合 126" o:spid="_x0000_s1026" o:spt="203" style="position:absolute;left:0pt;margin-left:104.75pt;margin-top:6.1pt;height:72.8pt;width:238.6pt;z-index:251672576;mso-width-relative:page;mso-height-relative:page;" coordorigin="4398,1262941" coordsize="4772,1456" o:gfxdata="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">
                <o:lock v:ext="edit" aspectratio="f"/>
                <v:rect id="矩形 128" o:spid="_x0000_s1026" o:spt="1" style="position:absolute;left:4401;top:1263960;height:437;width:1020;" fillcolor="#FFFFFF" filled="t" stroked="t" coordsize="21600,21600" o:gfxdata="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tnrh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7717C0DD">
                        <w:pPr>
                          <w:spacing w:line="240" w:lineRule="auto"/>
                          <w:ind w:left="-84" w:leftChars="-30" w:right="-84" w:rightChars="-30" w:firstLine="0" w:firstLineChars="0"/>
                          <w:jc w:val="center"/>
                          <w:rPr>
                            <w:sz w:val="21"/>
                            <w:szCs w:val="21"/>
                          </w:rPr>
                        </w:pPr>
                        <w:r>
                          <w:rPr>
                            <w:rFonts w:hint="eastAsia"/>
                            <w:sz w:val="21"/>
                            <w:szCs w:val="21"/>
                          </w:rPr>
                          <w:t>风机</w:t>
                        </w:r>
                      </w:p>
                    </w:txbxContent>
                  </v:textbox>
                </v:rect>
                <v:line id="直线 131" o:spid="_x0000_s1026" o:spt="20" style="position:absolute;left:5422;top:1264180;height:1;width:454;" filled="f" stroked="t" coordsize="21600,21600" o:gfxdata="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VNlXvQAA&#10;ANwAAAAPAAAAAAAAAAEAIAAAACIAAABkcnMvZG93bnJldi54bWxQSwECFAAUAAAACACHTuJAMy8F&#10;njsAAAA5AAAAEAAAAAAAAAABACAAAAAMAQAAZHJzL3NoYXBleG1sLnhtbFBLBQYAAAAABgAGAFsB&#10;AAC2AwAAAAA=&#10;">
                  <v:fill on="f" focussize="0,0"/>
                  <v:stroke color="#000000" joinstyle="round" endarrow="block" endarrowlength="long"/>
                  <v:imagedata o:title=""/>
                  <o:lock v:ext="edit" aspectratio="f"/>
                </v:line>
                <v:rect id="矩形 132" o:spid="_x0000_s1026" o:spt="1" style="position:absolute;left:5869;top:1263959;height:436;width:1170;" fillcolor="#FFFFFF" filled="t" stroked="t" coordsize="21600,21600" o:gfxdata="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VH0G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181C908C">
                        <w:pPr>
                          <w:spacing w:line="240" w:lineRule="auto"/>
                          <w:ind w:left="-84" w:leftChars="-30" w:right="-84" w:rightChars="-30" w:firstLine="0" w:firstLineChars="0"/>
                          <w:jc w:val="center"/>
                          <w:rPr>
                            <w:sz w:val="21"/>
                            <w:szCs w:val="21"/>
                          </w:rPr>
                        </w:pPr>
                        <w:r>
                          <w:rPr>
                            <w:rFonts w:hint="eastAsia"/>
                            <w:sz w:val="21"/>
                            <w:szCs w:val="21"/>
                          </w:rPr>
                          <w:t>35kV箱变</w:t>
                        </w:r>
                      </w:p>
                    </w:txbxContent>
                  </v:textbox>
                </v:rect>
                <v:rect id="矩形 133" o:spid="_x0000_s1026" o:spt="1" style="position:absolute;left:7516;top:1263950;height:436;width:1654;" fillcolor="#FFFFFF" filled="t" stroked="t" coordsize="21600,21600" o:gfxdata="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quSB+/&#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438AA04B">
                        <w:pPr>
                          <w:spacing w:line="240" w:lineRule="auto"/>
                          <w:ind w:left="-84" w:leftChars="-30" w:right="-84" w:rightChars="-30" w:firstLine="0" w:firstLineChars="0"/>
                          <w:jc w:val="center"/>
                          <w:rPr>
                            <w:sz w:val="21"/>
                            <w:szCs w:val="21"/>
                          </w:rPr>
                        </w:pPr>
                        <w:r>
                          <w:rPr>
                            <w:rFonts w:hint="eastAsia"/>
                            <w:sz w:val="21"/>
                            <w:szCs w:val="21"/>
                          </w:rPr>
                          <w:t>35kV集电线路</w:t>
                        </w:r>
                      </w:p>
                      <w:p w14:paraId="14682897">
                        <w:pPr>
                          <w:spacing w:line="240" w:lineRule="auto"/>
                          <w:ind w:left="-84" w:leftChars="-30" w:right="-84" w:rightChars="-30" w:firstLine="0" w:firstLineChars="0"/>
                          <w:jc w:val="center"/>
                          <w:rPr>
                            <w:sz w:val="21"/>
                            <w:szCs w:val="21"/>
                          </w:rPr>
                        </w:pPr>
                      </w:p>
                    </w:txbxContent>
                  </v:textbox>
                </v:rect>
                <v:line id="直线 134" o:spid="_x0000_s1026" o:spt="20" style="position:absolute;left:7051;top:1264195;height:1;width:454;" filled="f" stroked="t" coordsize="21600,21600" o:gfxdata="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r1BI74A&#10;AADcAAAADwAAAAAAAAABACAAAAAiAAAAZHJzL2Rvd25yZXYueG1sUEsBAhQAFAAAAAgAh07iQDMv&#10;BZ47AAAAOQAAABAAAAAAAAAAAQAgAAAADQEAAGRycy9zaGFwZXhtbC54bWxQSwUGAAAAAAYABgBb&#10;AQAAtwMAAAAA&#10;">
                  <v:fill on="f" focussize="0,0"/>
                  <v:stroke color="#000000" joinstyle="round" endarrow="block" endarrowlength="long"/>
                  <v:imagedata o:title=""/>
                  <o:lock v:ext="edit" aspectratio="f"/>
                </v:line>
                <v:line id="直线 137" o:spid="_x0000_s1026" o:spt="20" style="position:absolute;left:4931;top:1263389;flip:x y;height:565;width:13;" filled="f" stroked="t" coordsize="21600,21600" o:gfxdata="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oWj874A&#10;AADcAAAADwAAAAAAAAABACAAAAAiAAAAZHJzL2Rvd25yZXYueG1sUEsBAhQAFAAAAAgAh07iQDMv&#10;BZ47AAAAOQAAABAAAAAAAAAAAQAgAAAADQEAAGRycy9zaGFwZXhtbC54bWxQSwUGAAAAAAYABgBb&#10;AQAAtwMAAAAA&#10;">
                  <v:fill on="f" focussize="0,0"/>
                  <v:stroke color="#000000" joinstyle="round" dashstyle="dash" endarrow="block" endarrowlength="long"/>
                  <v:imagedata o:title=""/>
                  <o:lock v:ext="edit" aspectratio="f"/>
                </v:line>
                <v:rect id="矩形 138" o:spid="_x0000_s1026" o:spt="1" style="position:absolute;left:4398;top:1262941;height:423;width:1054;" fillcolor="#FFFFFF" filled="t" stroked="t" coordsize="21600,21600" o:gfxdata="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i3Jy&#10;wAAAANwAAAAPAAAAAAAAAAEAIAAAACIAAABkcnMvZG93bnJldi54bWxQSwECFAAUAAAACACHTuJA&#10;My8FnjsAAAA5AAAAEAAAAAAAAAABACAAAAAPAQAAZHJzL3NoYXBleG1sLnhtbFBLBQYAAAAABgAG&#10;AFsBAAC5AwAAAAA=&#10;">
                  <v:fill on="t" focussize="0,0"/>
                  <v:stroke color="#000000" joinstyle="miter" dashstyle="dash"/>
                  <v:imagedata o:title=""/>
                  <o:lock v:ext="edit" aspectratio="f"/>
                  <v:textbox>
                    <w:txbxContent>
                      <w:p w14:paraId="3E975BD2">
                        <w:pPr>
                          <w:spacing w:line="240" w:lineRule="auto"/>
                          <w:ind w:left="0" w:leftChars="0" w:firstLine="0" w:firstLineChars="0"/>
                          <w:jc w:val="center"/>
                          <w:rPr>
                            <w:sz w:val="21"/>
                            <w:szCs w:val="21"/>
                          </w:rPr>
                        </w:pPr>
                        <w:r>
                          <w:rPr>
                            <w:rFonts w:hint="eastAsia"/>
                            <w:sz w:val="21"/>
                            <w:szCs w:val="21"/>
                          </w:rPr>
                          <w:t>噪声</w:t>
                        </w:r>
                      </w:p>
                    </w:txbxContent>
                  </v:textbox>
                </v:rect>
              </v:group>
            </w:pict>
          </mc:Fallback>
        </mc:AlternateContent>
      </w:r>
    </w:p>
    <w:p w14:paraId="13542A3E">
      <w:pPr>
        <w:ind w:firstLine="0" w:firstLineChars="0"/>
        <w:jc w:val="center"/>
        <w:rPr>
          <w:rFonts w:hint="default" w:ascii="Times New Roman" w:hAnsi="Times New Roman" w:cs="Times New Roman"/>
          <w:b/>
          <w:bCs/>
          <w:color w:val="FF0000"/>
        </w:rPr>
      </w:pPr>
    </w:p>
    <w:p w14:paraId="4AEF611D">
      <w:pPr>
        <w:ind w:firstLine="0" w:firstLineChars="0"/>
        <w:jc w:val="center"/>
        <w:rPr>
          <w:rFonts w:hint="default" w:ascii="Times New Roman" w:hAnsi="Times New Roman" w:cs="Times New Roman"/>
          <w:b/>
          <w:bCs/>
          <w:color w:val="FF0000"/>
        </w:rPr>
      </w:pPr>
    </w:p>
    <w:p w14:paraId="1FF92FE8">
      <w:pPr>
        <w:ind w:firstLine="0" w:firstLineChars="0"/>
        <w:jc w:val="center"/>
        <w:rPr>
          <w:rFonts w:hint="default" w:ascii="Times New Roman" w:hAnsi="Times New Roman" w:cs="Times New Roman"/>
          <w:b/>
          <w:bCs/>
          <w:color w:val="FF0000"/>
        </w:rPr>
      </w:pPr>
    </w:p>
    <w:p w14:paraId="6E8CE640">
      <w:pPr>
        <w:keepNext w:val="0"/>
        <w:keepLines w:val="0"/>
        <w:pageBreakBefore w:val="0"/>
        <w:widowControl w:val="0"/>
        <w:kinsoku/>
        <w:wordWrap/>
        <w:overflowPunct/>
        <w:topLinePunct w:val="0"/>
        <w:autoSpaceDE/>
        <w:autoSpaceDN/>
        <w:bidi w:val="0"/>
        <w:adjustRightInd w:val="0"/>
        <w:snapToGrid w:val="0"/>
        <w:ind w:left="0" w:leftChars="0" w:firstLine="480" w:firstLineChars="200"/>
        <w:jc w:val="center"/>
        <w:textAlignment w:val="auto"/>
        <w:rPr>
          <w:rFonts w:hint="default" w:ascii="Times New Roman" w:hAnsi="Times New Roman" w:cs="Times New Roman" w:eastAsiaTheme="minorEastAsia"/>
          <w:b/>
          <w:bCs/>
          <w:snapToGrid w:val="0"/>
          <w:color w:val="000000" w:themeColor="text1"/>
          <w:sz w:val="24"/>
          <w:szCs w:val="20"/>
          <w:highlight w:val="none"/>
          <w:lang w:val="en-US" w:eastAsia="zh-CN"/>
          <w14:textFill>
            <w14:solidFill>
              <w14:schemeClr w14:val="tx1"/>
            </w14:solidFill>
          </w14:textFill>
        </w:rPr>
      </w:pPr>
      <w:r>
        <w:rPr>
          <w:rFonts w:hint="default" w:ascii="Times New Roman" w:hAnsi="Times New Roman" w:cs="Times New Roman" w:eastAsiaTheme="minorEastAsia"/>
          <w:b/>
          <w:bCs/>
          <w:snapToGrid w:val="0"/>
          <w:color w:val="000000" w:themeColor="text1"/>
          <w:sz w:val="24"/>
          <w:szCs w:val="20"/>
          <w:highlight w:val="none"/>
          <w:lang w:val="en-US" w:eastAsia="zh-CN"/>
          <w14:textFill>
            <w14:solidFill>
              <w14:schemeClr w14:val="tx1"/>
            </w14:solidFill>
          </w14:textFill>
        </w:rPr>
        <w:t>图3.2-</w:t>
      </w:r>
      <w:r>
        <w:rPr>
          <w:rFonts w:hint="eastAsia" w:cs="Times New Roman" w:eastAsiaTheme="minorEastAsia"/>
          <w:b/>
          <w:bCs/>
          <w:snapToGrid w:val="0"/>
          <w:color w:val="000000" w:themeColor="text1"/>
          <w:sz w:val="24"/>
          <w:szCs w:val="20"/>
          <w:highlight w:val="none"/>
          <w:lang w:val="en-US" w:eastAsia="zh-CN"/>
          <w14:textFill>
            <w14:solidFill>
              <w14:schemeClr w14:val="tx1"/>
            </w14:solidFill>
          </w14:textFill>
        </w:rPr>
        <w:t>3</w:t>
      </w:r>
      <w:r>
        <w:rPr>
          <w:rFonts w:hint="default" w:ascii="Times New Roman" w:hAnsi="Times New Roman" w:cs="Times New Roman" w:eastAsiaTheme="minorEastAsia"/>
          <w:b/>
          <w:bCs/>
          <w:snapToGrid w:val="0"/>
          <w:color w:val="000000" w:themeColor="text1"/>
          <w:sz w:val="24"/>
          <w:szCs w:val="20"/>
          <w:highlight w:val="none"/>
          <w:lang w:val="en-US" w:eastAsia="zh-CN"/>
          <w14:textFill>
            <w14:solidFill>
              <w14:schemeClr w14:val="tx1"/>
            </w14:solidFill>
          </w14:textFill>
        </w:rPr>
        <w:t xml:space="preserve">    风电场运营期工艺流程及产污环节图</w:t>
      </w:r>
    </w:p>
    <w:p w14:paraId="666D8A33">
      <w:pPr>
        <w:keepNext w:val="0"/>
        <w:keepLines w:val="0"/>
        <w:pageBreakBefore w:val="0"/>
        <w:widowControl/>
        <w:kinsoku/>
        <w:wordWrap/>
        <w:overflowPunct w:val="0"/>
        <w:topLinePunct w:val="0"/>
        <w:autoSpaceDE w:val="0"/>
        <w:autoSpaceDN w:val="0"/>
        <w:bidi w:val="0"/>
        <w:adjustRightInd w:val="0"/>
        <w:snapToGrid w:val="0"/>
        <w:spacing w:before="219" w:line="219" w:lineRule="auto"/>
        <w:ind w:left="0" w:leftChars="0" w:firstLine="0" w:firstLineChars="0"/>
        <w:jc w:val="center"/>
        <w:textAlignment w:val="baseline"/>
        <w:rPr>
          <w:rFonts w:hint="default" w:ascii="Times New Roman" w:hAnsi="Times New Roman" w:eastAsia="宋体" w:cs="Times New Roman"/>
          <w:color w:val="FF0000"/>
          <w:sz w:val="24"/>
          <w:szCs w:val="24"/>
        </w:rPr>
      </w:pPr>
    </w:p>
    <w:p w14:paraId="54EBD695">
      <w:pPr>
        <w:pStyle w:val="12"/>
        <w:keepNext/>
        <w:keepLines/>
        <w:pageBreakBefore w:val="0"/>
        <w:widowControl w:val="0"/>
        <w:numPr>
          <w:ilvl w:val="0"/>
          <w:numId w:val="0"/>
        </w:numPr>
        <w:tabs>
          <w:tab w:val="left" w:pos="1050"/>
        </w:tabs>
        <w:kinsoku/>
        <w:wordWrap/>
        <w:overflowPunct/>
        <w:topLinePunct w:val="0"/>
        <w:autoSpaceDE/>
        <w:autoSpaceDN/>
        <w:bidi w:val="0"/>
        <w:adjustRightInd/>
        <w:snapToGrid w:val="0"/>
        <w:spacing w:before="0" w:beforeLines="0" w:after="0" w:afterLines="0" w:line="360" w:lineRule="auto"/>
        <w:ind w:left="0" w:leftChars="0"/>
        <w:textAlignment w:val="auto"/>
        <w:outlineLvl w:val="3"/>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t>3.2.2.2运营期污染源强分析</w:t>
      </w:r>
    </w:p>
    <w:p w14:paraId="0E42DD51">
      <w:pPr>
        <w:pStyle w:val="614"/>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eastAsiaTheme="minorEastAsia"/>
          <w:b/>
          <w:bCs/>
          <w:snapToGrid w:val="0"/>
          <w:color w:val="000000" w:themeColor="text1"/>
          <w:kern w:val="0"/>
          <w:sz w:val="24"/>
          <w:szCs w:val="20"/>
          <w:highlight w:val="none"/>
          <w:lang w:val="en-US" w:eastAsia="zh-CN"/>
          <w14:textFill>
            <w14:solidFill>
              <w14:schemeClr w14:val="tx1"/>
            </w14:solidFill>
          </w14:textFill>
        </w:rPr>
      </w:pPr>
      <w:r>
        <w:rPr>
          <w:rFonts w:hint="default" w:ascii="Times New Roman" w:hAnsi="Times New Roman" w:cs="Times New Roman" w:eastAsiaTheme="minorEastAsia"/>
          <w:b/>
          <w:bCs/>
          <w:snapToGrid w:val="0"/>
          <w:color w:val="000000" w:themeColor="text1"/>
          <w:kern w:val="0"/>
          <w:sz w:val="24"/>
          <w:szCs w:val="20"/>
          <w:highlight w:val="none"/>
          <w:lang w:val="en-US" w:eastAsia="zh-CN"/>
          <w14:textFill>
            <w14:solidFill>
              <w14:schemeClr w14:val="tx1"/>
            </w14:solidFill>
          </w14:textFill>
        </w:rPr>
        <w:t>（1）废气</w:t>
      </w:r>
    </w:p>
    <w:p w14:paraId="3FE21A0B">
      <w:pPr>
        <w:pStyle w:val="614"/>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t>本项目</w:t>
      </w:r>
      <w:r>
        <w:rPr>
          <w:rFonts w:hint="eastAsia" w:cs="Times New Roman" w:eastAsiaTheme="minorEastAsia"/>
          <w:snapToGrid w:val="0"/>
          <w:color w:val="000000" w:themeColor="text1"/>
          <w:sz w:val="24"/>
          <w:szCs w:val="20"/>
          <w:highlight w:val="none"/>
          <w:lang w:val="en-US" w:eastAsia="zh-CN"/>
          <w14:textFill>
            <w14:solidFill>
              <w14:schemeClr w14:val="tx1"/>
            </w14:solidFill>
          </w14:textFill>
        </w:rPr>
        <w:t>风电场</w:t>
      </w:r>
      <w:r>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t>运营期无废气产生。</w:t>
      </w:r>
    </w:p>
    <w:p w14:paraId="03DC3F31">
      <w:pPr>
        <w:pStyle w:val="614"/>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eastAsiaTheme="minorEastAsia"/>
          <w:b/>
          <w:bCs/>
          <w:snapToGrid w:val="0"/>
          <w:color w:val="000000" w:themeColor="text1"/>
          <w:kern w:val="0"/>
          <w:sz w:val="24"/>
          <w:szCs w:val="20"/>
          <w:highlight w:val="none"/>
          <w:lang w:val="en-US" w:eastAsia="zh-CN"/>
          <w14:textFill>
            <w14:solidFill>
              <w14:schemeClr w14:val="tx1"/>
            </w14:solidFill>
          </w14:textFill>
        </w:rPr>
      </w:pPr>
      <w:r>
        <w:rPr>
          <w:rFonts w:hint="default" w:ascii="Times New Roman" w:hAnsi="Times New Roman" w:cs="Times New Roman" w:eastAsiaTheme="minorEastAsia"/>
          <w:b/>
          <w:bCs/>
          <w:snapToGrid w:val="0"/>
          <w:color w:val="000000" w:themeColor="text1"/>
          <w:kern w:val="0"/>
          <w:sz w:val="24"/>
          <w:szCs w:val="20"/>
          <w:highlight w:val="none"/>
          <w:lang w:val="en-US" w:eastAsia="zh-CN"/>
          <w14:textFill>
            <w14:solidFill>
              <w14:schemeClr w14:val="tx1"/>
            </w14:solidFill>
          </w14:textFill>
        </w:rPr>
        <w:t>（2）废水</w:t>
      </w:r>
    </w:p>
    <w:p w14:paraId="420CDF7F">
      <w:pPr>
        <w:pStyle w:val="614"/>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t>本项目</w:t>
      </w:r>
      <w:r>
        <w:rPr>
          <w:rFonts w:hint="eastAsia" w:cs="Times New Roman" w:eastAsiaTheme="minorEastAsia"/>
          <w:snapToGrid w:val="0"/>
          <w:color w:val="000000" w:themeColor="text1"/>
          <w:sz w:val="24"/>
          <w:szCs w:val="20"/>
          <w:highlight w:val="none"/>
          <w:lang w:val="en-US" w:eastAsia="zh-CN"/>
          <w14:textFill>
            <w14:solidFill>
              <w14:schemeClr w14:val="tx1"/>
            </w14:solidFill>
          </w14:textFill>
        </w:rPr>
        <w:t>风电场</w:t>
      </w:r>
      <w:r>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t>运营期无废</w:t>
      </w:r>
      <w:r>
        <w:rPr>
          <w:rFonts w:hint="eastAsia" w:cs="Times New Roman" w:eastAsiaTheme="minorEastAsia"/>
          <w:snapToGrid w:val="0"/>
          <w:color w:val="000000" w:themeColor="text1"/>
          <w:sz w:val="24"/>
          <w:szCs w:val="20"/>
          <w:highlight w:val="none"/>
          <w:lang w:val="en-US" w:eastAsia="zh-CN"/>
          <w14:textFill>
            <w14:solidFill>
              <w14:schemeClr w14:val="tx1"/>
            </w14:solidFill>
          </w14:textFill>
        </w:rPr>
        <w:t>水</w:t>
      </w:r>
      <w:r>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t>产生。</w:t>
      </w:r>
    </w:p>
    <w:p w14:paraId="4A994932">
      <w:pPr>
        <w:pStyle w:val="614"/>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eastAsiaTheme="minorEastAsia"/>
          <w:b/>
          <w:bCs/>
          <w:snapToGrid w:val="0"/>
          <w:color w:val="000000" w:themeColor="text1"/>
          <w:kern w:val="0"/>
          <w:sz w:val="24"/>
          <w:szCs w:val="20"/>
          <w:highlight w:val="none"/>
          <w:lang w:val="en-US" w:eastAsia="zh-CN"/>
          <w14:textFill>
            <w14:solidFill>
              <w14:schemeClr w14:val="tx1"/>
            </w14:solidFill>
          </w14:textFill>
        </w:rPr>
      </w:pPr>
      <w:r>
        <w:rPr>
          <w:rFonts w:hint="default" w:ascii="Times New Roman" w:hAnsi="Times New Roman" w:cs="Times New Roman" w:eastAsiaTheme="minorEastAsia"/>
          <w:b/>
          <w:bCs/>
          <w:snapToGrid w:val="0"/>
          <w:color w:val="000000" w:themeColor="text1"/>
          <w:kern w:val="0"/>
          <w:sz w:val="24"/>
          <w:szCs w:val="20"/>
          <w:highlight w:val="none"/>
          <w:lang w:val="en-US" w:eastAsia="zh-CN"/>
          <w14:textFill>
            <w14:solidFill>
              <w14:schemeClr w14:val="tx1"/>
            </w14:solidFill>
          </w14:textFill>
        </w:rPr>
        <w:t>（3）噪声</w:t>
      </w:r>
    </w:p>
    <w:p w14:paraId="4332AF43">
      <w:pPr>
        <w:pStyle w:val="614"/>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t>本项目营运期噪声主要来源于风机噪声。</w:t>
      </w:r>
    </w:p>
    <w:p w14:paraId="0354A5D7">
      <w:pPr>
        <w:pStyle w:val="614"/>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t>本项目选用单机容量</w:t>
      </w:r>
      <w:r>
        <w:rPr>
          <w:rFonts w:hint="eastAsia" w:cs="Times New Roman" w:eastAsiaTheme="minorEastAsia"/>
          <w:snapToGrid w:val="0"/>
          <w:color w:val="000000" w:themeColor="text1"/>
          <w:sz w:val="24"/>
          <w:szCs w:val="20"/>
          <w:highlight w:val="none"/>
          <w:lang w:val="en-US" w:eastAsia="zh-CN"/>
          <w14:textFill>
            <w14:solidFill>
              <w14:schemeClr w14:val="tx1"/>
            </w14:solidFill>
          </w14:textFill>
        </w:rPr>
        <w:t>7.15</w:t>
      </w:r>
      <w:r>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t>MW的风力发电机组，轮毂距离地面约12</w:t>
      </w:r>
      <w:r>
        <w:rPr>
          <w:rFonts w:hint="eastAsia" w:cs="Times New Roman" w:eastAsiaTheme="minorEastAsia"/>
          <w:snapToGrid w:val="0"/>
          <w:color w:val="000000" w:themeColor="text1"/>
          <w:sz w:val="24"/>
          <w:szCs w:val="20"/>
          <w:highlight w:val="none"/>
          <w:lang w:val="en-US" w:eastAsia="zh-CN"/>
          <w14:textFill>
            <w14:solidFill>
              <w14:schemeClr w14:val="tx1"/>
            </w14:solidFill>
          </w14:textFill>
        </w:rPr>
        <w:t>0</w:t>
      </w:r>
      <w:r>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t>m，在10m高度的风速为10m/s时的标准状态下，机组运行时轮毂处噪声约102dB(A)。</w:t>
      </w:r>
    </w:p>
    <w:p w14:paraId="62A19428">
      <w:pPr>
        <w:pStyle w:val="614"/>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eastAsiaTheme="minorEastAsia"/>
          <w:b/>
          <w:bCs/>
          <w:snapToGrid w:val="0"/>
          <w:color w:val="000000" w:themeColor="text1"/>
          <w:kern w:val="0"/>
          <w:sz w:val="24"/>
          <w:szCs w:val="20"/>
          <w:highlight w:val="none"/>
          <w:lang w:val="en-US" w:eastAsia="zh-CN"/>
          <w14:textFill>
            <w14:solidFill>
              <w14:schemeClr w14:val="tx1"/>
            </w14:solidFill>
          </w14:textFill>
        </w:rPr>
      </w:pPr>
      <w:r>
        <w:rPr>
          <w:rFonts w:hint="default" w:ascii="Times New Roman" w:hAnsi="Times New Roman" w:cs="Times New Roman" w:eastAsiaTheme="minorEastAsia"/>
          <w:b/>
          <w:bCs/>
          <w:snapToGrid w:val="0"/>
          <w:color w:val="000000" w:themeColor="text1"/>
          <w:kern w:val="0"/>
          <w:sz w:val="24"/>
          <w:szCs w:val="20"/>
          <w:highlight w:val="none"/>
          <w:lang w:val="en-US" w:eastAsia="zh-CN"/>
          <w14:textFill>
            <w14:solidFill>
              <w14:schemeClr w14:val="tx1"/>
            </w14:solidFill>
          </w14:textFill>
        </w:rPr>
        <w:t>（4）固体废物</w:t>
      </w:r>
    </w:p>
    <w:p w14:paraId="412A7FB1">
      <w:pPr>
        <w:pStyle w:val="614"/>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t>本项目运营期产生的固体废物主要包括生活垃圾、含油抹布及废手套、风机报废零部件、废风机叶片</w:t>
      </w:r>
      <w:r>
        <w:rPr>
          <w:rFonts w:hint="eastAsia" w:cs="Times New Roman" w:eastAsiaTheme="minorEastAsia"/>
          <w:snapToGrid w:val="0"/>
          <w:color w:val="000000" w:themeColor="text1"/>
          <w:sz w:val="24"/>
          <w:szCs w:val="20"/>
          <w:highlight w:val="none"/>
          <w:lang w:val="en-US" w:eastAsia="zh-CN"/>
          <w14:textFill>
            <w14:solidFill>
              <w14:schemeClr w14:val="tx1"/>
            </w14:solidFill>
          </w14:textFill>
        </w:rPr>
        <w:t>以及风电场检修产生的废矿物油</w:t>
      </w:r>
      <w:r>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t>等。</w:t>
      </w:r>
    </w:p>
    <w:p w14:paraId="66B1FEEB">
      <w:pPr>
        <w:pStyle w:val="614"/>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t>①生活垃圾</w:t>
      </w:r>
    </w:p>
    <w:p w14:paraId="54DEC808">
      <w:pPr>
        <w:pStyle w:val="614"/>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pPr>
      <w:r>
        <w:rPr>
          <w:rFonts w:hint="eastAsia" w:cs="Times New Roman" w:eastAsiaTheme="minorEastAsia"/>
          <w:snapToGrid w:val="0"/>
          <w:color w:val="000000" w:themeColor="text1"/>
          <w:sz w:val="24"/>
          <w:szCs w:val="20"/>
          <w:highlight w:val="none"/>
          <w:lang w:val="en-US" w:eastAsia="zh-CN"/>
          <w14:textFill>
            <w14:solidFill>
              <w14:schemeClr w14:val="tx1"/>
            </w14:solidFill>
          </w14:textFill>
        </w:rPr>
        <w:t>风电场</w:t>
      </w:r>
      <w:r>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t>运营期不产生生活垃圾，仅在检修过程中产生少量生活垃圾。运营期检修过程中生活垃圾产生量约0.05t/a。巡检时产生的生活垃圾由检修人员随车拉运至就近生活垃圾转运站，由环卫部门统一处置。</w:t>
      </w:r>
    </w:p>
    <w:p w14:paraId="330EA789">
      <w:pPr>
        <w:pStyle w:val="614"/>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t>②风机报废零部件</w:t>
      </w:r>
    </w:p>
    <w:p w14:paraId="05402066">
      <w:pPr>
        <w:pStyle w:val="614"/>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t>风电机组本身不产生固废，在维修时会产生废电器元器件、开关、断路器及传感器等报废零部件，根据《固体废物分类与代码目录》(2024版)废零部件属于“SW17可再生类固体废物”，废物代码为“900-008-S17”固废名称为：“废弃电器电子产品。”，废零部件集中收集后由厂家回收处置，产生及回收量约0.1t/a。</w:t>
      </w:r>
    </w:p>
    <w:p w14:paraId="53145E19">
      <w:pPr>
        <w:pStyle w:val="614"/>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t>③废风机叶片</w:t>
      </w:r>
    </w:p>
    <w:p w14:paraId="6A483475">
      <w:pPr>
        <w:pStyle w:val="614"/>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t>本项目风机使用寿命20~25年，只有在风电站技改或者退役时，会产生废风机叶片，根据《固体废物分类与代码目录》(2024版)废零部件属于“SW17  可再生类固体废物”，废物代码为“900-016-S17”固废名称为：“风力发电站在技改或者退役过程中产生的废风机叶片”，本项目</w:t>
      </w:r>
      <w:r>
        <w:rPr>
          <w:rFonts w:hint="eastAsia" w:cs="Times New Roman" w:eastAsiaTheme="minorEastAsia"/>
          <w:snapToGrid w:val="0"/>
          <w:color w:val="000000" w:themeColor="text1"/>
          <w:sz w:val="24"/>
          <w:szCs w:val="20"/>
          <w:highlight w:val="none"/>
          <w:lang w:val="en-US" w:eastAsia="zh-CN"/>
          <w14:textFill>
            <w14:solidFill>
              <w14:schemeClr w14:val="tx1"/>
            </w14:solidFill>
          </w14:textFill>
        </w:rPr>
        <w:t>20</w:t>
      </w:r>
      <w:r>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t>台风机共</w:t>
      </w:r>
      <w:r>
        <w:rPr>
          <w:rFonts w:hint="eastAsia" w:cs="Times New Roman" w:eastAsiaTheme="minorEastAsia"/>
          <w:snapToGrid w:val="0"/>
          <w:color w:val="000000" w:themeColor="text1"/>
          <w:sz w:val="24"/>
          <w:szCs w:val="20"/>
          <w:highlight w:val="none"/>
          <w:lang w:val="en-US" w:eastAsia="zh-CN"/>
          <w14:textFill>
            <w14:solidFill>
              <w14:schemeClr w14:val="tx1"/>
            </w14:solidFill>
          </w14:textFill>
        </w:rPr>
        <w:t>63</w:t>
      </w:r>
      <w:r>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t>片风机叶片，约</w:t>
      </w:r>
      <w:r>
        <w:rPr>
          <w:rFonts w:hint="eastAsia" w:cs="Times New Roman" w:eastAsiaTheme="minorEastAsia"/>
          <w:snapToGrid w:val="0"/>
          <w:color w:val="000000" w:themeColor="text1"/>
          <w:sz w:val="24"/>
          <w:szCs w:val="20"/>
          <w:highlight w:val="none"/>
          <w:lang w:val="en-US" w:eastAsia="zh-CN"/>
          <w14:textFill>
            <w14:solidFill>
              <w14:schemeClr w14:val="tx1"/>
            </w14:solidFill>
          </w14:textFill>
        </w:rPr>
        <w:t>63</w:t>
      </w:r>
      <w:r>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t>0t重，废风机叶片集中收集后由厂家回收处置。</w:t>
      </w:r>
    </w:p>
    <w:p w14:paraId="14ADCF35">
      <w:pPr>
        <w:pStyle w:val="614"/>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pPr>
      <w:r>
        <w:rPr>
          <w:rFonts w:hint="eastAsia"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t>④</w:t>
      </w:r>
      <w:r>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t>废</w:t>
      </w:r>
      <w:r>
        <w:rPr>
          <w:rFonts w:hint="eastAsia" w:cs="Times New Roman" w:eastAsiaTheme="minorEastAsia"/>
          <w:snapToGrid w:val="0"/>
          <w:color w:val="000000" w:themeColor="text1"/>
          <w:sz w:val="24"/>
          <w:szCs w:val="20"/>
          <w:highlight w:val="none"/>
          <w:lang w:val="en-US" w:eastAsia="zh-CN"/>
          <w14:textFill>
            <w14:solidFill>
              <w14:schemeClr w14:val="tx1"/>
            </w14:solidFill>
          </w14:textFill>
        </w:rPr>
        <w:t>矿物油</w:t>
      </w:r>
    </w:p>
    <w:p w14:paraId="7851B693">
      <w:pPr>
        <w:keepNext w:val="0"/>
        <w:keepLines w:val="0"/>
        <w:pageBreakBefore w:val="0"/>
        <w:widowControl w:val="0"/>
        <w:kinsoku/>
        <w:wordWrap/>
        <w:overflowPunct/>
        <w:topLinePunct w:val="0"/>
        <w:autoSpaceDE/>
        <w:autoSpaceDN/>
        <w:bidi w:val="0"/>
        <w:snapToGrid w:val="0"/>
        <w:ind w:left="0" w:leftChars="0" w:firstLine="480" w:firstLineChars="200"/>
        <w:jc w:val="left"/>
        <w:textAlignment w:val="auto"/>
        <w:rPr>
          <w:rFonts w:hint="eastAsia" w:ascii="宋体" w:hAnsi="宋体" w:eastAsia="宋体"/>
          <w:sz w:val="24"/>
        </w:rPr>
      </w:pPr>
      <w:r>
        <w:rPr>
          <w:rFonts w:hint="eastAsia" w:ascii="宋体" w:hAnsi="宋体" w:eastAsia="宋体"/>
          <w:sz w:val="24"/>
        </w:rPr>
        <w:t>本项目风力发电机组中转动部件，如偏航轴承、变桨轴承、减速器齿轮、发电机轴承、液压控制系统等采用润滑油或润滑脂润滑。一般情况下</w:t>
      </w:r>
      <w:r>
        <w:rPr>
          <w:rFonts w:hint="eastAsia" w:ascii="TimesNewRomanPSMT" w:hAnsi="TimesNewRomanPSMT" w:eastAsia="TimesNewRomanPSMT"/>
          <w:sz w:val="24"/>
        </w:rPr>
        <w:t>4</w:t>
      </w:r>
      <w:r>
        <w:rPr>
          <w:rFonts w:hint="eastAsia" w:ascii="宋体" w:hAnsi="宋体" w:eastAsia="宋体"/>
          <w:sz w:val="24"/>
        </w:rPr>
        <w:t>～</w:t>
      </w:r>
      <w:r>
        <w:rPr>
          <w:rFonts w:hint="eastAsia" w:ascii="TimesNewRomanPSMT" w:hAnsi="TimesNewRomanPSMT" w:eastAsia="TimesNewRomanPSMT"/>
          <w:sz w:val="24"/>
        </w:rPr>
        <w:t xml:space="preserve">5 </w:t>
      </w:r>
      <w:r>
        <w:rPr>
          <w:rFonts w:hint="eastAsia" w:ascii="宋体" w:hAnsi="宋体" w:eastAsia="宋体"/>
          <w:sz w:val="24"/>
        </w:rPr>
        <w:t>年更换一次。本项目风力发电机组中转动部件（如偏航轴承、变桨轴承、减速器齿轮、发电机轴承、液压控制系统等部件）需定期检修或进行油样检测，每年检修产生废矿物油约为</w:t>
      </w:r>
      <w:r>
        <w:rPr>
          <w:rFonts w:hint="eastAsia" w:ascii="TimesNewRomanPSMT" w:hAnsi="TimesNewRomanPSMT" w:eastAsia="TimesNewRomanPSMT"/>
          <w:sz w:val="24"/>
        </w:rPr>
        <w:t>10</w:t>
      </w:r>
      <w:r>
        <w:rPr>
          <w:rFonts w:hint="eastAsia" w:ascii="宋体" w:hAnsi="宋体" w:eastAsia="宋体"/>
          <w:sz w:val="24"/>
          <w:lang w:val="en-US" w:eastAsia="zh-CN"/>
        </w:rPr>
        <w:t>kg</w:t>
      </w:r>
      <w:r>
        <w:rPr>
          <w:rFonts w:hint="eastAsia" w:ascii="TimesNewRomanPSMT" w:hAnsi="TimesNewRomanPSMT" w:eastAsia="TimesNewRomanPSMT"/>
          <w:sz w:val="24"/>
        </w:rPr>
        <w:t>/</w:t>
      </w:r>
      <w:r>
        <w:rPr>
          <w:rFonts w:hint="eastAsia" w:ascii="宋体" w:hAnsi="宋体" w:eastAsia="宋体"/>
          <w:sz w:val="24"/>
          <w:lang w:val="en-US" w:eastAsia="zh-CN"/>
        </w:rPr>
        <w:t>a</w:t>
      </w:r>
      <w:r>
        <w:rPr>
          <w:rFonts w:hint="eastAsia" w:ascii="宋体" w:hAnsi="宋体" w:eastAsia="宋体"/>
          <w:sz w:val="24"/>
        </w:rPr>
        <w:t>；风力发电机组偏航系统偏转驱动机构使用的减速器，每</w:t>
      </w:r>
      <w:r>
        <w:rPr>
          <w:rFonts w:hint="eastAsia" w:ascii="TimesNewRomanPSMT" w:hAnsi="TimesNewRomanPSMT" w:eastAsia="TimesNewRomanPSMT"/>
          <w:sz w:val="24"/>
        </w:rPr>
        <w:t>4</w:t>
      </w:r>
      <w:r>
        <w:rPr>
          <w:rFonts w:hint="eastAsia" w:ascii="宋体" w:hAnsi="宋体" w:eastAsia="宋体"/>
          <w:sz w:val="24"/>
        </w:rPr>
        <w:t>年更换一次减速器润滑油，单台风机每次更换润滑油将产生约</w:t>
      </w:r>
      <w:r>
        <w:rPr>
          <w:rFonts w:hint="eastAsia" w:ascii="TimesNewRomanPSMT" w:hAnsi="TimesNewRomanPSMT" w:eastAsia="TimesNewRomanPSMT"/>
          <w:sz w:val="24"/>
        </w:rPr>
        <w:t>10</w:t>
      </w:r>
      <w:r>
        <w:rPr>
          <w:rFonts w:hint="eastAsia" w:ascii="TimesNewRomanPSMT" w:hAnsi="TimesNewRomanPSMT" w:eastAsia="宋体"/>
          <w:sz w:val="24"/>
          <w:lang w:val="en-US" w:eastAsia="zh-CN"/>
        </w:rPr>
        <w:t>kg</w:t>
      </w:r>
      <w:r>
        <w:rPr>
          <w:rFonts w:hint="eastAsia" w:ascii="宋体" w:hAnsi="宋体" w:eastAsia="宋体"/>
          <w:sz w:val="24"/>
        </w:rPr>
        <w:t>废矿物油油垢，</w:t>
      </w:r>
      <w:r>
        <w:rPr>
          <w:rFonts w:hint="eastAsia" w:ascii="宋体" w:hAnsi="宋体" w:eastAsia="宋体"/>
          <w:sz w:val="24"/>
          <w:lang w:val="en-US" w:eastAsia="zh-CN"/>
        </w:rPr>
        <w:t>20</w:t>
      </w:r>
      <w:r>
        <w:rPr>
          <w:rFonts w:hint="eastAsia" w:ascii="宋体" w:hAnsi="宋体" w:eastAsia="宋体"/>
          <w:sz w:val="24"/>
        </w:rPr>
        <w:t>台风电机组共产生约</w:t>
      </w:r>
      <w:r>
        <w:rPr>
          <w:rFonts w:hint="eastAsia" w:ascii="宋体" w:hAnsi="宋体" w:eastAsia="宋体"/>
          <w:sz w:val="24"/>
          <w:lang w:val="en-US" w:eastAsia="zh-CN"/>
        </w:rPr>
        <w:t>21</w:t>
      </w:r>
      <w:r>
        <w:rPr>
          <w:rFonts w:hint="eastAsia" w:ascii="TimesNewRomanPSMT" w:hAnsi="TimesNewRomanPSMT" w:eastAsia="TimesNewRomanPSMT"/>
          <w:sz w:val="24"/>
        </w:rPr>
        <w:t>0</w:t>
      </w:r>
      <w:r>
        <w:rPr>
          <w:rFonts w:hint="eastAsia" w:ascii="TimesNewRomanPSMT" w:hAnsi="TimesNewRomanPSMT" w:eastAsia="宋体"/>
          <w:sz w:val="24"/>
          <w:lang w:val="en-US" w:eastAsia="zh-CN"/>
        </w:rPr>
        <w:t>kg</w:t>
      </w:r>
      <w:r>
        <w:rPr>
          <w:rFonts w:hint="eastAsia" w:ascii="宋体" w:hAnsi="宋体" w:eastAsia="宋体"/>
          <w:sz w:val="24"/>
        </w:rPr>
        <w:t>废矿物油，即</w:t>
      </w:r>
      <w:r>
        <w:rPr>
          <w:rFonts w:hint="eastAsia" w:ascii="宋体" w:hAnsi="宋体" w:eastAsia="宋体"/>
          <w:sz w:val="24"/>
          <w:lang w:val="en-US" w:eastAsia="zh-CN"/>
        </w:rPr>
        <w:t>52.5kg</w:t>
      </w:r>
      <w:r>
        <w:rPr>
          <w:rFonts w:hint="eastAsia" w:ascii="TimesNewRomanPSMT" w:hAnsi="TimesNewRomanPSMT" w:eastAsia="TimesNewRomanPSMT"/>
          <w:sz w:val="24"/>
        </w:rPr>
        <w:t>/</w:t>
      </w:r>
      <w:r>
        <w:rPr>
          <w:rFonts w:hint="eastAsia" w:ascii="宋体" w:hAnsi="宋体" w:eastAsia="宋体"/>
          <w:sz w:val="24"/>
          <w:lang w:val="en-US" w:eastAsia="zh-CN"/>
        </w:rPr>
        <w:t>a</w:t>
      </w:r>
      <w:r>
        <w:rPr>
          <w:rFonts w:hint="eastAsia" w:ascii="宋体" w:hAnsi="宋体" w:eastAsia="宋体"/>
          <w:sz w:val="24"/>
        </w:rPr>
        <w:t>。每年产生废矿物油的最大产生量约为</w:t>
      </w:r>
      <w:r>
        <w:rPr>
          <w:rFonts w:hint="eastAsia" w:ascii="TimesNewRomanPSMT" w:hAnsi="TimesNewRomanPSMT" w:eastAsia="宋体"/>
          <w:sz w:val="24"/>
          <w:lang w:val="en-US" w:eastAsia="zh-CN"/>
        </w:rPr>
        <w:t>62.5</w:t>
      </w:r>
      <w:r>
        <w:rPr>
          <w:rFonts w:hint="eastAsia" w:ascii="宋体" w:hAnsi="宋体" w:eastAsia="宋体"/>
          <w:sz w:val="24"/>
          <w:lang w:val="en-US" w:eastAsia="zh-CN"/>
        </w:rPr>
        <w:t>kg</w:t>
      </w:r>
      <w:r>
        <w:rPr>
          <w:rFonts w:hint="eastAsia" w:ascii="TimesNewRomanPSMT" w:hAnsi="TimesNewRomanPSMT" w:eastAsia="TimesNewRomanPSMT"/>
          <w:sz w:val="24"/>
        </w:rPr>
        <w:t>/</w:t>
      </w:r>
      <w:r>
        <w:rPr>
          <w:rFonts w:hint="eastAsia" w:ascii="宋体" w:hAnsi="宋体" w:eastAsia="宋体"/>
          <w:sz w:val="24"/>
          <w:lang w:val="en-US" w:eastAsia="zh-CN"/>
        </w:rPr>
        <w:t>a</w:t>
      </w:r>
      <w:r>
        <w:rPr>
          <w:rFonts w:hint="eastAsia" w:ascii="宋体" w:hAnsi="宋体" w:eastAsia="宋体"/>
          <w:sz w:val="24"/>
        </w:rPr>
        <w:t>。</w:t>
      </w:r>
    </w:p>
    <w:p w14:paraId="796CF2EB">
      <w:pPr>
        <w:keepNext w:val="0"/>
        <w:keepLines w:val="0"/>
        <w:pageBreakBefore w:val="0"/>
        <w:widowControl w:val="0"/>
        <w:kinsoku/>
        <w:wordWrap/>
        <w:overflowPunct/>
        <w:topLinePunct w:val="0"/>
        <w:autoSpaceDE/>
        <w:autoSpaceDN/>
        <w:bidi w:val="0"/>
        <w:snapToGrid w:val="0"/>
        <w:ind w:left="0" w:leftChars="0" w:firstLine="480" w:firstLineChars="200"/>
        <w:jc w:val="left"/>
        <w:textAlignment w:val="auto"/>
        <w:rPr>
          <w:rFonts w:hint="eastAsia" w:ascii="宋体" w:hAnsi="宋体" w:eastAsia="宋体"/>
          <w:sz w:val="24"/>
        </w:rPr>
      </w:pPr>
      <w:r>
        <w:rPr>
          <w:rFonts w:hint="eastAsia" w:ascii="宋体" w:hAnsi="宋体" w:eastAsia="宋体"/>
          <w:sz w:val="24"/>
        </w:rPr>
        <w:t>根据《国家危险废物名录》（</w:t>
      </w:r>
      <w:r>
        <w:rPr>
          <w:rFonts w:hint="eastAsia" w:ascii="TimesNewRomanPSMT" w:hAnsi="TimesNewRomanPSMT" w:eastAsia="TimesNewRomanPSMT"/>
          <w:sz w:val="24"/>
        </w:rPr>
        <w:t>202</w:t>
      </w:r>
      <w:r>
        <w:rPr>
          <w:rFonts w:hint="eastAsia" w:ascii="TimesNewRomanPSMT" w:hAnsi="TimesNewRomanPSMT" w:eastAsia="宋体"/>
          <w:sz w:val="24"/>
          <w:lang w:val="en-US" w:eastAsia="zh-CN"/>
        </w:rPr>
        <w:t>5</w:t>
      </w:r>
      <w:r>
        <w:rPr>
          <w:rFonts w:hint="eastAsia" w:ascii="宋体" w:hAnsi="宋体" w:eastAsia="宋体"/>
          <w:sz w:val="24"/>
        </w:rPr>
        <w:t>年版），风电机组中转动部件产生的废矿物油属于危险废物“</w:t>
      </w:r>
      <w:r>
        <w:rPr>
          <w:rFonts w:hint="eastAsia" w:ascii="TimesNewRomanPSMT" w:hAnsi="TimesNewRomanPSMT" w:eastAsia="TimesNewRomanPSMT"/>
          <w:sz w:val="24"/>
        </w:rPr>
        <w:t xml:space="preserve">HW08 </w:t>
      </w:r>
      <w:r>
        <w:rPr>
          <w:rFonts w:hint="eastAsia" w:ascii="宋体" w:hAnsi="宋体" w:eastAsia="宋体"/>
          <w:sz w:val="24"/>
        </w:rPr>
        <w:t>类废矿物与含矿物油废物”的“使用工业齿轮油进行机械设备润滑过程中产生的废润滑油”，危废代码为“</w:t>
      </w:r>
      <w:r>
        <w:rPr>
          <w:rFonts w:hint="eastAsia" w:ascii="TimesNewRomanPSMT" w:hAnsi="TimesNewRomanPSMT" w:eastAsia="TimesNewRomanPSMT"/>
          <w:sz w:val="24"/>
        </w:rPr>
        <w:t>900-217-08</w:t>
      </w:r>
      <w:r>
        <w:rPr>
          <w:rFonts w:hint="eastAsia" w:ascii="宋体" w:hAnsi="宋体" w:eastAsia="宋体"/>
          <w:sz w:val="24"/>
        </w:rPr>
        <w:t>”“液压设备维护、更换和拆解过程中产生的废液压油”，危废代码为“</w:t>
      </w:r>
      <w:r>
        <w:rPr>
          <w:rFonts w:hint="eastAsia" w:ascii="TimesNewRomanPSMT" w:hAnsi="TimesNewRomanPSMT" w:eastAsia="TimesNewRomanPSMT"/>
          <w:sz w:val="24"/>
        </w:rPr>
        <w:t>900-218-08</w:t>
      </w:r>
      <w:r>
        <w:rPr>
          <w:rFonts w:hint="eastAsia" w:ascii="宋体" w:hAnsi="宋体" w:eastAsia="宋体"/>
          <w:sz w:val="24"/>
        </w:rPr>
        <w:t>”；废矿物油即产即清，交由有资质单位处置，不在场内暂存。</w:t>
      </w:r>
    </w:p>
    <w:p w14:paraId="47B13544">
      <w:pPr>
        <w:pStyle w:val="614"/>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pPr>
      <w:r>
        <w:rPr>
          <w:rFonts w:hint="eastAsia"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t>⑤</w:t>
      </w:r>
      <w:r>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t>含油抹布和废手套</w:t>
      </w:r>
    </w:p>
    <w:p w14:paraId="22B80192">
      <w:pPr>
        <w:pStyle w:val="614"/>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pPr>
      <w:r>
        <w:rPr>
          <w:rFonts w:hint="eastAsia" w:cs="Times New Roman" w:eastAsiaTheme="minorEastAsia"/>
          <w:snapToGrid w:val="0"/>
          <w:color w:val="000000" w:themeColor="text1"/>
          <w:sz w:val="24"/>
          <w:szCs w:val="20"/>
          <w:highlight w:val="none"/>
          <w:lang w:val="en-US" w:eastAsia="zh-CN"/>
          <w14:textFill>
            <w14:solidFill>
              <w14:schemeClr w14:val="tx1"/>
            </w14:solidFill>
          </w14:textFill>
        </w:rPr>
        <w:t>风电场</w:t>
      </w:r>
      <w:r>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t>检修过程中产生少量含油抹布及废手套，产生量0.05t/a。根据《国家危险废物名录(202</w:t>
      </w:r>
      <w:r>
        <w:rPr>
          <w:rFonts w:hint="eastAsia" w:cs="Times New Roman" w:eastAsiaTheme="minorEastAsia"/>
          <w:snapToGrid w:val="0"/>
          <w:color w:val="000000" w:themeColor="text1"/>
          <w:sz w:val="24"/>
          <w:szCs w:val="20"/>
          <w:highlight w:val="none"/>
          <w:lang w:val="en-US" w:eastAsia="zh-CN"/>
          <w14:textFill>
            <w14:solidFill>
              <w14:schemeClr w14:val="tx1"/>
            </w14:solidFill>
          </w14:textFill>
        </w:rPr>
        <w:t>5</w:t>
      </w:r>
      <w:r>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t>年版)》，含油抹布及废手套属于危险废物“HW49  其他废物”，危废代码“900-041-49”，危险废物名称：“含有或沾染毒性、感染性危险废物的废弃包装物、容器、过滤吸附介质”。根据该名录附录“危险废物豁免管理清单”内容，在“分类收集”后全过程可豁免管理，本</w:t>
      </w:r>
      <w:r>
        <w:rPr>
          <w:rFonts w:hint="eastAsia" w:cs="Times New Roman" w:eastAsiaTheme="minorEastAsia"/>
          <w:snapToGrid w:val="0"/>
          <w:color w:val="000000" w:themeColor="text1"/>
          <w:sz w:val="24"/>
          <w:szCs w:val="20"/>
          <w:highlight w:val="none"/>
          <w:lang w:val="en-US" w:eastAsia="zh-CN"/>
          <w14:textFill>
            <w14:solidFill>
              <w14:schemeClr w14:val="tx1"/>
            </w14:solidFill>
          </w14:textFill>
        </w:rPr>
        <w:t>次评价</w:t>
      </w:r>
      <w:r>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t>建议检修产生的含油抹布和废手套按照危险废物管理，即产即清，收集后委托有资质单位处置。</w:t>
      </w:r>
    </w:p>
    <w:p w14:paraId="1FF41CAE">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b/>
          <w:bCs/>
          <w:snapToGrid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szCs w:val="24"/>
          <w14:textFill>
            <w14:solidFill>
              <w14:schemeClr w14:val="tx1"/>
            </w14:solidFill>
          </w14:textFill>
        </w:rPr>
        <w:t>（</w:t>
      </w:r>
      <w:r>
        <w:rPr>
          <w:rFonts w:hint="eastAsia" w:eastAsia="宋体" w:cs="Times New Roman"/>
          <w:b/>
          <w:bCs/>
          <w:color w:val="000000" w:themeColor="text1"/>
          <w:kern w:val="0"/>
          <w:sz w:val="24"/>
          <w:szCs w:val="24"/>
          <w:lang w:val="en-US" w:eastAsia="zh-CN"/>
          <w14:textFill>
            <w14:solidFill>
              <w14:schemeClr w14:val="tx1"/>
            </w14:solidFill>
          </w14:textFill>
        </w:rPr>
        <w:t>5</w:t>
      </w:r>
      <w:r>
        <w:rPr>
          <w:rFonts w:hint="default" w:ascii="Times New Roman" w:hAnsi="Times New Roman" w:eastAsia="宋体" w:cs="Times New Roman"/>
          <w:b/>
          <w:bCs/>
          <w:color w:val="000000" w:themeColor="text1"/>
          <w:kern w:val="0"/>
          <w:sz w:val="24"/>
          <w:szCs w:val="24"/>
          <w14:textFill>
            <w14:solidFill>
              <w14:schemeClr w14:val="tx1"/>
            </w14:solidFill>
          </w14:textFill>
        </w:rPr>
        <w:t>）</w:t>
      </w:r>
      <w:r>
        <w:rPr>
          <w:rFonts w:hint="default" w:ascii="Times New Roman" w:hAnsi="Times New Roman" w:cs="Times New Roman" w:eastAsiaTheme="minorEastAsia"/>
          <w:b/>
          <w:bCs/>
          <w:snapToGrid w:val="0"/>
          <w:color w:val="000000" w:themeColor="text1"/>
          <w:sz w:val="24"/>
          <w:szCs w:val="24"/>
          <w:highlight w:val="none"/>
          <w:lang w:val="en-US" w:eastAsia="zh-CN"/>
          <w14:textFill>
            <w14:solidFill>
              <w14:schemeClr w14:val="tx1"/>
            </w14:solidFill>
          </w14:textFill>
        </w:rPr>
        <w:t>光影影响及光污染</w:t>
      </w:r>
    </w:p>
    <w:p w14:paraId="5A0907A6">
      <w:pPr>
        <w:pStyle w:val="614"/>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szCs w:val="24"/>
          <w:highlight w:val="none"/>
          <w:lang w:val="en-US" w:eastAsia="zh-CN"/>
          <w14:textFill>
            <w14:solidFill>
              <w14:schemeClr w14:val="tx1"/>
            </w14:solidFill>
          </w14:textFill>
        </w:rPr>
        <w:t>风电场风机机组运营期</w:t>
      </w:r>
      <w:r>
        <w:rPr>
          <w:rFonts w:hint="eastAsia" w:cs="Times New Roman" w:eastAsiaTheme="minorEastAsia"/>
          <w:snapToGrid w:val="0"/>
          <w:color w:val="000000" w:themeColor="text1"/>
          <w:sz w:val="24"/>
          <w:szCs w:val="24"/>
          <w:highlight w:val="none"/>
          <w:lang w:val="en-US" w:eastAsia="zh-CN"/>
          <w14:textFill>
            <w14:solidFill>
              <w14:schemeClr w14:val="tx1"/>
            </w14:solidFill>
          </w14:textFill>
        </w:rPr>
        <w:t>产生的</w:t>
      </w:r>
      <w:r>
        <w:rPr>
          <w:rFonts w:hint="default" w:ascii="Times New Roman" w:hAnsi="Times New Roman" w:cs="Times New Roman" w:eastAsiaTheme="minorEastAsia"/>
          <w:snapToGrid w:val="0"/>
          <w:color w:val="000000" w:themeColor="text1"/>
          <w:sz w:val="24"/>
          <w:szCs w:val="24"/>
          <w:highlight w:val="none"/>
          <w:lang w:val="en-US" w:eastAsia="zh-CN"/>
          <w14:textFill>
            <w14:solidFill>
              <w14:schemeClr w14:val="tx1"/>
            </w14:solidFill>
          </w14:textFill>
        </w:rPr>
        <w:t>光影影响。</w:t>
      </w:r>
    </w:p>
    <w:p w14:paraId="6DF20597">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b/>
          <w:bCs/>
          <w:snapToGrid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szCs w:val="24"/>
          <w14:textFill>
            <w14:solidFill>
              <w14:schemeClr w14:val="tx1"/>
            </w14:solidFill>
          </w14:textFill>
        </w:rPr>
        <w:t>（</w:t>
      </w:r>
      <w:r>
        <w:rPr>
          <w:rFonts w:hint="eastAsia" w:eastAsia="宋体" w:cs="Times New Roman"/>
          <w:b/>
          <w:bCs/>
          <w:color w:val="000000" w:themeColor="text1"/>
          <w:kern w:val="0"/>
          <w:sz w:val="24"/>
          <w:szCs w:val="24"/>
          <w:lang w:val="en-US" w:eastAsia="zh-CN"/>
          <w14:textFill>
            <w14:solidFill>
              <w14:schemeClr w14:val="tx1"/>
            </w14:solidFill>
          </w14:textFill>
        </w:rPr>
        <w:t>6</w:t>
      </w:r>
      <w:r>
        <w:rPr>
          <w:rFonts w:hint="default" w:ascii="Times New Roman" w:hAnsi="Times New Roman" w:eastAsia="宋体" w:cs="Times New Roman"/>
          <w:b/>
          <w:bCs/>
          <w:color w:val="000000" w:themeColor="text1"/>
          <w:kern w:val="0"/>
          <w:sz w:val="24"/>
          <w:szCs w:val="24"/>
          <w14:textFill>
            <w14:solidFill>
              <w14:schemeClr w14:val="tx1"/>
            </w14:solidFill>
          </w14:textFill>
        </w:rPr>
        <w:t>）</w:t>
      </w:r>
      <w:r>
        <w:rPr>
          <w:rFonts w:hint="default" w:ascii="Times New Roman" w:hAnsi="Times New Roman" w:cs="Times New Roman" w:eastAsiaTheme="minorEastAsia"/>
          <w:b/>
          <w:bCs/>
          <w:snapToGrid w:val="0"/>
          <w:color w:val="000000" w:themeColor="text1"/>
          <w:sz w:val="24"/>
          <w:szCs w:val="24"/>
          <w:highlight w:val="none"/>
          <w:lang w:val="en-US" w:eastAsia="zh-CN"/>
          <w14:textFill>
            <w14:solidFill>
              <w14:schemeClr w14:val="tx1"/>
            </w14:solidFill>
          </w14:textFill>
        </w:rPr>
        <w:t>生态影响</w:t>
      </w:r>
    </w:p>
    <w:p w14:paraId="3DBC1718">
      <w:pPr>
        <w:pStyle w:val="614"/>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t>①对植被的影响</w:t>
      </w:r>
    </w:p>
    <w:p w14:paraId="4010A81F">
      <w:pPr>
        <w:pStyle w:val="614"/>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t>本项目建成后，永久占地内的植被将完全被破坏，形成建筑及其他用地类型。施工临时占用的草地将随着施工的结束而得到恢复，其影响将逐步减小</w:t>
      </w:r>
      <w:r>
        <w:rPr>
          <w:rFonts w:hint="eastAsia"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t>，甚至</w:t>
      </w:r>
      <w:r>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t>消失。</w:t>
      </w:r>
    </w:p>
    <w:p w14:paraId="682A88AD">
      <w:pPr>
        <w:pStyle w:val="614"/>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t>②对动物的影响</w:t>
      </w:r>
    </w:p>
    <w:p w14:paraId="76749A7A">
      <w:pPr>
        <w:pStyle w:val="614"/>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t>本项目在运营期对陆生动物的影响主要为风机、集电线路带来的影响，其中鸟类受其影响最大。项目竣工后，风电设施运转、维护人员的活动等会干扰影响部分动物的活动栖息地、觅食地；加剧鸟类栖息地片段化。这些因素的叠加会造成项目区动物栖息地质量下降。风机对区域鸟类的生存活动造成直接、间接影响，包括叶片运动、噪声等对鸟类的干扰影响，鸟类迁徙的影响，对其他动物栖息和觅食的影响等。</w:t>
      </w:r>
    </w:p>
    <w:p w14:paraId="6C917C7E">
      <w:pPr>
        <w:pStyle w:val="614"/>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t>③对生态系统的影响</w:t>
      </w:r>
    </w:p>
    <w:p w14:paraId="6CCA29A8">
      <w:pPr>
        <w:pStyle w:val="614"/>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t>本工程建设后，临时占地区植被自然恢复，对生态系统组分结构产生的影响主要为永久占地。由于工程永久占地，区域草地生态系统面积减少，而建设用地的面积有所增加，根据工程建设后区域生态系统面积变化可知，本项目建设占用生态系统的面积较小，区域生态系统仍以草地生态系统占优势。</w:t>
      </w:r>
    </w:p>
    <w:p w14:paraId="5EF14FC5">
      <w:pPr>
        <w:pStyle w:val="614"/>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t>④对景观的影响</w:t>
      </w:r>
    </w:p>
    <w:p w14:paraId="031931C3">
      <w:pPr>
        <w:pStyle w:val="614"/>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t>项目建成后，景观内新增加了非控制性组分人工建筑物如升压站、风机等，这种干扰拼块的增加不利于自然系统生态平衡的维护。从整个评价区来看，草地面积尽管减少一点，但主要控制性组分变化非常小，草地在评价区仍占主要优势，说明景观的多样性、异质性变化不大。</w:t>
      </w:r>
    </w:p>
    <w:p w14:paraId="480C2C39">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eastAsia="宋体" w:cs="Times New Roman"/>
          <w:b/>
          <w:bCs/>
          <w:color w:val="000000" w:themeColor="text1"/>
          <w:kern w:val="0"/>
          <w:sz w:val="24"/>
          <w:szCs w:val="24"/>
          <w14:textFill>
            <w14:solidFill>
              <w14:schemeClr w14:val="tx1"/>
            </w14:solidFill>
          </w14:textFill>
        </w:rPr>
      </w:pPr>
      <w:r>
        <w:rPr>
          <w:rFonts w:hint="default" w:ascii="Times New Roman" w:hAnsi="Times New Roman" w:eastAsia="宋体" w:cs="Times New Roman"/>
          <w:b/>
          <w:bCs/>
          <w:color w:val="000000" w:themeColor="text1"/>
          <w:kern w:val="0"/>
          <w:sz w:val="24"/>
          <w:szCs w:val="24"/>
          <w14:textFill>
            <w14:solidFill>
              <w14:schemeClr w14:val="tx1"/>
            </w14:solidFill>
          </w14:textFill>
        </w:rPr>
        <w:t>（</w:t>
      </w:r>
      <w:r>
        <w:rPr>
          <w:rFonts w:hint="eastAsia" w:eastAsia="宋体" w:cs="Times New Roman"/>
          <w:b/>
          <w:bCs/>
          <w:color w:val="000000" w:themeColor="text1"/>
          <w:kern w:val="0"/>
          <w:sz w:val="24"/>
          <w:szCs w:val="24"/>
          <w:lang w:val="en-US" w:eastAsia="zh-CN"/>
          <w14:textFill>
            <w14:solidFill>
              <w14:schemeClr w14:val="tx1"/>
            </w14:solidFill>
          </w14:textFill>
        </w:rPr>
        <w:t>7</w:t>
      </w:r>
      <w:r>
        <w:rPr>
          <w:rFonts w:hint="default" w:ascii="Times New Roman" w:hAnsi="Times New Roman" w:eastAsia="宋体" w:cs="Times New Roman"/>
          <w:b/>
          <w:bCs/>
          <w:color w:val="000000" w:themeColor="text1"/>
          <w:kern w:val="0"/>
          <w:sz w:val="24"/>
          <w:szCs w:val="24"/>
          <w14:textFill>
            <w14:solidFill>
              <w14:schemeClr w14:val="tx1"/>
            </w14:solidFill>
          </w14:textFill>
        </w:rPr>
        <w:t>）运营期污染物排放汇总</w:t>
      </w:r>
    </w:p>
    <w:p w14:paraId="144D944C">
      <w:pPr>
        <w:pStyle w:val="614"/>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t>本项目营运期间主要污染物排放汇总见表3.2-3。</w:t>
      </w:r>
    </w:p>
    <w:p w14:paraId="1E7466E4">
      <w:pPr>
        <w:pStyle w:val="614"/>
        <w:keepNext w:val="0"/>
        <w:keepLines w:val="0"/>
        <w:pageBreakBefore w:val="0"/>
        <w:widowControl w:val="0"/>
        <w:kinsoku/>
        <w:wordWrap/>
        <w:overflowPunct/>
        <w:topLinePunct w:val="0"/>
        <w:autoSpaceDE/>
        <w:autoSpaceDN/>
        <w:bidi w:val="0"/>
        <w:adjustRightInd w:val="0"/>
        <w:snapToGrid w:val="0"/>
        <w:spacing w:line="240" w:lineRule="auto"/>
        <w:ind w:left="0" w:leftChars="0" w:firstLine="960" w:firstLineChars="400"/>
        <w:textAlignment w:val="auto"/>
        <w:rPr>
          <w:rFonts w:hint="default" w:ascii="Times New Roman" w:hAnsi="Times New Roman" w:cs="Times New Roman" w:eastAsiaTheme="minorEastAsia"/>
          <w:b/>
          <w:bCs/>
          <w:snapToGrid w:val="0"/>
          <w:color w:val="000000" w:themeColor="text1"/>
          <w:sz w:val="24"/>
          <w:szCs w:val="20"/>
          <w:highlight w:val="none"/>
          <w:lang w:val="en-US" w:eastAsia="zh-CN"/>
          <w14:textFill>
            <w14:solidFill>
              <w14:schemeClr w14:val="tx1"/>
            </w14:solidFill>
          </w14:textFill>
        </w:rPr>
      </w:pPr>
      <w:r>
        <w:rPr>
          <w:rFonts w:hint="default" w:ascii="Times New Roman" w:hAnsi="Times New Roman" w:cs="Times New Roman" w:eastAsiaTheme="minorEastAsia"/>
          <w:b/>
          <w:bCs/>
          <w:snapToGrid w:val="0"/>
          <w:color w:val="000000" w:themeColor="text1"/>
          <w:sz w:val="24"/>
          <w:szCs w:val="20"/>
          <w:highlight w:val="none"/>
          <w:lang w:val="en-US" w:eastAsia="zh-CN"/>
          <w14:textFill>
            <w14:solidFill>
              <w14:schemeClr w14:val="tx1"/>
            </w14:solidFill>
          </w14:textFill>
        </w:rPr>
        <w:t>表3.</w:t>
      </w:r>
      <w:r>
        <w:rPr>
          <w:rFonts w:hint="eastAsia" w:ascii="Times New Roman" w:hAnsi="Times New Roman" w:cs="Times New Roman" w:eastAsiaTheme="minorEastAsia"/>
          <w:b/>
          <w:bCs/>
          <w:snapToGrid w:val="0"/>
          <w:color w:val="000000" w:themeColor="text1"/>
          <w:sz w:val="24"/>
          <w:szCs w:val="20"/>
          <w:highlight w:val="none"/>
          <w:lang w:val="en-US" w:eastAsia="zh-CN"/>
          <w14:textFill>
            <w14:solidFill>
              <w14:schemeClr w14:val="tx1"/>
            </w14:solidFill>
          </w14:textFill>
        </w:rPr>
        <w:t>2</w:t>
      </w:r>
      <w:r>
        <w:rPr>
          <w:rFonts w:hint="default" w:ascii="Times New Roman" w:hAnsi="Times New Roman" w:cs="Times New Roman" w:eastAsiaTheme="minorEastAsia"/>
          <w:b/>
          <w:bCs/>
          <w:snapToGrid w:val="0"/>
          <w:color w:val="000000" w:themeColor="text1"/>
          <w:sz w:val="24"/>
          <w:szCs w:val="20"/>
          <w:highlight w:val="none"/>
          <w:lang w:val="en-US" w:eastAsia="zh-CN"/>
          <w14:textFill>
            <w14:solidFill>
              <w14:schemeClr w14:val="tx1"/>
            </w14:solidFill>
          </w14:textFill>
        </w:rPr>
        <w:t xml:space="preserve">-3    </w:t>
      </w:r>
      <w:r>
        <w:rPr>
          <w:rFonts w:hint="eastAsia" w:cs="Times New Roman" w:eastAsiaTheme="minorEastAsia"/>
          <w:b/>
          <w:bCs/>
          <w:snapToGrid w:val="0"/>
          <w:color w:val="000000" w:themeColor="text1"/>
          <w:sz w:val="24"/>
          <w:szCs w:val="20"/>
          <w:highlight w:val="none"/>
          <w:lang w:val="en-US" w:eastAsia="zh-CN"/>
          <w14:textFill>
            <w14:solidFill>
              <w14:schemeClr w14:val="tx1"/>
            </w14:solidFill>
          </w14:textFill>
        </w:rPr>
        <w:t xml:space="preserve">   </w:t>
      </w:r>
      <w:r>
        <w:rPr>
          <w:rFonts w:hint="default" w:ascii="Times New Roman" w:hAnsi="Times New Roman" w:cs="Times New Roman" w:eastAsiaTheme="minorEastAsia"/>
          <w:b/>
          <w:bCs/>
          <w:snapToGrid w:val="0"/>
          <w:color w:val="000000" w:themeColor="text1"/>
          <w:sz w:val="24"/>
          <w:szCs w:val="20"/>
          <w:highlight w:val="none"/>
          <w:lang w:val="en-US" w:eastAsia="zh-CN"/>
          <w14:textFill>
            <w14:solidFill>
              <w14:schemeClr w14:val="tx1"/>
            </w14:solidFill>
          </w14:textFill>
        </w:rPr>
        <w:t>运营期主要污染物产生量及排放量汇总表</w:t>
      </w:r>
    </w:p>
    <w:tbl>
      <w:tblPr>
        <w:tblStyle w:val="75"/>
        <w:tblW w:w="54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967"/>
        <w:gridCol w:w="1906"/>
        <w:gridCol w:w="1453"/>
        <w:gridCol w:w="1416"/>
        <w:gridCol w:w="992"/>
        <w:gridCol w:w="3149"/>
      </w:tblGrid>
      <w:tr w14:paraId="44ECEF5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1453" w:type="pct"/>
            <w:gridSpan w:val="2"/>
            <w:vMerge w:val="restart"/>
            <w:tcBorders>
              <w:tl2br w:val="nil"/>
              <w:tr2bl w:val="nil"/>
            </w:tcBorders>
            <w:vAlign w:val="center"/>
          </w:tcPr>
          <w:p w14:paraId="75AD2B84">
            <w:pPr>
              <w:pStyle w:val="309"/>
              <w:keepNext w:val="0"/>
              <w:keepLines w:val="0"/>
              <w:pageBreakBefore w:val="0"/>
              <w:widowControl w:val="0"/>
              <w:kinsoku w:val="0"/>
              <w:wordWrap/>
              <w:overflowPunct w:val="0"/>
              <w:autoSpaceDE/>
              <w:autoSpaceDN/>
              <w:bidi w:val="0"/>
              <w:adjustRightInd w:val="0"/>
              <w:snapToGrid w:val="0"/>
              <w:spacing w:before="0" w:beforeAutospacing="0" w:line="240" w:lineRule="auto"/>
              <w:ind w:left="0" w:leftChars="0" w:firstLine="0" w:firstLineChars="0"/>
              <w:jc w:val="center"/>
              <w:textAlignment w:val="auto"/>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t>污染源名称</w:t>
            </w:r>
          </w:p>
        </w:tc>
        <w:tc>
          <w:tcPr>
            <w:tcW w:w="1953" w:type="pct"/>
            <w:gridSpan w:val="3"/>
            <w:tcBorders>
              <w:tl2br w:val="nil"/>
              <w:tr2bl w:val="nil"/>
            </w:tcBorders>
            <w:vAlign w:val="center"/>
          </w:tcPr>
          <w:p w14:paraId="6C6A24C7">
            <w:pPr>
              <w:pStyle w:val="309"/>
              <w:keepNext w:val="0"/>
              <w:keepLines w:val="0"/>
              <w:pageBreakBefore w:val="0"/>
              <w:widowControl w:val="0"/>
              <w:kinsoku w:val="0"/>
              <w:wordWrap/>
              <w:overflowPunct w:val="0"/>
              <w:autoSpaceDE/>
              <w:autoSpaceDN/>
              <w:bidi w:val="0"/>
              <w:adjustRightInd w:val="0"/>
              <w:snapToGrid w:val="0"/>
              <w:spacing w:before="0" w:beforeAutospacing="0" w:line="240" w:lineRule="auto"/>
              <w:ind w:left="0" w:leftChars="0" w:firstLine="0" w:firstLineChars="0"/>
              <w:jc w:val="center"/>
              <w:textAlignment w:val="auto"/>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t>污染物产生量及排放量</w:t>
            </w:r>
          </w:p>
        </w:tc>
        <w:tc>
          <w:tcPr>
            <w:tcW w:w="1593" w:type="pct"/>
            <w:vMerge w:val="restart"/>
            <w:tcBorders>
              <w:tl2br w:val="nil"/>
              <w:tr2bl w:val="nil"/>
            </w:tcBorders>
            <w:vAlign w:val="center"/>
          </w:tcPr>
          <w:p w14:paraId="7580751A">
            <w:pPr>
              <w:pStyle w:val="309"/>
              <w:keepNext w:val="0"/>
              <w:keepLines w:val="0"/>
              <w:pageBreakBefore w:val="0"/>
              <w:widowControl w:val="0"/>
              <w:kinsoku w:val="0"/>
              <w:wordWrap/>
              <w:overflowPunct w:val="0"/>
              <w:autoSpaceDE/>
              <w:autoSpaceDN/>
              <w:bidi w:val="0"/>
              <w:adjustRightInd w:val="0"/>
              <w:snapToGrid w:val="0"/>
              <w:spacing w:before="0" w:beforeAutospacing="0" w:line="240" w:lineRule="auto"/>
              <w:ind w:left="0" w:leftChars="0" w:firstLine="0" w:firstLineChars="0"/>
              <w:jc w:val="center"/>
              <w:textAlignment w:val="auto"/>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t>排放及处置方式</w:t>
            </w:r>
          </w:p>
        </w:tc>
      </w:tr>
      <w:tr w14:paraId="233DAA1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1453" w:type="pct"/>
            <w:gridSpan w:val="2"/>
            <w:vMerge w:val="continue"/>
            <w:tcBorders>
              <w:tl2br w:val="nil"/>
              <w:tr2bl w:val="nil"/>
            </w:tcBorders>
            <w:vAlign w:val="center"/>
          </w:tcPr>
          <w:p w14:paraId="1B9733A8">
            <w:pPr>
              <w:pStyle w:val="309"/>
              <w:keepNext w:val="0"/>
              <w:keepLines w:val="0"/>
              <w:pageBreakBefore w:val="0"/>
              <w:widowControl w:val="0"/>
              <w:kinsoku w:val="0"/>
              <w:wordWrap/>
              <w:overflowPunct w:val="0"/>
              <w:autoSpaceDE/>
              <w:autoSpaceDN/>
              <w:bidi w:val="0"/>
              <w:adjustRightInd w:val="0"/>
              <w:snapToGrid w:val="0"/>
              <w:spacing w:before="0" w:beforeAutospacing="0" w:line="240" w:lineRule="auto"/>
              <w:ind w:left="0" w:leftChars="0" w:firstLine="0" w:firstLineChars="0"/>
              <w:jc w:val="center"/>
              <w:textAlignment w:val="auto"/>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pPr>
          </w:p>
        </w:tc>
        <w:tc>
          <w:tcPr>
            <w:tcW w:w="735" w:type="pct"/>
            <w:tcBorders>
              <w:tl2br w:val="nil"/>
              <w:tr2bl w:val="nil"/>
            </w:tcBorders>
            <w:vAlign w:val="center"/>
          </w:tcPr>
          <w:p w14:paraId="392D8E8D">
            <w:pPr>
              <w:pStyle w:val="309"/>
              <w:keepNext w:val="0"/>
              <w:keepLines w:val="0"/>
              <w:pageBreakBefore w:val="0"/>
              <w:widowControl w:val="0"/>
              <w:kinsoku w:val="0"/>
              <w:wordWrap/>
              <w:overflowPunct w:val="0"/>
              <w:autoSpaceDE/>
              <w:autoSpaceDN/>
              <w:bidi w:val="0"/>
              <w:adjustRightInd w:val="0"/>
              <w:snapToGrid w:val="0"/>
              <w:spacing w:before="0" w:beforeAutospacing="0" w:line="240" w:lineRule="auto"/>
              <w:ind w:left="0" w:leftChars="0" w:firstLine="0" w:firstLineChars="0"/>
              <w:jc w:val="center"/>
              <w:textAlignment w:val="auto"/>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t>产生量</w:t>
            </w:r>
          </w:p>
        </w:tc>
        <w:tc>
          <w:tcPr>
            <w:tcW w:w="716" w:type="pct"/>
            <w:tcBorders>
              <w:tl2br w:val="nil"/>
              <w:tr2bl w:val="nil"/>
            </w:tcBorders>
            <w:vAlign w:val="center"/>
          </w:tcPr>
          <w:p w14:paraId="6F46A318">
            <w:pPr>
              <w:pStyle w:val="309"/>
              <w:keepNext w:val="0"/>
              <w:keepLines w:val="0"/>
              <w:pageBreakBefore w:val="0"/>
              <w:widowControl w:val="0"/>
              <w:kinsoku w:val="0"/>
              <w:wordWrap/>
              <w:overflowPunct w:val="0"/>
              <w:autoSpaceDE/>
              <w:autoSpaceDN/>
              <w:bidi w:val="0"/>
              <w:adjustRightInd w:val="0"/>
              <w:snapToGrid w:val="0"/>
              <w:spacing w:before="0" w:beforeAutospacing="0" w:line="240" w:lineRule="auto"/>
              <w:ind w:left="0" w:leftChars="0" w:firstLine="0" w:firstLineChars="0"/>
              <w:jc w:val="center"/>
              <w:textAlignment w:val="auto"/>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t>削减量</w:t>
            </w:r>
          </w:p>
        </w:tc>
        <w:tc>
          <w:tcPr>
            <w:tcW w:w="500" w:type="pct"/>
            <w:tcBorders>
              <w:tl2br w:val="nil"/>
              <w:tr2bl w:val="nil"/>
            </w:tcBorders>
            <w:vAlign w:val="center"/>
          </w:tcPr>
          <w:p w14:paraId="3C3D2361">
            <w:pPr>
              <w:pStyle w:val="309"/>
              <w:keepNext w:val="0"/>
              <w:keepLines w:val="0"/>
              <w:pageBreakBefore w:val="0"/>
              <w:widowControl w:val="0"/>
              <w:kinsoku w:val="0"/>
              <w:wordWrap/>
              <w:overflowPunct w:val="0"/>
              <w:autoSpaceDE/>
              <w:autoSpaceDN/>
              <w:bidi w:val="0"/>
              <w:adjustRightInd w:val="0"/>
              <w:snapToGrid w:val="0"/>
              <w:spacing w:before="0" w:beforeAutospacing="0" w:line="240" w:lineRule="auto"/>
              <w:ind w:left="0" w:leftChars="0" w:firstLine="0" w:firstLineChars="0"/>
              <w:jc w:val="center"/>
              <w:textAlignment w:val="auto"/>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t>排放量</w:t>
            </w:r>
          </w:p>
        </w:tc>
        <w:tc>
          <w:tcPr>
            <w:tcW w:w="1593" w:type="pct"/>
            <w:vMerge w:val="continue"/>
            <w:tcBorders>
              <w:tl2br w:val="nil"/>
              <w:tr2bl w:val="nil"/>
            </w:tcBorders>
            <w:vAlign w:val="center"/>
          </w:tcPr>
          <w:p w14:paraId="6AB74214">
            <w:pPr>
              <w:pStyle w:val="309"/>
              <w:keepNext w:val="0"/>
              <w:keepLines w:val="0"/>
              <w:pageBreakBefore w:val="0"/>
              <w:widowControl w:val="0"/>
              <w:kinsoku w:val="0"/>
              <w:wordWrap/>
              <w:overflowPunct w:val="0"/>
              <w:autoSpaceDE/>
              <w:autoSpaceDN/>
              <w:bidi w:val="0"/>
              <w:adjustRightInd w:val="0"/>
              <w:snapToGrid w:val="0"/>
              <w:spacing w:before="0" w:beforeAutospacing="0" w:line="240" w:lineRule="auto"/>
              <w:ind w:left="0" w:leftChars="0" w:firstLine="0" w:firstLineChars="0"/>
              <w:jc w:val="center"/>
              <w:textAlignment w:val="auto"/>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pPr>
          </w:p>
        </w:tc>
      </w:tr>
      <w:tr w14:paraId="07B390F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9" w:type="pct"/>
            <w:vMerge w:val="restart"/>
            <w:tcBorders>
              <w:tl2br w:val="nil"/>
              <w:tr2bl w:val="nil"/>
            </w:tcBorders>
            <w:vAlign w:val="center"/>
          </w:tcPr>
          <w:p w14:paraId="7B9364B6">
            <w:pPr>
              <w:pStyle w:val="309"/>
              <w:keepNext w:val="0"/>
              <w:keepLines w:val="0"/>
              <w:pageBreakBefore w:val="0"/>
              <w:widowControl w:val="0"/>
              <w:kinsoku w:val="0"/>
              <w:wordWrap/>
              <w:overflowPunct w:val="0"/>
              <w:autoSpaceDE/>
              <w:autoSpaceDN/>
              <w:bidi w:val="0"/>
              <w:adjustRightInd w:val="0"/>
              <w:snapToGrid w:val="0"/>
              <w:spacing w:before="0" w:beforeAutospacing="0" w:line="240" w:lineRule="auto"/>
              <w:ind w:left="0" w:leftChars="0" w:firstLine="0" w:firstLineChars="0"/>
              <w:jc w:val="center"/>
              <w:textAlignment w:val="auto"/>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t>固体废物</w:t>
            </w:r>
          </w:p>
        </w:tc>
        <w:tc>
          <w:tcPr>
            <w:tcW w:w="964" w:type="pct"/>
            <w:tcBorders>
              <w:tl2br w:val="nil"/>
              <w:tr2bl w:val="nil"/>
            </w:tcBorders>
            <w:vAlign w:val="center"/>
          </w:tcPr>
          <w:p w14:paraId="21CACBAE">
            <w:pPr>
              <w:pStyle w:val="309"/>
              <w:keepNext w:val="0"/>
              <w:keepLines w:val="0"/>
              <w:pageBreakBefore w:val="0"/>
              <w:widowControl w:val="0"/>
              <w:kinsoku w:val="0"/>
              <w:wordWrap/>
              <w:overflowPunct w:val="0"/>
              <w:autoSpaceDE/>
              <w:autoSpaceDN/>
              <w:bidi w:val="0"/>
              <w:adjustRightInd w:val="0"/>
              <w:snapToGrid w:val="0"/>
              <w:spacing w:before="0" w:beforeAutospacing="0" w:line="240" w:lineRule="auto"/>
              <w:ind w:left="0" w:leftChars="0" w:firstLine="0" w:firstLineChars="0"/>
              <w:jc w:val="center"/>
              <w:textAlignment w:val="auto"/>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t>生活垃圾</w:t>
            </w:r>
          </w:p>
        </w:tc>
        <w:tc>
          <w:tcPr>
            <w:tcW w:w="735" w:type="pct"/>
            <w:tcBorders>
              <w:tl2br w:val="nil"/>
              <w:tr2bl w:val="nil"/>
            </w:tcBorders>
            <w:vAlign w:val="center"/>
          </w:tcPr>
          <w:p w14:paraId="3E1FA63C">
            <w:pPr>
              <w:pStyle w:val="309"/>
              <w:keepNext w:val="0"/>
              <w:keepLines w:val="0"/>
              <w:pageBreakBefore w:val="0"/>
              <w:widowControl w:val="0"/>
              <w:kinsoku w:val="0"/>
              <w:wordWrap/>
              <w:overflowPunct w:val="0"/>
              <w:autoSpaceDE/>
              <w:autoSpaceDN/>
              <w:bidi w:val="0"/>
              <w:adjustRightInd w:val="0"/>
              <w:snapToGrid w:val="0"/>
              <w:spacing w:before="0" w:beforeAutospacing="0" w:line="240" w:lineRule="auto"/>
              <w:ind w:left="0" w:leftChars="0" w:firstLine="0" w:firstLineChars="0"/>
              <w:jc w:val="center"/>
              <w:textAlignment w:val="auto"/>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t>0.05t/a</w:t>
            </w:r>
          </w:p>
        </w:tc>
        <w:tc>
          <w:tcPr>
            <w:tcW w:w="716" w:type="pct"/>
            <w:tcBorders>
              <w:tl2br w:val="nil"/>
              <w:tr2bl w:val="nil"/>
            </w:tcBorders>
            <w:vAlign w:val="center"/>
          </w:tcPr>
          <w:p w14:paraId="48CBF787">
            <w:pPr>
              <w:pStyle w:val="309"/>
              <w:keepNext w:val="0"/>
              <w:keepLines w:val="0"/>
              <w:pageBreakBefore w:val="0"/>
              <w:widowControl w:val="0"/>
              <w:kinsoku w:val="0"/>
              <w:wordWrap/>
              <w:overflowPunct w:val="0"/>
              <w:autoSpaceDE/>
              <w:autoSpaceDN/>
              <w:bidi w:val="0"/>
              <w:adjustRightInd w:val="0"/>
              <w:snapToGrid w:val="0"/>
              <w:spacing w:before="0" w:beforeAutospacing="0" w:line="240" w:lineRule="auto"/>
              <w:ind w:left="0" w:leftChars="0" w:firstLine="0" w:firstLineChars="0"/>
              <w:jc w:val="center"/>
              <w:textAlignment w:val="auto"/>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t>0.05t/a</w:t>
            </w:r>
          </w:p>
        </w:tc>
        <w:tc>
          <w:tcPr>
            <w:tcW w:w="500" w:type="pct"/>
            <w:tcBorders>
              <w:tl2br w:val="nil"/>
              <w:tr2bl w:val="nil"/>
            </w:tcBorders>
            <w:vAlign w:val="center"/>
          </w:tcPr>
          <w:p w14:paraId="6E8EEB2D">
            <w:pPr>
              <w:keepNext w:val="0"/>
              <w:keepLines w:val="0"/>
              <w:pageBreakBefore w:val="0"/>
              <w:widowControl w:val="0"/>
              <w:kinsoku w:val="0"/>
              <w:wordWrap/>
              <w:overflowPunct w:val="0"/>
              <w:topLinePunct w:val="0"/>
              <w:autoSpaceDE/>
              <w:autoSpaceDN/>
              <w:bidi w:val="0"/>
              <w:adjustRightInd w:val="0"/>
              <w:snapToGrid w:val="0"/>
              <w:spacing w:before="0" w:beforeAutospacing="0" w:line="240" w:lineRule="auto"/>
              <w:ind w:left="0" w:leftChars="0" w:firstLine="0" w:firstLineChars="0"/>
              <w:jc w:val="center"/>
              <w:textAlignment w:val="auto"/>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t>0</w:t>
            </w:r>
          </w:p>
        </w:tc>
        <w:tc>
          <w:tcPr>
            <w:tcW w:w="1593" w:type="pct"/>
            <w:tcBorders>
              <w:tl2br w:val="nil"/>
              <w:tr2bl w:val="nil"/>
            </w:tcBorders>
            <w:vAlign w:val="center"/>
          </w:tcPr>
          <w:p w14:paraId="72C29129">
            <w:pPr>
              <w:pStyle w:val="309"/>
              <w:keepNext w:val="0"/>
              <w:keepLines w:val="0"/>
              <w:pageBreakBefore w:val="0"/>
              <w:widowControl w:val="0"/>
              <w:kinsoku w:val="0"/>
              <w:wordWrap/>
              <w:overflowPunct w:val="0"/>
              <w:autoSpaceDE/>
              <w:autoSpaceDN/>
              <w:bidi w:val="0"/>
              <w:adjustRightInd w:val="0"/>
              <w:snapToGrid w:val="0"/>
              <w:spacing w:before="0" w:beforeAutospacing="0" w:line="240" w:lineRule="auto"/>
              <w:ind w:left="0" w:leftChars="0" w:firstLine="0" w:firstLineChars="0"/>
              <w:jc w:val="center"/>
              <w:textAlignment w:val="auto"/>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t>定期运送到周边垃圾中转站转运，统一处置</w:t>
            </w:r>
          </w:p>
        </w:tc>
      </w:tr>
      <w:tr w14:paraId="5AA15A4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9" w:type="pct"/>
            <w:vMerge w:val="continue"/>
            <w:tcBorders>
              <w:tl2br w:val="nil"/>
              <w:tr2bl w:val="nil"/>
            </w:tcBorders>
            <w:vAlign w:val="center"/>
          </w:tcPr>
          <w:p w14:paraId="5B3E82E7">
            <w:pPr>
              <w:pStyle w:val="309"/>
              <w:keepNext w:val="0"/>
              <w:keepLines w:val="0"/>
              <w:pageBreakBefore w:val="0"/>
              <w:widowControl w:val="0"/>
              <w:kinsoku w:val="0"/>
              <w:wordWrap/>
              <w:overflowPunct w:val="0"/>
              <w:autoSpaceDE/>
              <w:autoSpaceDN/>
              <w:bidi w:val="0"/>
              <w:adjustRightInd w:val="0"/>
              <w:snapToGrid w:val="0"/>
              <w:spacing w:before="0" w:beforeAutospacing="0" w:line="240" w:lineRule="auto"/>
              <w:ind w:left="0" w:leftChars="0" w:firstLine="0" w:firstLineChars="0"/>
              <w:jc w:val="center"/>
              <w:textAlignment w:val="auto"/>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pPr>
          </w:p>
        </w:tc>
        <w:tc>
          <w:tcPr>
            <w:tcW w:w="964" w:type="pct"/>
            <w:tcBorders>
              <w:tl2br w:val="nil"/>
              <w:tr2bl w:val="nil"/>
            </w:tcBorders>
            <w:vAlign w:val="center"/>
          </w:tcPr>
          <w:p w14:paraId="24263B2E">
            <w:pPr>
              <w:pStyle w:val="309"/>
              <w:keepNext w:val="0"/>
              <w:keepLines w:val="0"/>
              <w:pageBreakBefore w:val="0"/>
              <w:widowControl w:val="0"/>
              <w:kinsoku w:val="0"/>
              <w:wordWrap/>
              <w:overflowPunct w:val="0"/>
              <w:autoSpaceDE/>
              <w:autoSpaceDN/>
              <w:bidi w:val="0"/>
              <w:adjustRightInd w:val="0"/>
              <w:snapToGrid w:val="0"/>
              <w:spacing w:before="0" w:beforeAutospacing="0" w:line="240" w:lineRule="auto"/>
              <w:ind w:left="0" w:leftChars="0" w:firstLine="0" w:firstLineChars="0"/>
              <w:jc w:val="center"/>
              <w:textAlignment w:val="auto"/>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t>风机报废零部件</w:t>
            </w:r>
          </w:p>
        </w:tc>
        <w:tc>
          <w:tcPr>
            <w:tcW w:w="735" w:type="pct"/>
            <w:tcBorders>
              <w:tl2br w:val="nil"/>
              <w:tr2bl w:val="nil"/>
            </w:tcBorders>
            <w:vAlign w:val="center"/>
          </w:tcPr>
          <w:p w14:paraId="6976F5F8">
            <w:pPr>
              <w:pStyle w:val="309"/>
              <w:keepNext w:val="0"/>
              <w:keepLines w:val="0"/>
              <w:pageBreakBefore w:val="0"/>
              <w:widowControl w:val="0"/>
              <w:kinsoku w:val="0"/>
              <w:wordWrap/>
              <w:overflowPunct w:val="0"/>
              <w:autoSpaceDE/>
              <w:autoSpaceDN/>
              <w:bidi w:val="0"/>
              <w:adjustRightInd w:val="0"/>
              <w:snapToGrid w:val="0"/>
              <w:spacing w:before="0" w:beforeAutospacing="0" w:line="240" w:lineRule="auto"/>
              <w:ind w:left="0" w:leftChars="0" w:firstLine="0" w:firstLineChars="0"/>
              <w:jc w:val="center"/>
              <w:textAlignment w:val="auto"/>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t>0.1t/a</w:t>
            </w:r>
          </w:p>
        </w:tc>
        <w:tc>
          <w:tcPr>
            <w:tcW w:w="716" w:type="pct"/>
            <w:tcBorders>
              <w:tl2br w:val="nil"/>
              <w:tr2bl w:val="nil"/>
            </w:tcBorders>
            <w:vAlign w:val="center"/>
          </w:tcPr>
          <w:p w14:paraId="5E409E4E">
            <w:pPr>
              <w:pStyle w:val="309"/>
              <w:keepNext w:val="0"/>
              <w:keepLines w:val="0"/>
              <w:pageBreakBefore w:val="0"/>
              <w:widowControl w:val="0"/>
              <w:kinsoku w:val="0"/>
              <w:wordWrap/>
              <w:overflowPunct w:val="0"/>
              <w:autoSpaceDE/>
              <w:autoSpaceDN/>
              <w:bidi w:val="0"/>
              <w:adjustRightInd w:val="0"/>
              <w:snapToGrid w:val="0"/>
              <w:spacing w:before="0" w:beforeAutospacing="0" w:line="240" w:lineRule="auto"/>
              <w:ind w:left="0" w:leftChars="0" w:firstLine="0" w:firstLineChars="0"/>
              <w:jc w:val="center"/>
              <w:textAlignment w:val="auto"/>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t>0.1t/a</w:t>
            </w:r>
          </w:p>
        </w:tc>
        <w:tc>
          <w:tcPr>
            <w:tcW w:w="500" w:type="pct"/>
            <w:tcBorders>
              <w:tl2br w:val="nil"/>
              <w:tr2bl w:val="nil"/>
            </w:tcBorders>
            <w:vAlign w:val="center"/>
          </w:tcPr>
          <w:p w14:paraId="343B6302">
            <w:pPr>
              <w:keepNext w:val="0"/>
              <w:keepLines w:val="0"/>
              <w:pageBreakBefore w:val="0"/>
              <w:widowControl w:val="0"/>
              <w:kinsoku w:val="0"/>
              <w:wordWrap/>
              <w:overflowPunct w:val="0"/>
              <w:topLinePunct w:val="0"/>
              <w:autoSpaceDE/>
              <w:autoSpaceDN/>
              <w:bidi w:val="0"/>
              <w:adjustRightInd w:val="0"/>
              <w:snapToGrid w:val="0"/>
              <w:spacing w:before="0" w:beforeAutospacing="0" w:line="240" w:lineRule="auto"/>
              <w:ind w:left="0" w:leftChars="0" w:firstLine="0" w:firstLineChars="0"/>
              <w:jc w:val="center"/>
              <w:textAlignment w:val="auto"/>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t>0</w:t>
            </w:r>
          </w:p>
        </w:tc>
        <w:tc>
          <w:tcPr>
            <w:tcW w:w="1593" w:type="pct"/>
            <w:tcBorders>
              <w:tl2br w:val="nil"/>
              <w:tr2bl w:val="nil"/>
            </w:tcBorders>
            <w:vAlign w:val="center"/>
          </w:tcPr>
          <w:p w14:paraId="1DFDA60D">
            <w:pPr>
              <w:pStyle w:val="309"/>
              <w:keepNext w:val="0"/>
              <w:keepLines w:val="0"/>
              <w:pageBreakBefore w:val="0"/>
              <w:widowControl w:val="0"/>
              <w:kinsoku w:val="0"/>
              <w:wordWrap/>
              <w:overflowPunct w:val="0"/>
              <w:autoSpaceDE/>
              <w:autoSpaceDN/>
              <w:bidi w:val="0"/>
              <w:adjustRightInd w:val="0"/>
              <w:snapToGrid w:val="0"/>
              <w:spacing w:before="0" w:beforeAutospacing="0" w:line="240" w:lineRule="auto"/>
              <w:ind w:left="0" w:leftChars="0" w:firstLine="0" w:firstLineChars="0"/>
              <w:jc w:val="center"/>
              <w:textAlignment w:val="auto"/>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t>由生产厂家回收处理</w:t>
            </w:r>
          </w:p>
        </w:tc>
      </w:tr>
      <w:tr w14:paraId="00F3633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9" w:type="pct"/>
            <w:vMerge w:val="continue"/>
            <w:tcBorders>
              <w:tl2br w:val="nil"/>
              <w:tr2bl w:val="nil"/>
            </w:tcBorders>
            <w:vAlign w:val="center"/>
          </w:tcPr>
          <w:p w14:paraId="41F70F18">
            <w:pPr>
              <w:pStyle w:val="309"/>
              <w:keepNext w:val="0"/>
              <w:keepLines w:val="0"/>
              <w:pageBreakBefore w:val="0"/>
              <w:widowControl w:val="0"/>
              <w:kinsoku w:val="0"/>
              <w:wordWrap/>
              <w:overflowPunct w:val="0"/>
              <w:autoSpaceDE/>
              <w:autoSpaceDN/>
              <w:bidi w:val="0"/>
              <w:adjustRightInd w:val="0"/>
              <w:snapToGrid w:val="0"/>
              <w:spacing w:before="0" w:beforeAutospacing="0" w:line="240" w:lineRule="auto"/>
              <w:ind w:left="0" w:leftChars="0" w:firstLine="0" w:firstLineChars="0"/>
              <w:jc w:val="center"/>
              <w:textAlignment w:val="auto"/>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pPr>
          </w:p>
        </w:tc>
        <w:tc>
          <w:tcPr>
            <w:tcW w:w="964" w:type="pct"/>
            <w:tcBorders>
              <w:tl2br w:val="nil"/>
              <w:tr2bl w:val="nil"/>
            </w:tcBorders>
            <w:vAlign w:val="top"/>
          </w:tcPr>
          <w:p w14:paraId="451646C7">
            <w:pPr>
              <w:pStyle w:val="620"/>
              <w:keepNext w:val="0"/>
              <w:keepLines w:val="0"/>
              <w:pageBreakBefore w:val="0"/>
              <w:widowControl/>
              <w:kinsoku/>
              <w:wordWrap/>
              <w:overflowPunct w:val="0"/>
              <w:topLinePunct w:val="0"/>
              <w:autoSpaceDE w:val="0"/>
              <w:autoSpaceDN w:val="0"/>
              <w:bidi w:val="0"/>
              <w:adjustRightInd w:val="0"/>
              <w:snapToGrid w:val="0"/>
              <w:spacing w:before="71" w:line="227" w:lineRule="auto"/>
              <w:ind w:left="560" w:leftChars="200"/>
              <w:textAlignment w:val="baseline"/>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t>废风机叶片</w:t>
            </w:r>
          </w:p>
        </w:tc>
        <w:tc>
          <w:tcPr>
            <w:tcW w:w="735" w:type="pct"/>
            <w:tcBorders>
              <w:tl2br w:val="nil"/>
              <w:tr2bl w:val="nil"/>
            </w:tcBorders>
            <w:vAlign w:val="top"/>
          </w:tcPr>
          <w:p w14:paraId="2F47FA5F">
            <w:pPr>
              <w:keepNext w:val="0"/>
              <w:keepLines w:val="0"/>
              <w:pageBreakBefore w:val="0"/>
              <w:widowControl/>
              <w:kinsoku/>
              <w:wordWrap/>
              <w:overflowPunct w:val="0"/>
              <w:topLinePunct w:val="0"/>
              <w:autoSpaceDE w:val="0"/>
              <w:autoSpaceDN w:val="0"/>
              <w:bidi w:val="0"/>
              <w:adjustRightInd w:val="0"/>
              <w:snapToGrid w:val="0"/>
              <w:spacing w:before="110" w:line="195" w:lineRule="auto"/>
              <w:ind w:left="560" w:leftChars="200"/>
              <w:textAlignment w:val="baseline"/>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t>630</w:t>
            </w:r>
            <w:r>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t>t</w:t>
            </w:r>
          </w:p>
        </w:tc>
        <w:tc>
          <w:tcPr>
            <w:tcW w:w="716" w:type="pct"/>
            <w:tcBorders>
              <w:tl2br w:val="nil"/>
              <w:tr2bl w:val="nil"/>
            </w:tcBorders>
            <w:vAlign w:val="top"/>
          </w:tcPr>
          <w:p w14:paraId="3EFF9722">
            <w:pPr>
              <w:keepNext w:val="0"/>
              <w:keepLines w:val="0"/>
              <w:pageBreakBefore w:val="0"/>
              <w:widowControl/>
              <w:kinsoku/>
              <w:wordWrap/>
              <w:overflowPunct w:val="0"/>
              <w:topLinePunct w:val="0"/>
              <w:autoSpaceDE w:val="0"/>
              <w:autoSpaceDN w:val="0"/>
              <w:bidi w:val="0"/>
              <w:adjustRightInd w:val="0"/>
              <w:snapToGrid w:val="0"/>
              <w:spacing w:before="110" w:line="195" w:lineRule="auto"/>
              <w:ind w:left="560" w:leftChars="200"/>
              <w:textAlignment w:val="baseline"/>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t>630</w:t>
            </w:r>
            <w:r>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t>t</w:t>
            </w:r>
          </w:p>
        </w:tc>
        <w:tc>
          <w:tcPr>
            <w:tcW w:w="500" w:type="pct"/>
            <w:tcBorders>
              <w:tl2br w:val="nil"/>
              <w:tr2bl w:val="nil"/>
            </w:tcBorders>
            <w:vAlign w:val="top"/>
          </w:tcPr>
          <w:p w14:paraId="1740C716">
            <w:pPr>
              <w:keepNext w:val="0"/>
              <w:keepLines w:val="0"/>
              <w:pageBreakBefore w:val="0"/>
              <w:widowControl/>
              <w:kinsoku/>
              <w:wordWrap/>
              <w:overflowPunct w:val="0"/>
              <w:topLinePunct w:val="0"/>
              <w:autoSpaceDE w:val="0"/>
              <w:autoSpaceDN w:val="0"/>
              <w:bidi w:val="0"/>
              <w:adjustRightInd w:val="0"/>
              <w:snapToGrid w:val="0"/>
              <w:spacing w:before="110" w:line="195" w:lineRule="auto"/>
              <w:ind w:left="560" w:leftChars="200"/>
              <w:textAlignment w:val="baseline"/>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t>0</w:t>
            </w:r>
          </w:p>
        </w:tc>
        <w:tc>
          <w:tcPr>
            <w:tcW w:w="1593" w:type="pct"/>
            <w:tcBorders>
              <w:tl2br w:val="nil"/>
              <w:tr2bl w:val="nil"/>
            </w:tcBorders>
            <w:vAlign w:val="top"/>
          </w:tcPr>
          <w:p w14:paraId="083A8354">
            <w:pPr>
              <w:pStyle w:val="620"/>
              <w:keepNext w:val="0"/>
              <w:keepLines w:val="0"/>
              <w:pageBreakBefore w:val="0"/>
              <w:widowControl/>
              <w:kinsoku/>
              <w:wordWrap/>
              <w:overflowPunct w:val="0"/>
              <w:topLinePunct w:val="0"/>
              <w:autoSpaceDE w:val="0"/>
              <w:autoSpaceDN w:val="0"/>
              <w:bidi w:val="0"/>
              <w:adjustRightInd w:val="0"/>
              <w:snapToGrid w:val="0"/>
              <w:spacing w:before="71" w:line="228" w:lineRule="auto"/>
              <w:ind w:left="560" w:leftChars="200"/>
              <w:textAlignment w:val="baseline"/>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t>由生产厂家回收处理</w:t>
            </w:r>
          </w:p>
        </w:tc>
      </w:tr>
      <w:tr w14:paraId="50E09E6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9" w:type="pct"/>
            <w:vMerge w:val="continue"/>
            <w:tcBorders>
              <w:tl2br w:val="nil"/>
              <w:tr2bl w:val="nil"/>
            </w:tcBorders>
            <w:vAlign w:val="center"/>
          </w:tcPr>
          <w:p w14:paraId="69867ADA">
            <w:pPr>
              <w:pStyle w:val="309"/>
              <w:keepNext w:val="0"/>
              <w:keepLines w:val="0"/>
              <w:pageBreakBefore w:val="0"/>
              <w:widowControl w:val="0"/>
              <w:kinsoku w:val="0"/>
              <w:wordWrap/>
              <w:overflowPunct w:val="0"/>
              <w:autoSpaceDE/>
              <w:autoSpaceDN/>
              <w:bidi w:val="0"/>
              <w:adjustRightInd w:val="0"/>
              <w:snapToGrid w:val="0"/>
              <w:spacing w:before="0" w:beforeAutospacing="0" w:line="240" w:lineRule="auto"/>
              <w:ind w:left="0" w:leftChars="0" w:firstLine="0" w:firstLineChars="0"/>
              <w:jc w:val="center"/>
              <w:textAlignment w:val="auto"/>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pPr>
          </w:p>
        </w:tc>
        <w:tc>
          <w:tcPr>
            <w:tcW w:w="964" w:type="pct"/>
            <w:tcBorders>
              <w:tl2br w:val="nil"/>
              <w:tr2bl w:val="nil"/>
            </w:tcBorders>
            <w:vAlign w:val="center"/>
          </w:tcPr>
          <w:p w14:paraId="5BBC2A9B">
            <w:pPr>
              <w:pStyle w:val="620"/>
              <w:keepNext w:val="0"/>
              <w:keepLines w:val="0"/>
              <w:pageBreakBefore w:val="0"/>
              <w:widowControl/>
              <w:kinsoku/>
              <w:wordWrap/>
              <w:overflowPunct w:val="0"/>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t>含油抹布和废手套</w:t>
            </w:r>
          </w:p>
        </w:tc>
        <w:tc>
          <w:tcPr>
            <w:tcW w:w="735" w:type="pct"/>
            <w:tcBorders>
              <w:tl2br w:val="nil"/>
              <w:tr2bl w:val="nil"/>
            </w:tcBorders>
            <w:vAlign w:val="center"/>
          </w:tcPr>
          <w:p w14:paraId="14561DD6">
            <w:pPr>
              <w:keepNext w:val="0"/>
              <w:keepLines w:val="0"/>
              <w:pageBreakBefore w:val="0"/>
              <w:widowControl/>
              <w:kinsoku/>
              <w:wordWrap/>
              <w:overflowPunct w:val="0"/>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t>0.05t/a</w:t>
            </w:r>
          </w:p>
        </w:tc>
        <w:tc>
          <w:tcPr>
            <w:tcW w:w="716" w:type="pct"/>
            <w:tcBorders>
              <w:tl2br w:val="nil"/>
              <w:tr2bl w:val="nil"/>
            </w:tcBorders>
            <w:vAlign w:val="center"/>
          </w:tcPr>
          <w:p w14:paraId="4E79F64F">
            <w:pPr>
              <w:keepNext w:val="0"/>
              <w:keepLines w:val="0"/>
              <w:pageBreakBefore w:val="0"/>
              <w:widowControl/>
              <w:kinsoku/>
              <w:wordWrap/>
              <w:overflowPunct w:val="0"/>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t>0.05t/a</w:t>
            </w:r>
          </w:p>
        </w:tc>
        <w:tc>
          <w:tcPr>
            <w:tcW w:w="500" w:type="pct"/>
            <w:tcBorders>
              <w:tl2br w:val="nil"/>
              <w:tr2bl w:val="nil"/>
            </w:tcBorders>
            <w:vAlign w:val="center"/>
          </w:tcPr>
          <w:p w14:paraId="6335A478">
            <w:pPr>
              <w:keepNext w:val="0"/>
              <w:keepLines w:val="0"/>
              <w:pageBreakBefore w:val="0"/>
              <w:widowControl/>
              <w:kinsoku/>
              <w:wordWrap/>
              <w:overflowPunct w:val="0"/>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t>0</w:t>
            </w:r>
          </w:p>
        </w:tc>
        <w:tc>
          <w:tcPr>
            <w:tcW w:w="1593" w:type="pct"/>
            <w:vMerge w:val="restart"/>
            <w:tcBorders>
              <w:tl2br w:val="nil"/>
              <w:tr2bl w:val="nil"/>
            </w:tcBorders>
            <w:vAlign w:val="center"/>
          </w:tcPr>
          <w:p w14:paraId="0A5AEA84">
            <w:pPr>
              <w:pStyle w:val="309"/>
              <w:keepNext w:val="0"/>
              <w:keepLines w:val="0"/>
              <w:pageBreakBefore w:val="0"/>
              <w:widowControl w:val="0"/>
              <w:kinsoku w:val="0"/>
              <w:wordWrap/>
              <w:overflowPunct w:val="0"/>
              <w:autoSpaceDE/>
              <w:autoSpaceDN/>
              <w:bidi w:val="0"/>
              <w:adjustRightInd w:val="0"/>
              <w:snapToGrid w:val="0"/>
              <w:spacing w:before="0" w:beforeAutospacing="0" w:line="240" w:lineRule="auto"/>
              <w:ind w:left="0" w:leftChars="0" w:firstLine="0" w:firstLineChars="0"/>
              <w:jc w:val="center"/>
              <w:textAlignment w:val="auto"/>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t>即产即清，交由有资质单位处置，不在场内暂存</w:t>
            </w:r>
          </w:p>
        </w:tc>
      </w:tr>
      <w:tr w14:paraId="33B4BC0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9" w:type="pct"/>
            <w:vMerge w:val="continue"/>
            <w:tcBorders>
              <w:tl2br w:val="nil"/>
              <w:tr2bl w:val="nil"/>
            </w:tcBorders>
            <w:vAlign w:val="center"/>
          </w:tcPr>
          <w:p w14:paraId="0162992A">
            <w:pPr>
              <w:pStyle w:val="309"/>
              <w:keepNext w:val="0"/>
              <w:keepLines w:val="0"/>
              <w:pageBreakBefore w:val="0"/>
              <w:widowControl w:val="0"/>
              <w:kinsoku w:val="0"/>
              <w:wordWrap/>
              <w:overflowPunct w:val="0"/>
              <w:autoSpaceDE/>
              <w:autoSpaceDN/>
              <w:bidi w:val="0"/>
              <w:adjustRightInd w:val="0"/>
              <w:snapToGrid w:val="0"/>
              <w:spacing w:before="0" w:beforeAutospacing="0" w:line="240" w:lineRule="auto"/>
              <w:ind w:left="0" w:leftChars="0" w:firstLine="0" w:firstLineChars="0"/>
              <w:jc w:val="center"/>
              <w:textAlignment w:val="auto"/>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pPr>
          </w:p>
        </w:tc>
        <w:tc>
          <w:tcPr>
            <w:tcW w:w="964" w:type="pct"/>
            <w:tcBorders>
              <w:tl2br w:val="nil"/>
              <w:tr2bl w:val="nil"/>
            </w:tcBorders>
            <w:vAlign w:val="center"/>
          </w:tcPr>
          <w:p w14:paraId="041C1CD1">
            <w:pPr>
              <w:pStyle w:val="309"/>
              <w:keepNext w:val="0"/>
              <w:keepLines w:val="0"/>
              <w:pageBreakBefore w:val="0"/>
              <w:widowControl w:val="0"/>
              <w:kinsoku w:val="0"/>
              <w:wordWrap/>
              <w:overflowPunct w:val="0"/>
              <w:autoSpaceDE/>
              <w:autoSpaceDN/>
              <w:bidi w:val="0"/>
              <w:adjustRightInd w:val="0"/>
              <w:snapToGrid w:val="0"/>
              <w:spacing w:before="0" w:beforeAutospacing="0" w:line="240" w:lineRule="auto"/>
              <w:ind w:left="0" w:leftChars="0" w:firstLine="0" w:firstLineChars="0"/>
              <w:jc w:val="center"/>
              <w:textAlignment w:val="auto"/>
              <w:rPr>
                <w:rFonts w:hint="eastAsia"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t>废</w:t>
            </w:r>
            <w:r>
              <w:rPr>
                <w:rFonts w:hint="eastAsia"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t>矿物油</w:t>
            </w:r>
          </w:p>
        </w:tc>
        <w:tc>
          <w:tcPr>
            <w:tcW w:w="735" w:type="pct"/>
            <w:tcBorders>
              <w:tl2br w:val="nil"/>
              <w:tr2bl w:val="nil"/>
            </w:tcBorders>
            <w:vAlign w:val="center"/>
          </w:tcPr>
          <w:p w14:paraId="1B7B0DCD">
            <w:pPr>
              <w:pStyle w:val="309"/>
              <w:keepNext w:val="0"/>
              <w:keepLines w:val="0"/>
              <w:pageBreakBefore w:val="0"/>
              <w:widowControl w:val="0"/>
              <w:kinsoku w:val="0"/>
              <w:wordWrap/>
              <w:overflowPunct w:val="0"/>
              <w:autoSpaceDE/>
              <w:autoSpaceDN/>
              <w:bidi w:val="0"/>
              <w:adjustRightInd w:val="0"/>
              <w:snapToGrid w:val="0"/>
              <w:spacing w:before="0" w:beforeAutospacing="0" w:line="240" w:lineRule="auto"/>
              <w:ind w:left="0" w:leftChars="0" w:firstLine="0" w:firstLineChars="0"/>
              <w:jc w:val="center"/>
              <w:textAlignment w:val="auto"/>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t>0.0625</w:t>
            </w:r>
            <w:r>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t>t/a</w:t>
            </w:r>
          </w:p>
        </w:tc>
        <w:tc>
          <w:tcPr>
            <w:tcW w:w="716" w:type="pct"/>
            <w:tcBorders>
              <w:tl2br w:val="nil"/>
              <w:tr2bl w:val="nil"/>
            </w:tcBorders>
            <w:vAlign w:val="center"/>
          </w:tcPr>
          <w:p w14:paraId="4A4B3BE8">
            <w:pPr>
              <w:pStyle w:val="309"/>
              <w:keepNext w:val="0"/>
              <w:keepLines w:val="0"/>
              <w:pageBreakBefore w:val="0"/>
              <w:widowControl w:val="0"/>
              <w:kinsoku w:val="0"/>
              <w:wordWrap/>
              <w:overflowPunct w:val="0"/>
              <w:autoSpaceDE/>
              <w:autoSpaceDN/>
              <w:bidi w:val="0"/>
              <w:adjustRightInd w:val="0"/>
              <w:snapToGrid w:val="0"/>
              <w:spacing w:before="0" w:beforeAutospacing="0" w:line="240" w:lineRule="auto"/>
              <w:ind w:left="0" w:leftChars="0" w:firstLine="0" w:firstLineChars="0"/>
              <w:jc w:val="center"/>
              <w:textAlignment w:val="auto"/>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t>0.0625</w:t>
            </w:r>
            <w:r>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t>t/a</w:t>
            </w:r>
          </w:p>
        </w:tc>
        <w:tc>
          <w:tcPr>
            <w:tcW w:w="500" w:type="pct"/>
            <w:tcBorders>
              <w:tl2br w:val="nil"/>
              <w:tr2bl w:val="nil"/>
            </w:tcBorders>
            <w:vAlign w:val="center"/>
          </w:tcPr>
          <w:p w14:paraId="2F74F6A5">
            <w:pPr>
              <w:keepNext w:val="0"/>
              <w:keepLines w:val="0"/>
              <w:pageBreakBefore w:val="0"/>
              <w:widowControl w:val="0"/>
              <w:kinsoku w:val="0"/>
              <w:wordWrap/>
              <w:overflowPunct w:val="0"/>
              <w:topLinePunct w:val="0"/>
              <w:autoSpaceDE/>
              <w:autoSpaceDN/>
              <w:bidi w:val="0"/>
              <w:adjustRightInd w:val="0"/>
              <w:snapToGrid w:val="0"/>
              <w:spacing w:before="0" w:beforeAutospacing="0" w:line="240" w:lineRule="auto"/>
              <w:ind w:left="0" w:leftChars="0" w:firstLine="0" w:firstLineChars="0"/>
              <w:jc w:val="center"/>
              <w:textAlignment w:val="auto"/>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t>0</w:t>
            </w:r>
          </w:p>
        </w:tc>
        <w:tc>
          <w:tcPr>
            <w:tcW w:w="1593" w:type="pct"/>
            <w:vMerge w:val="continue"/>
            <w:tcBorders>
              <w:tl2br w:val="nil"/>
              <w:tr2bl w:val="nil"/>
            </w:tcBorders>
            <w:vAlign w:val="center"/>
          </w:tcPr>
          <w:p w14:paraId="13B3A64A">
            <w:pPr>
              <w:pStyle w:val="309"/>
              <w:keepNext w:val="0"/>
              <w:keepLines w:val="0"/>
              <w:pageBreakBefore w:val="0"/>
              <w:widowControl w:val="0"/>
              <w:kinsoku w:val="0"/>
              <w:wordWrap/>
              <w:overflowPunct w:val="0"/>
              <w:autoSpaceDE/>
              <w:autoSpaceDN/>
              <w:bidi w:val="0"/>
              <w:adjustRightInd w:val="0"/>
              <w:snapToGrid w:val="0"/>
              <w:spacing w:before="0" w:beforeAutospacing="0" w:line="240" w:lineRule="auto"/>
              <w:ind w:left="0" w:leftChars="0" w:firstLine="0" w:firstLineChars="0"/>
              <w:jc w:val="center"/>
              <w:textAlignment w:val="auto"/>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pPr>
          </w:p>
        </w:tc>
      </w:tr>
      <w:tr w14:paraId="1AE9680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9" w:type="pct"/>
            <w:tcBorders>
              <w:tl2br w:val="nil"/>
              <w:tr2bl w:val="nil"/>
            </w:tcBorders>
            <w:vAlign w:val="center"/>
          </w:tcPr>
          <w:p w14:paraId="249DA12C">
            <w:pPr>
              <w:pStyle w:val="309"/>
              <w:keepNext w:val="0"/>
              <w:keepLines w:val="0"/>
              <w:pageBreakBefore w:val="0"/>
              <w:widowControl w:val="0"/>
              <w:kinsoku w:val="0"/>
              <w:wordWrap/>
              <w:overflowPunct w:val="0"/>
              <w:autoSpaceDE/>
              <w:autoSpaceDN/>
              <w:bidi w:val="0"/>
              <w:adjustRightInd w:val="0"/>
              <w:snapToGrid w:val="0"/>
              <w:spacing w:before="0" w:beforeAutospacing="0" w:line="240" w:lineRule="auto"/>
              <w:ind w:left="0" w:leftChars="0" w:firstLine="0" w:firstLineChars="0"/>
              <w:jc w:val="center"/>
              <w:textAlignment w:val="auto"/>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t>噪声</w:t>
            </w:r>
          </w:p>
        </w:tc>
        <w:tc>
          <w:tcPr>
            <w:tcW w:w="964" w:type="pct"/>
            <w:tcBorders>
              <w:tl2br w:val="nil"/>
              <w:tr2bl w:val="nil"/>
            </w:tcBorders>
            <w:vAlign w:val="center"/>
          </w:tcPr>
          <w:p w14:paraId="246EA393">
            <w:pPr>
              <w:pStyle w:val="309"/>
              <w:keepNext w:val="0"/>
              <w:keepLines w:val="0"/>
              <w:pageBreakBefore w:val="0"/>
              <w:widowControl w:val="0"/>
              <w:kinsoku w:val="0"/>
              <w:wordWrap/>
              <w:overflowPunct w:val="0"/>
              <w:autoSpaceDE/>
              <w:autoSpaceDN/>
              <w:bidi w:val="0"/>
              <w:adjustRightInd w:val="0"/>
              <w:snapToGrid w:val="0"/>
              <w:spacing w:before="0" w:beforeAutospacing="0" w:line="240" w:lineRule="auto"/>
              <w:ind w:left="0" w:leftChars="0" w:firstLine="0" w:firstLineChars="0"/>
              <w:jc w:val="center"/>
              <w:textAlignment w:val="auto"/>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t>风机设备噪声</w:t>
            </w:r>
          </w:p>
        </w:tc>
        <w:tc>
          <w:tcPr>
            <w:tcW w:w="1953" w:type="pct"/>
            <w:gridSpan w:val="3"/>
            <w:tcBorders>
              <w:tl2br w:val="nil"/>
              <w:tr2bl w:val="nil"/>
            </w:tcBorders>
            <w:vAlign w:val="center"/>
          </w:tcPr>
          <w:p w14:paraId="51205B1C">
            <w:pPr>
              <w:pStyle w:val="309"/>
              <w:keepNext w:val="0"/>
              <w:keepLines w:val="0"/>
              <w:pageBreakBefore w:val="0"/>
              <w:widowControl w:val="0"/>
              <w:wordWrap/>
              <w:overflowPunct w:val="0"/>
              <w:topLinePunct/>
              <w:autoSpaceDE/>
              <w:autoSpaceDN/>
              <w:bidi w:val="0"/>
              <w:adjustRightInd w:val="0"/>
              <w:snapToGrid w:val="0"/>
              <w:spacing w:before="0" w:beforeAutospacing="0" w:line="240" w:lineRule="auto"/>
              <w:ind w:left="0" w:leftChars="0" w:firstLine="0" w:firstLineChars="0"/>
              <w:jc w:val="center"/>
              <w:textAlignment w:val="auto"/>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t>风机声功率级约为102dB（A），电气设备声级65dB（A）</w:t>
            </w:r>
          </w:p>
        </w:tc>
        <w:tc>
          <w:tcPr>
            <w:tcW w:w="1593" w:type="pct"/>
            <w:tcBorders>
              <w:tl2br w:val="nil"/>
              <w:tr2bl w:val="nil"/>
            </w:tcBorders>
            <w:vAlign w:val="center"/>
          </w:tcPr>
          <w:p w14:paraId="24203BB4">
            <w:pPr>
              <w:pStyle w:val="309"/>
              <w:keepNext w:val="0"/>
              <w:keepLines w:val="0"/>
              <w:pageBreakBefore w:val="0"/>
              <w:widowControl w:val="0"/>
              <w:kinsoku w:val="0"/>
              <w:wordWrap/>
              <w:overflowPunct w:val="0"/>
              <w:autoSpaceDE/>
              <w:autoSpaceDN/>
              <w:bidi w:val="0"/>
              <w:adjustRightInd w:val="0"/>
              <w:snapToGrid w:val="0"/>
              <w:spacing w:before="0" w:beforeAutospacing="0" w:line="240" w:lineRule="auto"/>
              <w:ind w:left="0" w:leftChars="0" w:firstLine="0" w:firstLineChars="0"/>
              <w:jc w:val="center"/>
              <w:textAlignment w:val="auto"/>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t>经距离衰减、采取降噪吸声等措施后能达标排放</w:t>
            </w:r>
          </w:p>
        </w:tc>
      </w:tr>
      <w:tr w14:paraId="1BCA64A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9" w:type="pct"/>
            <w:tcBorders>
              <w:tl2br w:val="nil"/>
              <w:tr2bl w:val="nil"/>
            </w:tcBorders>
            <w:vAlign w:val="center"/>
          </w:tcPr>
          <w:p w14:paraId="0A5EC57C">
            <w:pPr>
              <w:pStyle w:val="309"/>
              <w:keepNext w:val="0"/>
              <w:keepLines w:val="0"/>
              <w:pageBreakBefore w:val="0"/>
              <w:widowControl w:val="0"/>
              <w:kinsoku w:val="0"/>
              <w:wordWrap/>
              <w:overflowPunct w:val="0"/>
              <w:autoSpaceDE/>
              <w:autoSpaceDN/>
              <w:bidi w:val="0"/>
              <w:adjustRightInd w:val="0"/>
              <w:snapToGrid w:val="0"/>
              <w:spacing w:before="0" w:beforeAutospacing="0" w:line="240" w:lineRule="auto"/>
              <w:ind w:left="0" w:leftChars="0" w:firstLine="0" w:firstLineChars="0"/>
              <w:jc w:val="center"/>
              <w:textAlignment w:val="auto"/>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t>光影影响</w:t>
            </w:r>
          </w:p>
        </w:tc>
        <w:tc>
          <w:tcPr>
            <w:tcW w:w="964" w:type="pct"/>
            <w:tcBorders>
              <w:tl2br w:val="nil"/>
              <w:tr2bl w:val="nil"/>
            </w:tcBorders>
            <w:vAlign w:val="center"/>
          </w:tcPr>
          <w:p w14:paraId="34A3D95F">
            <w:pPr>
              <w:pStyle w:val="309"/>
              <w:keepNext w:val="0"/>
              <w:keepLines w:val="0"/>
              <w:pageBreakBefore w:val="0"/>
              <w:widowControl w:val="0"/>
              <w:kinsoku w:val="0"/>
              <w:wordWrap/>
              <w:overflowPunct w:val="0"/>
              <w:autoSpaceDE/>
              <w:autoSpaceDN/>
              <w:bidi w:val="0"/>
              <w:adjustRightInd w:val="0"/>
              <w:snapToGrid w:val="0"/>
              <w:spacing w:before="0" w:beforeAutospacing="0" w:line="240" w:lineRule="auto"/>
              <w:ind w:left="0" w:leftChars="0" w:firstLine="0" w:firstLineChars="0"/>
              <w:jc w:val="center"/>
              <w:textAlignment w:val="auto"/>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t>风机</w:t>
            </w:r>
          </w:p>
        </w:tc>
        <w:tc>
          <w:tcPr>
            <w:tcW w:w="3546" w:type="pct"/>
            <w:gridSpan w:val="4"/>
            <w:tcBorders>
              <w:tl2br w:val="nil"/>
              <w:tr2bl w:val="nil"/>
            </w:tcBorders>
            <w:vAlign w:val="center"/>
          </w:tcPr>
          <w:p w14:paraId="16DCB7E2">
            <w:pPr>
              <w:pStyle w:val="309"/>
              <w:keepNext w:val="0"/>
              <w:keepLines w:val="0"/>
              <w:pageBreakBefore w:val="0"/>
              <w:widowControl w:val="0"/>
              <w:kinsoku w:val="0"/>
              <w:wordWrap/>
              <w:overflowPunct w:val="0"/>
              <w:autoSpaceDE/>
              <w:autoSpaceDN/>
              <w:bidi w:val="0"/>
              <w:adjustRightInd w:val="0"/>
              <w:snapToGrid w:val="0"/>
              <w:spacing w:before="0" w:beforeAutospacing="0" w:line="240" w:lineRule="auto"/>
              <w:ind w:left="0" w:leftChars="0" w:firstLine="0" w:firstLineChars="0"/>
              <w:jc w:val="center"/>
              <w:textAlignment w:val="auto"/>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t>/</w:t>
            </w:r>
          </w:p>
        </w:tc>
      </w:tr>
      <w:tr w14:paraId="34E55E9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53" w:type="pct"/>
            <w:gridSpan w:val="2"/>
            <w:tcBorders>
              <w:tl2br w:val="nil"/>
              <w:tr2bl w:val="nil"/>
            </w:tcBorders>
            <w:vAlign w:val="center"/>
          </w:tcPr>
          <w:p w14:paraId="53E11B5C">
            <w:pPr>
              <w:pStyle w:val="309"/>
              <w:keepNext w:val="0"/>
              <w:keepLines w:val="0"/>
              <w:pageBreakBefore w:val="0"/>
              <w:widowControl w:val="0"/>
              <w:kinsoku w:val="0"/>
              <w:wordWrap/>
              <w:overflowPunct w:val="0"/>
              <w:topLinePunct w:val="0"/>
              <w:autoSpaceDE/>
              <w:autoSpaceDN/>
              <w:bidi w:val="0"/>
              <w:adjustRightInd w:val="0"/>
              <w:snapToGrid w:val="0"/>
              <w:spacing w:before="0" w:beforeAutospacing="0" w:line="360" w:lineRule="exact"/>
              <w:ind w:left="0" w:leftChars="0" w:firstLine="0" w:firstLineChars="0"/>
              <w:jc w:val="center"/>
              <w:textAlignment w:val="auto"/>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t>生态</w:t>
            </w:r>
          </w:p>
        </w:tc>
        <w:tc>
          <w:tcPr>
            <w:tcW w:w="1953" w:type="pct"/>
            <w:gridSpan w:val="3"/>
            <w:tcBorders>
              <w:tl2br w:val="nil"/>
              <w:tr2bl w:val="nil"/>
            </w:tcBorders>
            <w:vAlign w:val="center"/>
          </w:tcPr>
          <w:p w14:paraId="346E44D5">
            <w:pPr>
              <w:pStyle w:val="309"/>
              <w:keepNext w:val="0"/>
              <w:keepLines w:val="0"/>
              <w:pageBreakBefore w:val="0"/>
              <w:widowControl w:val="0"/>
              <w:kinsoku w:val="0"/>
              <w:wordWrap/>
              <w:overflowPunct w:val="0"/>
              <w:topLinePunct w:val="0"/>
              <w:autoSpaceDE/>
              <w:autoSpaceDN/>
              <w:bidi w:val="0"/>
              <w:adjustRightInd w:val="0"/>
              <w:snapToGrid w:val="0"/>
              <w:spacing w:before="0" w:beforeAutospacing="0" w:line="360" w:lineRule="exact"/>
              <w:ind w:left="0" w:leftChars="0" w:firstLine="0" w:firstLineChars="0"/>
              <w:jc w:val="center"/>
              <w:textAlignment w:val="auto"/>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t>对植被、野生动物、生态系统及景观影响</w:t>
            </w:r>
          </w:p>
        </w:tc>
        <w:tc>
          <w:tcPr>
            <w:tcW w:w="1593" w:type="pct"/>
            <w:tcBorders>
              <w:tl2br w:val="nil"/>
              <w:tr2bl w:val="nil"/>
            </w:tcBorders>
            <w:vAlign w:val="center"/>
          </w:tcPr>
          <w:p w14:paraId="3BA7694A">
            <w:pPr>
              <w:pStyle w:val="309"/>
              <w:keepNext w:val="0"/>
              <w:keepLines w:val="0"/>
              <w:pageBreakBefore w:val="0"/>
              <w:widowControl w:val="0"/>
              <w:kinsoku w:val="0"/>
              <w:wordWrap/>
              <w:overflowPunct w:val="0"/>
              <w:topLinePunct w:val="0"/>
              <w:autoSpaceDE/>
              <w:autoSpaceDN/>
              <w:bidi w:val="0"/>
              <w:adjustRightInd w:val="0"/>
              <w:snapToGrid w:val="0"/>
              <w:spacing w:before="0" w:beforeAutospacing="0" w:line="360" w:lineRule="exact"/>
              <w:ind w:left="0" w:leftChars="0" w:firstLine="0" w:firstLineChars="0"/>
              <w:jc w:val="center"/>
              <w:textAlignment w:val="auto"/>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t>鸟类防护措施。</w:t>
            </w:r>
          </w:p>
        </w:tc>
      </w:tr>
    </w:tbl>
    <w:p w14:paraId="57A9A26D">
      <w:pPr>
        <w:pStyle w:val="551"/>
        <w:numPr>
          <w:ilvl w:val="0"/>
          <w:numId w:val="0"/>
        </w:numPr>
        <w:tabs>
          <w:tab w:val="left" w:pos="1037"/>
        </w:tabs>
        <w:spacing w:before="0" w:after="0" w:line="305" w:lineRule="exact"/>
        <w:ind w:leftChars="200" w:right="0" w:rightChars="0"/>
        <w:jc w:val="left"/>
        <w:rPr>
          <w:rFonts w:hint="default" w:ascii="Times New Roman" w:hAnsi="Times New Roman" w:cs="Times New Roman" w:eastAsiaTheme="minorEastAsia"/>
          <w:snapToGrid w:val="0"/>
          <w:color w:val="FF0000"/>
          <w:sz w:val="24"/>
          <w:highlight w:val="none"/>
          <w:lang w:val="en-US" w:eastAsia="zh-CN"/>
        </w:rPr>
      </w:pPr>
    </w:p>
    <w:p w14:paraId="2BF54F6C">
      <w:pPr>
        <w:pStyle w:val="4"/>
        <w:pageBreakBefore w:val="0"/>
        <w:widowControl w:val="0"/>
        <w:numPr>
          <w:ilvl w:val="0"/>
          <w:numId w:val="0"/>
        </w:numPr>
        <w:tabs>
          <w:tab w:val="left" w:pos="630"/>
          <w:tab w:val="left" w:pos="3403"/>
        </w:tabs>
        <w:kinsoku/>
        <w:wordWrap w:val="0"/>
        <w:overflowPunct/>
        <w:topLinePunct w:val="0"/>
        <w:autoSpaceDE/>
        <w:autoSpaceDN/>
        <w:bidi w:val="0"/>
        <w:adjustRightInd/>
        <w:snapToGrid/>
        <w:spacing w:before="0" w:beforeLines="0" w:after="0" w:afterLines="0" w:line="360" w:lineRule="auto"/>
        <w:outlineLvl w:val="1"/>
        <w:rPr>
          <w:rFonts w:hint="default" w:ascii="Times New Roman" w:hAnsi="Times New Roman" w:cs="Times New Roman" w:eastAsiaTheme="minorEastAsia"/>
          <w:color w:val="000000" w:themeColor="text1"/>
          <w:sz w:val="30"/>
          <w:highlight w:val="none"/>
          <w:lang w:val="en-US" w:eastAsia="zh-CN"/>
          <w14:textFill>
            <w14:solidFill>
              <w14:schemeClr w14:val="tx1"/>
            </w14:solidFill>
          </w14:textFill>
        </w:rPr>
      </w:pPr>
      <w:bookmarkStart w:id="259" w:name="_Toc1016"/>
      <w:bookmarkStart w:id="260" w:name="_Toc1958"/>
      <w:bookmarkStart w:id="261" w:name="_Toc21997"/>
      <w:bookmarkStart w:id="262" w:name="_Toc28283"/>
      <w:bookmarkStart w:id="263" w:name="_Toc7128"/>
      <w:bookmarkStart w:id="264" w:name="_Toc19907"/>
      <w:bookmarkStart w:id="265" w:name="_Toc5051"/>
      <w:bookmarkStart w:id="266" w:name="_Toc340737527"/>
      <w:bookmarkStart w:id="267" w:name="_Toc313005938"/>
      <w:r>
        <w:rPr>
          <w:rFonts w:hint="default" w:ascii="Times New Roman" w:hAnsi="Times New Roman" w:cs="Times New Roman" w:eastAsiaTheme="minorEastAsia"/>
          <w:color w:val="000000" w:themeColor="text1"/>
          <w:sz w:val="30"/>
          <w:highlight w:val="none"/>
          <w:lang w:val="en-US" w:eastAsia="zh-CN"/>
          <w14:textFill>
            <w14:solidFill>
              <w14:schemeClr w14:val="tx1"/>
            </w14:solidFill>
          </w14:textFill>
        </w:rPr>
        <w:t>3.3 项目环境合理性分析</w:t>
      </w:r>
      <w:bookmarkEnd w:id="259"/>
      <w:bookmarkEnd w:id="260"/>
      <w:bookmarkEnd w:id="261"/>
      <w:bookmarkEnd w:id="262"/>
      <w:bookmarkEnd w:id="263"/>
      <w:bookmarkEnd w:id="264"/>
      <w:bookmarkEnd w:id="265"/>
    </w:p>
    <w:bookmarkEnd w:id="266"/>
    <w:p w14:paraId="6109195C">
      <w:pPr>
        <w:pStyle w:val="11"/>
        <w:keepNext/>
        <w:keepLines/>
        <w:pageBreakBefore w:val="0"/>
        <w:widowControl w:val="0"/>
        <w:kinsoku/>
        <w:wordWrap/>
        <w:overflowPunct/>
        <w:topLinePunct w:val="0"/>
        <w:autoSpaceDE/>
        <w:autoSpaceDN/>
        <w:bidi w:val="0"/>
        <w:adjustRightInd/>
        <w:snapToGrid/>
        <w:ind w:left="0"/>
        <w:textAlignment w:val="auto"/>
        <w:outlineLvl w:val="2"/>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bookmarkStart w:id="268" w:name="_Toc391021184"/>
      <w:bookmarkStart w:id="269" w:name="_Toc391021358"/>
      <w:bookmarkStart w:id="270" w:name="_Toc32725"/>
      <w:bookmarkStart w:id="271" w:name="_Toc391020959"/>
      <w:bookmarkStart w:id="272" w:name="_Toc340737529"/>
      <w:bookmarkStart w:id="273" w:name="_Toc6775"/>
      <w:bookmarkStart w:id="274" w:name="_Toc19243"/>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3.3.1 与产业政策的相符性分析</w:t>
      </w:r>
      <w:bookmarkEnd w:id="267"/>
      <w:bookmarkEnd w:id="268"/>
      <w:bookmarkEnd w:id="269"/>
      <w:bookmarkEnd w:id="270"/>
      <w:bookmarkEnd w:id="271"/>
      <w:bookmarkEnd w:id="272"/>
      <w:bookmarkEnd w:id="273"/>
      <w:bookmarkEnd w:id="274"/>
    </w:p>
    <w:p w14:paraId="4F250D3B">
      <w:pPr>
        <w:keepNext w:val="0"/>
        <w:keepLines w:val="0"/>
        <w:pageBreakBefore w:val="0"/>
        <w:widowControl w:val="0"/>
        <w:kinsoku/>
        <w:wordWrap w:val="0"/>
        <w:overflowPunct/>
        <w:topLinePunct/>
        <w:autoSpaceDE/>
        <w:autoSpaceDN/>
        <w:bidi w:val="0"/>
        <w:adjustRightInd/>
        <w:snapToGrid/>
        <w:spacing w:line="360" w:lineRule="auto"/>
        <w:ind w:left="0" w:leftChars="0" w:firstLine="480" w:firstLineChars="200"/>
        <w:textAlignment w:val="auto"/>
        <w:outlineLvl w:val="9"/>
        <w:rPr>
          <w:rFonts w:hint="default" w:ascii="Times New Roman" w:hAnsi="Times New Roman" w:cs="Times New Roman" w:eastAsiaTheme="minorEastAsia"/>
          <w:color w:val="FF0000"/>
          <w:sz w:val="24"/>
          <w:highlight w:val="none"/>
          <w:lang w:val="en-US" w:eastAsia="zh-CN"/>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本项目为风力发电工程，不属于《产业结构调整指导目录(2024年本)》(国家发展和改革委员会令第7号)中规定的“鼓励类”“限制类”及“淘汰类”，视为允许类项目，符合国家产业政策。</w:t>
      </w:r>
    </w:p>
    <w:p w14:paraId="1EFEF8D0">
      <w:pPr>
        <w:keepNext w:val="0"/>
        <w:keepLines w:val="0"/>
        <w:pageBreakBefore w:val="0"/>
        <w:widowControl w:val="0"/>
        <w:kinsoku/>
        <w:wordWrap w:val="0"/>
        <w:overflowPunct/>
        <w:topLinePunct/>
        <w:autoSpaceDE/>
        <w:autoSpaceDN/>
        <w:bidi w:val="0"/>
        <w:adjustRightInd/>
        <w:snapToGrid/>
        <w:spacing w:line="360" w:lineRule="auto"/>
        <w:ind w:left="0" w:leftChars="0" w:firstLine="480" w:firstLineChars="200"/>
        <w:textAlignment w:val="auto"/>
        <w:outlineLvl w:val="9"/>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根据中华人民共和国国家发展和改革委员会令第40号《西部地区鼓励类产业目录(2020年本)》，本项目属于“(十)新疆维吾尔自治区(含新疆生产建设兵团)3.风力、光伏发电场建设及运营，太阳能发电系统制造。”</w:t>
      </w:r>
    </w:p>
    <w:p w14:paraId="380DAFC6">
      <w:pPr>
        <w:pStyle w:val="11"/>
        <w:keepNext/>
        <w:keepLines/>
        <w:pageBreakBefore w:val="0"/>
        <w:widowControl w:val="0"/>
        <w:kinsoku/>
        <w:wordWrap/>
        <w:overflowPunct/>
        <w:topLinePunct w:val="0"/>
        <w:autoSpaceDE/>
        <w:autoSpaceDN/>
        <w:bidi w:val="0"/>
        <w:adjustRightInd/>
        <w:snapToGrid/>
        <w:ind w:left="0"/>
        <w:textAlignment w:val="auto"/>
        <w:outlineLvl w:val="2"/>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3.3.2 与相关规划符合性</w:t>
      </w:r>
    </w:p>
    <w:p w14:paraId="5FA42CDE">
      <w:pPr>
        <w:pStyle w:val="12"/>
        <w:keepNext/>
        <w:keepLines/>
        <w:pageBreakBefore w:val="0"/>
        <w:widowControl w:val="0"/>
        <w:numPr>
          <w:ilvl w:val="0"/>
          <w:numId w:val="0"/>
        </w:numPr>
        <w:tabs>
          <w:tab w:val="left" w:pos="1050"/>
        </w:tabs>
        <w:kinsoku/>
        <w:wordWrap/>
        <w:overflowPunct/>
        <w:topLinePunct w:val="0"/>
        <w:autoSpaceDE/>
        <w:autoSpaceDN/>
        <w:bidi w:val="0"/>
        <w:adjustRightInd/>
        <w:snapToGrid/>
        <w:spacing w:before="0" w:beforeLines="0" w:after="0" w:afterLines="0" w:line="360" w:lineRule="auto"/>
        <w:ind w:left="0" w:leftChars="0"/>
        <w:textAlignment w:val="auto"/>
        <w:outlineLvl w:val="3"/>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t>3.3.2.1 与《新疆维吾尔自治区“十四五”电力发展规划》</w:t>
      </w:r>
      <w:r>
        <w:rPr>
          <w:rFonts w:hint="eastAsia"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t>协</w:t>
      </w:r>
      <w:r>
        <w:rPr>
          <w:rFonts w:hint="eastAsia" w:ascii="Times New Roman" w:hAnsi="Times New Roman" w:cs="Times New Roman"/>
          <w:b/>
          <w:bCs/>
          <w:color w:val="000000" w:themeColor="text1"/>
          <w:lang w:val="en-US" w:eastAsia="zh-CN"/>
          <w14:textFill>
            <w14:solidFill>
              <w14:schemeClr w14:val="tx1"/>
            </w14:solidFill>
          </w14:textFill>
        </w:rPr>
        <w:t>调</w:t>
      </w:r>
      <w:r>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t>性分析</w:t>
      </w:r>
    </w:p>
    <w:p w14:paraId="2932A13C">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根据《新疆维吾尔自治区“十四五”电力发展规划》的“重点任务 (二)加快电力结构绿色低碳转型”中“推动可再生能源大规模发展加快推动沙漠、戈壁、荒漠为重点的大型风电光伏基地建设，优化提升新能源发电占比，改革新能源汇集和电力分配方式，打破县市界限，统筹规划新能源建设，支撑新能源规模化、集约化开发”，本项目在</w:t>
      </w:r>
      <w:r>
        <w:rPr>
          <w:rFonts w:hint="eastAsia" w:cs="Times New Roman" w:eastAsiaTheme="minorEastAsia"/>
          <w:snapToGrid w:val="0"/>
          <w:color w:val="000000" w:themeColor="text1"/>
          <w:sz w:val="24"/>
          <w:highlight w:val="none"/>
          <w:lang w:val="en-US" w:eastAsia="zh-CN"/>
          <w14:textFill>
            <w14:solidFill>
              <w14:schemeClr w14:val="tx1"/>
            </w14:solidFill>
          </w14:textFill>
        </w:rPr>
        <w:t>乌鲁木齐市沙依巴克区</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建设1</w:t>
      </w:r>
      <w:r>
        <w:rPr>
          <w:rFonts w:hint="eastAsia" w:cs="Times New Roman" w:eastAsiaTheme="minorEastAsia"/>
          <w:snapToGrid w:val="0"/>
          <w:color w:val="000000" w:themeColor="text1"/>
          <w:sz w:val="24"/>
          <w:highlight w:val="none"/>
          <w:lang w:val="en-US" w:eastAsia="zh-CN"/>
          <w14:textFill>
            <w14:solidFill>
              <w14:schemeClr w14:val="tx1"/>
            </w14:solidFill>
          </w14:textFill>
        </w:rPr>
        <w:t>5</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万千瓦风力发电机组项目，用地类型为</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天然牧草地</w:t>
      </w:r>
      <w:r>
        <w:rPr>
          <w:rFonts w:hint="eastAsia" w:cs="Times New Roman" w:eastAsiaTheme="minorEastAsia"/>
          <w:color w:val="000000" w:themeColor="text1"/>
          <w:sz w:val="24"/>
          <w:highlight w:val="none"/>
          <w:lang w:val="en-US" w:eastAsia="zh-CN"/>
          <w14:textFill>
            <w14:solidFill>
              <w14:schemeClr w14:val="tx1"/>
            </w14:solidFill>
          </w14:textFill>
        </w:rPr>
        <w:t>、其他草地、水浇地、其他林地、采矿用地</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，属于基地化、规模化、集约化的开发模式，项目符合《新疆维吾尔自治区“十四五”电力发展规划》中“统筹规划新能源建设，支撑新能源规模化、集约化开发”</w:t>
      </w:r>
      <w:r>
        <w:rPr>
          <w:rFonts w:hint="default" w:ascii="Times New Roman" w:hAnsi="Times New Roman" w:cs="Times New Roman" w:eastAsiaTheme="minorEastAsia"/>
          <w:color w:val="000000" w:themeColor="text1"/>
          <w:kern w:val="2"/>
          <w:sz w:val="24"/>
          <w:szCs w:val="24"/>
          <w:highlight w:val="none"/>
          <w:lang w:val="en-US" w:eastAsia="zh-CN" w:bidi="ar-SA"/>
          <w14:textFill>
            <w14:solidFill>
              <w14:schemeClr w14:val="tx1"/>
            </w14:solidFill>
          </w14:textFill>
        </w:rPr>
        <w:t>的相关要求</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w:t>
      </w:r>
    </w:p>
    <w:p w14:paraId="4B689521">
      <w:pPr>
        <w:pStyle w:val="12"/>
        <w:keepNext/>
        <w:keepLines/>
        <w:pageBreakBefore w:val="0"/>
        <w:widowControl w:val="0"/>
        <w:numPr>
          <w:ilvl w:val="0"/>
          <w:numId w:val="0"/>
        </w:numPr>
        <w:tabs>
          <w:tab w:val="left" w:pos="1050"/>
        </w:tabs>
        <w:kinsoku/>
        <w:wordWrap/>
        <w:overflowPunct/>
        <w:topLinePunct w:val="0"/>
        <w:autoSpaceDE/>
        <w:autoSpaceDN/>
        <w:bidi w:val="0"/>
        <w:adjustRightInd/>
        <w:snapToGrid/>
        <w:spacing w:before="0" w:beforeLines="0" w:after="0" w:afterLines="0" w:line="360" w:lineRule="auto"/>
        <w:ind w:left="0" w:leftChars="0"/>
        <w:textAlignment w:val="auto"/>
        <w:outlineLvl w:val="3"/>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t>3.3.2.2 与环保规划符合性分析</w:t>
      </w:r>
    </w:p>
    <w:p w14:paraId="0D9076A6">
      <w:pPr>
        <w:bidi w:val="0"/>
        <w:rPr>
          <w:rFonts w:hint="default" w:ascii="Times New Roman" w:hAnsi="Times New Roman" w:cs="Times New Roman"/>
          <w:b/>
          <w:bCs/>
          <w:color w:val="000000" w:themeColor="text1"/>
          <w:sz w:val="24"/>
          <w:szCs w:val="24"/>
          <w:lang w:val="en-US" w:eastAsia="zh-CN"/>
          <w14:textFill>
            <w14:solidFill>
              <w14:schemeClr w14:val="tx1"/>
            </w14:solidFill>
          </w14:textFill>
        </w:rPr>
      </w:pPr>
      <w:bookmarkStart w:id="275" w:name="_Toc12783"/>
      <w:r>
        <w:rPr>
          <w:rFonts w:hint="default" w:ascii="Times New Roman" w:hAnsi="Times New Roman" w:cs="Times New Roman"/>
          <w:b/>
          <w:bCs/>
          <w:color w:val="000000" w:themeColor="text1"/>
          <w:sz w:val="24"/>
          <w:szCs w:val="24"/>
          <w:lang w:val="en-US" w:eastAsia="zh-CN"/>
          <w14:textFill>
            <w14:solidFill>
              <w14:schemeClr w14:val="tx1"/>
            </w14:solidFill>
          </w14:textFill>
        </w:rPr>
        <w:t>（1）与《新疆维吾尔自治区主体功能区规划》相符性分析</w:t>
      </w:r>
      <w:bookmarkEnd w:id="275"/>
    </w:p>
    <w:p w14:paraId="3ED00F8B">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根据主体功能区开发的理念，结合新疆独特的自然地理状况和新时期发展的需要，新疆国土空间划分为重点开发、限制开发和禁止开发区域；按开发内容，分为城市化地区、农产品主产区和重点生态功能区。</w:t>
      </w:r>
    </w:p>
    <w:p w14:paraId="7D5962F7">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新疆的主体功能区划中，重点开发区域和限制开发区域覆盖国土全域，而禁止开发区域镶嵌于重点开发区域或者限制开发区域内。</w:t>
      </w:r>
    </w:p>
    <w:p w14:paraId="465534A6">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(1) 重点开发区域</w:t>
      </w:r>
    </w:p>
    <w:p w14:paraId="13A8B748">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新疆重点开发区域包括：国家层面重点开发区域主要指天山北坡城市或城区以及县市城关镇和重要工业园区，涉及23个县市，总面积65293.42km</w:t>
      </w:r>
      <w:r>
        <w:rPr>
          <w:rFonts w:hint="default" w:ascii="Times New Roman" w:hAnsi="Times New Roman" w:cs="Times New Roman" w:eastAsiaTheme="minorEastAsia"/>
          <w:snapToGrid w:val="0"/>
          <w:color w:val="000000" w:themeColor="text1"/>
          <w:sz w:val="24"/>
          <w:highlight w:val="none"/>
          <w:vertAlign w:val="superscript"/>
          <w:lang w:val="en-US" w:eastAsia="zh-CN"/>
          <w14:textFill>
            <w14:solidFill>
              <w14:schemeClr w14:val="tx1"/>
            </w14:solidFill>
          </w14:textFill>
        </w:rPr>
        <w:t>2</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。自治区层面重点开发区域主要指内点状分布的承载绿洲经济发展的县市城关镇和重要工业园区，涉及36个县市，总面积3800.38km</w:t>
      </w:r>
      <w:r>
        <w:rPr>
          <w:rFonts w:hint="default" w:ascii="Times New Roman" w:hAnsi="Times New Roman" w:cs="Times New Roman" w:eastAsiaTheme="minorEastAsia"/>
          <w:snapToGrid w:val="0"/>
          <w:color w:val="000000" w:themeColor="text1"/>
          <w:sz w:val="24"/>
          <w:highlight w:val="none"/>
          <w:vertAlign w:val="superscript"/>
          <w:lang w:val="en-US" w:eastAsia="zh-CN"/>
          <w14:textFill>
            <w14:solidFill>
              <w14:schemeClr w14:val="tx1"/>
            </w14:solidFill>
          </w14:textFill>
        </w:rPr>
        <w:t>2</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，占全区总面积的0.23%。新疆重点开发区域范围，详见表3.3-1。</w:t>
      </w:r>
    </w:p>
    <w:p w14:paraId="28D7D904">
      <w:pPr>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default" w:ascii="Times New Roman" w:hAnsi="Times New Roman" w:cs="Times New Roman" w:eastAsiaTheme="minorEastAsia"/>
          <w:b/>
          <w:color w:val="000000" w:themeColor="text1"/>
          <w:kern w:val="2"/>
          <w:sz w:val="24"/>
          <w:highlight w:val="none"/>
          <w:lang w:bidi="ar-SA"/>
          <w14:textFill>
            <w14:solidFill>
              <w14:schemeClr w14:val="tx1"/>
            </w14:solidFill>
          </w14:textFill>
        </w:rPr>
      </w:pPr>
      <w:r>
        <w:rPr>
          <w:rFonts w:hint="default" w:ascii="Times New Roman" w:hAnsi="Times New Roman" w:cs="Times New Roman" w:eastAsiaTheme="minorEastAsia"/>
          <w:b/>
          <w:color w:val="000000" w:themeColor="text1"/>
          <w:kern w:val="2"/>
          <w:sz w:val="24"/>
          <w:highlight w:val="none"/>
          <w:lang w:bidi="ar-SA"/>
          <w14:textFill>
            <w14:solidFill>
              <w14:schemeClr w14:val="tx1"/>
            </w14:solidFill>
          </w14:textFill>
        </w:rPr>
        <w:t>表</w:t>
      </w:r>
      <w:r>
        <w:rPr>
          <w:rFonts w:hint="default" w:ascii="Times New Roman" w:hAnsi="Times New Roman" w:cs="Times New Roman" w:eastAsiaTheme="minorEastAsia"/>
          <w:b/>
          <w:color w:val="000000" w:themeColor="text1"/>
          <w:kern w:val="2"/>
          <w:sz w:val="24"/>
          <w:highlight w:val="none"/>
          <w:lang w:val="en-US" w:eastAsia="zh-CN" w:bidi="ar-SA"/>
          <w14:textFill>
            <w14:solidFill>
              <w14:schemeClr w14:val="tx1"/>
            </w14:solidFill>
          </w14:textFill>
        </w:rPr>
        <w:t>3.3-1</w:t>
      </w:r>
      <w:r>
        <w:rPr>
          <w:rFonts w:hint="eastAsia" w:ascii="Times New Roman" w:hAnsi="Times New Roman" w:cs="Times New Roman" w:eastAsiaTheme="minorEastAsia"/>
          <w:b/>
          <w:color w:val="000000" w:themeColor="text1"/>
          <w:kern w:val="2"/>
          <w:sz w:val="24"/>
          <w:highlight w:val="none"/>
          <w:lang w:val="en-US" w:eastAsia="zh-CN" w:bidi="ar-SA"/>
          <w14:textFill>
            <w14:solidFill>
              <w14:schemeClr w14:val="tx1"/>
            </w14:solidFill>
          </w14:textFill>
        </w:rPr>
        <w:t xml:space="preserve">    </w:t>
      </w:r>
      <w:r>
        <w:rPr>
          <w:rFonts w:hint="default" w:ascii="Times New Roman" w:hAnsi="Times New Roman" w:cs="Times New Roman" w:eastAsiaTheme="minorEastAsia"/>
          <w:b/>
          <w:color w:val="000000" w:themeColor="text1"/>
          <w:kern w:val="2"/>
          <w:sz w:val="24"/>
          <w:highlight w:val="none"/>
          <w:lang w:bidi="ar-SA"/>
          <w14:textFill>
            <w14:solidFill>
              <w14:schemeClr w14:val="tx1"/>
            </w14:solidFill>
          </w14:textFill>
        </w:rPr>
        <w:t>新疆重点开发区域范围</w:t>
      </w:r>
    </w:p>
    <w:tbl>
      <w:tblPr>
        <w:tblStyle w:val="75"/>
        <w:tblW w:w="901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454"/>
        <w:gridCol w:w="483"/>
        <w:gridCol w:w="7134"/>
        <w:gridCol w:w="939"/>
      </w:tblGrid>
      <w:tr w14:paraId="674FC0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454" w:type="dxa"/>
            <w:tcBorders>
              <w:tl2br w:val="nil"/>
              <w:tr2bl w:val="nil"/>
            </w:tcBorders>
            <w:vAlign w:val="center"/>
          </w:tcPr>
          <w:p w14:paraId="7383B642">
            <w:pPr>
              <w:keepNext w:val="0"/>
              <w:keepLines w:val="0"/>
              <w:pageBreakBefore w:val="0"/>
              <w:widowControl w:val="0"/>
              <w:kinsoku/>
              <w:wordWrap/>
              <w:overflowPunct/>
              <w:topLinePunct w:val="0"/>
              <w:autoSpaceDE/>
              <w:autoSpaceDN/>
              <w:bidi w:val="0"/>
              <w:adjustRightInd/>
              <w:snapToGrid/>
              <w:spacing w:before="0" w:after="0" w:line="240" w:lineRule="auto"/>
              <w:ind w:left="0" w:left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等级</w:t>
            </w:r>
          </w:p>
        </w:tc>
        <w:tc>
          <w:tcPr>
            <w:tcW w:w="483" w:type="dxa"/>
            <w:tcBorders>
              <w:tl2br w:val="nil"/>
              <w:tr2bl w:val="nil"/>
            </w:tcBorders>
            <w:vAlign w:val="center"/>
          </w:tcPr>
          <w:p w14:paraId="3C08DEC9">
            <w:pPr>
              <w:keepNext w:val="0"/>
              <w:keepLines w:val="0"/>
              <w:pageBreakBefore w:val="0"/>
              <w:widowControl w:val="0"/>
              <w:kinsoku/>
              <w:wordWrap/>
              <w:overflowPunct/>
              <w:topLinePunct w:val="0"/>
              <w:autoSpaceDE/>
              <w:autoSpaceDN/>
              <w:bidi w:val="0"/>
              <w:adjustRightInd/>
              <w:snapToGrid/>
              <w:spacing w:before="0" w:after="0" w:line="240" w:lineRule="auto"/>
              <w:ind w:left="0" w:left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区域</w:t>
            </w:r>
          </w:p>
        </w:tc>
        <w:tc>
          <w:tcPr>
            <w:tcW w:w="7134" w:type="dxa"/>
            <w:tcBorders>
              <w:tl2br w:val="nil"/>
              <w:tr2bl w:val="nil"/>
            </w:tcBorders>
            <w:vAlign w:val="center"/>
          </w:tcPr>
          <w:p w14:paraId="3D591E83">
            <w:pPr>
              <w:keepNext w:val="0"/>
              <w:keepLines w:val="0"/>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覆盖范围</w:t>
            </w:r>
          </w:p>
        </w:tc>
        <w:tc>
          <w:tcPr>
            <w:tcW w:w="939" w:type="dxa"/>
            <w:tcBorders>
              <w:tl2br w:val="nil"/>
              <w:tr2bl w:val="nil"/>
            </w:tcBorders>
            <w:vAlign w:val="center"/>
          </w:tcPr>
          <w:p w14:paraId="6DC8DCD9">
            <w:pPr>
              <w:keepNext w:val="0"/>
              <w:keepLines w:val="0"/>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面积</w:t>
            </w:r>
          </w:p>
          <w:p w14:paraId="798C5D70">
            <w:pPr>
              <w:keepNext w:val="0"/>
              <w:keepLines w:val="0"/>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(km</w:t>
            </w:r>
            <w:r>
              <w:rPr>
                <w:rFonts w:hint="default" w:ascii="Times New Roman" w:hAnsi="Times New Roman" w:cs="Times New Roman" w:eastAsiaTheme="minorEastAsia"/>
                <w:color w:val="000000" w:themeColor="text1"/>
                <w:kern w:val="2"/>
                <w:sz w:val="21"/>
                <w:szCs w:val="21"/>
                <w:highlight w:val="none"/>
                <w:vertAlign w:val="superscript"/>
                <w:lang w:bidi="ar-SA"/>
                <w14:textFill>
                  <w14:solidFill>
                    <w14:schemeClr w14:val="tx1"/>
                  </w14:solidFill>
                </w14:textFill>
              </w:rPr>
              <w:t>2</w:t>
            </w: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w:t>
            </w:r>
          </w:p>
        </w:tc>
      </w:tr>
      <w:tr w14:paraId="5115ED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454" w:type="dxa"/>
            <w:tcBorders>
              <w:tl2br w:val="nil"/>
              <w:tr2bl w:val="nil"/>
            </w:tcBorders>
            <w:vAlign w:val="center"/>
          </w:tcPr>
          <w:p w14:paraId="5B6B3204">
            <w:pPr>
              <w:keepNext w:val="0"/>
              <w:keepLines w:val="0"/>
              <w:pageBreakBefore w:val="0"/>
              <w:widowControl w:val="0"/>
              <w:kinsoku/>
              <w:wordWrap/>
              <w:overflowPunct/>
              <w:topLinePunct w:val="0"/>
              <w:autoSpaceDE/>
              <w:autoSpaceDN/>
              <w:bidi w:val="0"/>
              <w:adjustRightInd/>
              <w:snapToGrid/>
              <w:spacing w:before="0" w:after="0" w:line="240" w:lineRule="auto"/>
              <w:ind w:left="0" w:left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国</w:t>
            </w:r>
          </w:p>
          <w:p w14:paraId="59899841">
            <w:pPr>
              <w:keepNext w:val="0"/>
              <w:keepLines w:val="0"/>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家</w:t>
            </w:r>
          </w:p>
          <w:p w14:paraId="3DFBF2BE">
            <w:pPr>
              <w:keepNext w:val="0"/>
              <w:keepLines w:val="0"/>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级</w:t>
            </w:r>
          </w:p>
        </w:tc>
        <w:tc>
          <w:tcPr>
            <w:tcW w:w="483" w:type="dxa"/>
            <w:tcBorders>
              <w:tl2br w:val="nil"/>
              <w:tr2bl w:val="nil"/>
            </w:tcBorders>
            <w:vAlign w:val="center"/>
          </w:tcPr>
          <w:p w14:paraId="5B67147D">
            <w:pPr>
              <w:keepNext w:val="0"/>
              <w:keepLines w:val="0"/>
              <w:pageBreakBefore w:val="0"/>
              <w:widowControl w:val="0"/>
              <w:kinsoku/>
              <w:wordWrap/>
              <w:overflowPunct/>
              <w:topLinePunct w:val="0"/>
              <w:autoSpaceDE/>
              <w:autoSpaceDN/>
              <w:bidi w:val="0"/>
              <w:adjustRightInd/>
              <w:snapToGrid/>
              <w:spacing w:before="0" w:after="0" w:line="240" w:lineRule="auto"/>
              <w:ind w:left="0" w:left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天山北坡地区</w:t>
            </w:r>
          </w:p>
        </w:tc>
        <w:tc>
          <w:tcPr>
            <w:tcW w:w="7134" w:type="dxa"/>
            <w:tcBorders>
              <w:tl2br w:val="nil"/>
              <w:tr2bl w:val="nil"/>
            </w:tcBorders>
            <w:vAlign w:val="center"/>
          </w:tcPr>
          <w:p w14:paraId="35AE6EA5">
            <w:pPr>
              <w:keepNext w:val="0"/>
              <w:keepLines w:val="0"/>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b/>
                <w:color w:val="000000" w:themeColor="text1"/>
                <w:kern w:val="2"/>
                <w:sz w:val="21"/>
                <w:szCs w:val="21"/>
                <w:highlight w:val="none"/>
                <w:lang w:bidi="ar-SA"/>
                <w14:textFill>
                  <w14:solidFill>
                    <w14:schemeClr w14:val="tx1"/>
                  </w14:solidFill>
                </w14:textFill>
              </w:rPr>
              <w:t>乌鲁木齐市、</w:t>
            </w: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克</w:t>
            </w:r>
            <w:r>
              <w:rPr>
                <w:rFonts w:hint="default" w:ascii="Times New Roman" w:hAnsi="Times New Roman" w:cs="Times New Roman" w:eastAsiaTheme="minorEastAsia"/>
                <w:b w:val="0"/>
                <w:bCs w:val="0"/>
                <w:color w:val="000000" w:themeColor="text1"/>
                <w:kern w:val="2"/>
                <w:sz w:val="21"/>
                <w:szCs w:val="21"/>
                <w:highlight w:val="none"/>
                <w:lang w:bidi="ar-SA"/>
                <w14:textFill>
                  <w14:solidFill>
                    <w14:schemeClr w14:val="tx1"/>
                  </w14:solidFill>
                </w14:textFill>
              </w:rPr>
              <w:t>拉玛依市、石河子市、奎屯市、昌吉市、乌苏市、阜康市、五家渠市、博乐市、伊宁市、哈密市</w:t>
            </w:r>
            <w:r>
              <w:rPr>
                <w:rFonts w:hint="default" w:ascii="Times New Roman" w:hAnsi="Times New Roman" w:cs="Times New Roman" w:eastAsiaTheme="minorEastAsia"/>
                <w:b w:val="0"/>
                <w:bCs w:val="0"/>
                <w:color w:val="000000" w:themeColor="text1"/>
                <w:kern w:val="2"/>
                <w:sz w:val="21"/>
                <w:szCs w:val="21"/>
                <w:highlight w:val="none"/>
                <w:lang w:eastAsia="zh-CN" w:bidi="ar-SA"/>
                <w14:textFill>
                  <w14:solidFill>
                    <w14:schemeClr w14:val="tx1"/>
                  </w14:solidFill>
                </w14:textFill>
              </w:rPr>
              <w:t>(</w:t>
            </w:r>
            <w:r>
              <w:rPr>
                <w:rFonts w:hint="default" w:ascii="Times New Roman" w:hAnsi="Times New Roman" w:cs="Times New Roman" w:eastAsiaTheme="minorEastAsia"/>
                <w:b w:val="0"/>
                <w:bCs w:val="0"/>
                <w:color w:val="000000" w:themeColor="text1"/>
                <w:kern w:val="2"/>
                <w:sz w:val="21"/>
                <w:szCs w:val="21"/>
                <w:highlight w:val="none"/>
                <w:lang w:bidi="ar-SA"/>
                <w14:textFill>
                  <w14:solidFill>
                    <w14:schemeClr w14:val="tx1"/>
                  </w14:solidFill>
                </w14:textFill>
              </w:rPr>
              <w:t>城区</w:t>
            </w:r>
            <w:r>
              <w:rPr>
                <w:rFonts w:hint="default" w:ascii="Times New Roman" w:hAnsi="Times New Roman" w:cs="Times New Roman" w:eastAsiaTheme="minorEastAsia"/>
                <w:b w:val="0"/>
                <w:bCs w:val="0"/>
                <w:color w:val="000000" w:themeColor="text1"/>
                <w:kern w:val="2"/>
                <w:sz w:val="21"/>
                <w:szCs w:val="21"/>
                <w:highlight w:val="none"/>
                <w:lang w:eastAsia="zh-CN" w:bidi="ar-SA"/>
                <w14:textFill>
                  <w14:solidFill>
                    <w14:schemeClr w14:val="tx1"/>
                  </w14:solidFill>
                </w14:textFill>
              </w:rPr>
              <w:t>)</w:t>
            </w:r>
            <w:r>
              <w:rPr>
                <w:rFonts w:hint="default" w:ascii="Times New Roman" w:hAnsi="Times New Roman" w:cs="Times New Roman" w:eastAsiaTheme="minorEastAsia"/>
                <w:b w:val="0"/>
                <w:bCs w:val="0"/>
                <w:color w:val="000000" w:themeColor="text1"/>
                <w:kern w:val="2"/>
                <w:sz w:val="21"/>
                <w:szCs w:val="21"/>
                <w:highlight w:val="none"/>
                <w:lang w:bidi="ar-SA"/>
                <w14:textFill>
                  <w14:solidFill>
                    <w14:schemeClr w14:val="tx1"/>
                  </w14:solidFill>
                </w14:textFill>
              </w:rPr>
              <w:t>、吐鲁番市</w:t>
            </w:r>
            <w:r>
              <w:rPr>
                <w:rFonts w:hint="default" w:ascii="Times New Roman" w:hAnsi="Times New Roman" w:cs="Times New Roman" w:eastAsiaTheme="minorEastAsia"/>
                <w:b w:val="0"/>
                <w:bCs w:val="0"/>
                <w:color w:val="000000" w:themeColor="text1"/>
                <w:kern w:val="2"/>
                <w:sz w:val="21"/>
                <w:szCs w:val="21"/>
                <w:highlight w:val="none"/>
                <w:lang w:eastAsia="zh-CN" w:bidi="ar-SA"/>
                <w14:textFill>
                  <w14:solidFill>
                    <w14:schemeClr w14:val="tx1"/>
                  </w14:solidFill>
                </w14:textFill>
              </w:rPr>
              <w:t>(</w:t>
            </w:r>
            <w:r>
              <w:rPr>
                <w:rFonts w:hint="default" w:ascii="Times New Roman" w:hAnsi="Times New Roman" w:cs="Times New Roman" w:eastAsiaTheme="minorEastAsia"/>
                <w:b w:val="0"/>
                <w:bCs w:val="0"/>
                <w:color w:val="000000" w:themeColor="text1"/>
                <w:kern w:val="2"/>
                <w:sz w:val="21"/>
                <w:szCs w:val="21"/>
                <w:highlight w:val="none"/>
                <w:lang w:bidi="ar-SA"/>
                <w14:textFill>
                  <w14:solidFill>
                    <w14:schemeClr w14:val="tx1"/>
                  </w14:solidFill>
                </w14:textFill>
              </w:rPr>
              <w:t>城区</w:t>
            </w:r>
            <w:r>
              <w:rPr>
                <w:rFonts w:hint="default" w:ascii="Times New Roman" w:hAnsi="Times New Roman" w:cs="Times New Roman" w:eastAsiaTheme="minorEastAsia"/>
                <w:b w:val="0"/>
                <w:bCs w:val="0"/>
                <w:color w:val="000000" w:themeColor="text1"/>
                <w:kern w:val="2"/>
                <w:sz w:val="21"/>
                <w:szCs w:val="21"/>
                <w:highlight w:val="none"/>
                <w:lang w:eastAsia="zh-CN" w:bidi="ar-SA"/>
                <w14:textFill>
                  <w14:solidFill>
                    <w14:schemeClr w14:val="tx1"/>
                  </w14:solidFill>
                </w14:textFill>
              </w:rPr>
              <w:t>)</w:t>
            </w:r>
            <w:r>
              <w:rPr>
                <w:rFonts w:hint="default" w:ascii="Times New Roman" w:hAnsi="Times New Roman" w:cs="Times New Roman" w:eastAsiaTheme="minorEastAsia"/>
                <w:b w:val="0"/>
                <w:bCs w:val="0"/>
                <w:color w:val="000000" w:themeColor="text1"/>
                <w:kern w:val="2"/>
                <w:sz w:val="21"/>
                <w:szCs w:val="21"/>
                <w:highlight w:val="none"/>
                <w:lang w:bidi="ar-SA"/>
                <w14:textFill>
                  <w14:solidFill>
                    <w14:schemeClr w14:val="tx1"/>
                  </w14:solidFill>
                </w14:textFill>
              </w:rPr>
              <w:t>、鄯善县</w:t>
            </w:r>
            <w:r>
              <w:rPr>
                <w:rFonts w:hint="default" w:ascii="Times New Roman" w:hAnsi="Times New Roman" w:cs="Times New Roman" w:eastAsiaTheme="minorEastAsia"/>
                <w:b w:val="0"/>
                <w:bCs w:val="0"/>
                <w:color w:val="000000" w:themeColor="text1"/>
                <w:kern w:val="2"/>
                <w:sz w:val="21"/>
                <w:szCs w:val="21"/>
                <w:highlight w:val="none"/>
                <w:lang w:eastAsia="zh-CN" w:bidi="ar-SA"/>
                <w14:textFill>
                  <w14:solidFill>
                    <w14:schemeClr w14:val="tx1"/>
                  </w14:solidFill>
                </w14:textFill>
              </w:rPr>
              <w:t>(</w:t>
            </w:r>
            <w:r>
              <w:rPr>
                <w:rFonts w:hint="default" w:ascii="Times New Roman" w:hAnsi="Times New Roman" w:cs="Times New Roman" w:eastAsiaTheme="minorEastAsia"/>
                <w:b w:val="0"/>
                <w:bCs w:val="0"/>
                <w:color w:val="000000" w:themeColor="text1"/>
                <w:kern w:val="2"/>
                <w:sz w:val="21"/>
                <w:szCs w:val="21"/>
                <w:highlight w:val="none"/>
                <w:lang w:bidi="ar-SA"/>
                <w14:textFill>
                  <w14:solidFill>
                    <w14:schemeClr w14:val="tx1"/>
                  </w14:solidFill>
                </w14:textFill>
              </w:rPr>
              <w:t>鄯善镇</w:t>
            </w:r>
            <w:r>
              <w:rPr>
                <w:rFonts w:hint="default" w:ascii="Times New Roman" w:hAnsi="Times New Roman" w:cs="Times New Roman" w:eastAsiaTheme="minorEastAsia"/>
                <w:b w:val="0"/>
                <w:bCs w:val="0"/>
                <w:color w:val="000000" w:themeColor="text1"/>
                <w:kern w:val="2"/>
                <w:sz w:val="21"/>
                <w:szCs w:val="21"/>
                <w:highlight w:val="none"/>
                <w:lang w:eastAsia="zh-CN" w:bidi="ar-SA"/>
                <w14:textFill>
                  <w14:solidFill>
                    <w14:schemeClr w14:val="tx1"/>
                  </w14:solidFill>
                </w14:textFill>
              </w:rPr>
              <w:t>)</w:t>
            </w:r>
            <w:r>
              <w:rPr>
                <w:rFonts w:hint="default" w:ascii="Times New Roman" w:hAnsi="Times New Roman" w:cs="Times New Roman" w:eastAsiaTheme="minorEastAsia"/>
                <w:b w:val="0"/>
                <w:bCs w:val="0"/>
                <w:color w:val="000000" w:themeColor="text1"/>
                <w:kern w:val="2"/>
                <w:sz w:val="21"/>
                <w:szCs w:val="21"/>
                <w:highlight w:val="none"/>
                <w:lang w:bidi="ar-SA"/>
                <w14:textFill>
                  <w14:solidFill>
                    <w14:schemeClr w14:val="tx1"/>
                  </w14:solidFill>
                </w14:textFill>
              </w:rPr>
              <w:t>、托克逊县</w:t>
            </w:r>
            <w:r>
              <w:rPr>
                <w:rFonts w:hint="default" w:ascii="Times New Roman" w:hAnsi="Times New Roman" w:cs="Times New Roman" w:eastAsiaTheme="minorEastAsia"/>
                <w:b w:val="0"/>
                <w:bCs w:val="0"/>
                <w:color w:val="000000" w:themeColor="text1"/>
                <w:kern w:val="2"/>
                <w:sz w:val="21"/>
                <w:szCs w:val="21"/>
                <w:highlight w:val="none"/>
                <w:lang w:eastAsia="zh-CN" w:bidi="ar-SA"/>
                <w14:textFill>
                  <w14:solidFill>
                    <w14:schemeClr w14:val="tx1"/>
                  </w14:solidFill>
                </w14:textFill>
              </w:rPr>
              <w:t>(</w:t>
            </w:r>
            <w:r>
              <w:rPr>
                <w:rFonts w:hint="default" w:ascii="Times New Roman" w:hAnsi="Times New Roman" w:cs="Times New Roman" w:eastAsiaTheme="minorEastAsia"/>
                <w:b w:val="0"/>
                <w:bCs w:val="0"/>
                <w:color w:val="000000" w:themeColor="text1"/>
                <w:kern w:val="2"/>
                <w:sz w:val="21"/>
                <w:szCs w:val="21"/>
                <w:highlight w:val="none"/>
                <w:lang w:bidi="ar-SA"/>
                <w14:textFill>
                  <w14:solidFill>
                    <w14:schemeClr w14:val="tx1"/>
                  </w14:solidFill>
                </w14:textFill>
              </w:rPr>
              <w:t>托克逊镇</w:t>
            </w:r>
            <w:r>
              <w:rPr>
                <w:rFonts w:hint="default" w:ascii="Times New Roman" w:hAnsi="Times New Roman" w:cs="Times New Roman" w:eastAsiaTheme="minorEastAsia"/>
                <w:b w:val="0"/>
                <w:bCs w:val="0"/>
                <w:color w:val="000000" w:themeColor="text1"/>
                <w:kern w:val="2"/>
                <w:sz w:val="21"/>
                <w:szCs w:val="21"/>
                <w:highlight w:val="none"/>
                <w:lang w:eastAsia="zh-CN" w:bidi="ar-SA"/>
                <w14:textFill>
                  <w14:solidFill>
                    <w14:schemeClr w14:val="tx1"/>
                  </w14:solidFill>
                </w14:textFill>
              </w:rPr>
              <w:t>)</w:t>
            </w:r>
            <w:r>
              <w:rPr>
                <w:rFonts w:hint="default" w:ascii="Times New Roman" w:hAnsi="Times New Roman" w:cs="Times New Roman" w:eastAsiaTheme="minorEastAsia"/>
                <w:b w:val="0"/>
                <w:bCs w:val="0"/>
                <w:color w:val="000000" w:themeColor="text1"/>
                <w:kern w:val="2"/>
                <w:sz w:val="21"/>
                <w:szCs w:val="21"/>
                <w:highlight w:val="none"/>
                <w:lang w:bidi="ar-SA"/>
                <w14:textFill>
                  <w14:solidFill>
                    <w14:schemeClr w14:val="tx1"/>
                  </w14:solidFill>
                </w14:textFill>
              </w:rPr>
              <w:t>、奇台县</w:t>
            </w:r>
            <w:r>
              <w:rPr>
                <w:rFonts w:hint="default" w:ascii="Times New Roman" w:hAnsi="Times New Roman" w:cs="Times New Roman" w:eastAsiaTheme="minorEastAsia"/>
                <w:b w:val="0"/>
                <w:bCs w:val="0"/>
                <w:color w:val="000000" w:themeColor="text1"/>
                <w:kern w:val="2"/>
                <w:sz w:val="21"/>
                <w:szCs w:val="21"/>
                <w:highlight w:val="none"/>
                <w:lang w:eastAsia="zh-CN" w:bidi="ar-SA"/>
                <w14:textFill>
                  <w14:solidFill>
                    <w14:schemeClr w14:val="tx1"/>
                  </w14:solidFill>
                </w14:textFill>
              </w:rPr>
              <w:t>(</w:t>
            </w:r>
            <w:r>
              <w:rPr>
                <w:rFonts w:hint="default" w:ascii="Times New Roman" w:hAnsi="Times New Roman" w:cs="Times New Roman" w:eastAsiaTheme="minorEastAsia"/>
                <w:b w:val="0"/>
                <w:bCs w:val="0"/>
                <w:color w:val="000000" w:themeColor="text1"/>
                <w:kern w:val="2"/>
                <w:sz w:val="21"/>
                <w:szCs w:val="21"/>
                <w:highlight w:val="none"/>
                <w:lang w:bidi="ar-SA"/>
                <w14:textFill>
                  <w14:solidFill>
                    <w14:schemeClr w14:val="tx1"/>
                  </w14:solidFill>
                </w14:textFill>
              </w:rPr>
              <w:t>奇台镇</w:t>
            </w:r>
            <w:r>
              <w:rPr>
                <w:rFonts w:hint="default" w:ascii="Times New Roman" w:hAnsi="Times New Roman" w:cs="Times New Roman" w:eastAsiaTheme="minorEastAsia"/>
                <w:b w:val="0"/>
                <w:bCs w:val="0"/>
                <w:color w:val="000000" w:themeColor="text1"/>
                <w:kern w:val="2"/>
                <w:sz w:val="21"/>
                <w:szCs w:val="21"/>
                <w:highlight w:val="none"/>
                <w:lang w:eastAsia="zh-CN" w:bidi="ar-SA"/>
                <w14:textFill>
                  <w14:solidFill>
                    <w14:schemeClr w14:val="tx1"/>
                  </w14:solidFill>
                </w14:textFill>
              </w:rPr>
              <w:t>)</w:t>
            </w:r>
            <w:r>
              <w:rPr>
                <w:rFonts w:hint="default" w:ascii="Times New Roman" w:hAnsi="Times New Roman" w:cs="Times New Roman" w:eastAsiaTheme="minorEastAsia"/>
                <w:b w:val="0"/>
                <w:bCs w:val="0"/>
                <w:color w:val="000000" w:themeColor="text1"/>
                <w:kern w:val="2"/>
                <w:sz w:val="21"/>
                <w:szCs w:val="21"/>
                <w:highlight w:val="none"/>
                <w:lang w:bidi="ar-SA"/>
                <w14:textFill>
                  <w14:solidFill>
                    <w14:schemeClr w14:val="tx1"/>
                  </w14:solidFill>
                </w14:textFill>
              </w:rPr>
              <w:t>、吉木萨尔县</w:t>
            </w:r>
            <w:r>
              <w:rPr>
                <w:rFonts w:hint="default" w:ascii="Times New Roman" w:hAnsi="Times New Roman" w:cs="Times New Roman" w:eastAsiaTheme="minorEastAsia"/>
                <w:b w:val="0"/>
                <w:bCs w:val="0"/>
                <w:color w:val="000000" w:themeColor="text1"/>
                <w:kern w:val="2"/>
                <w:sz w:val="21"/>
                <w:szCs w:val="21"/>
                <w:highlight w:val="none"/>
                <w:lang w:eastAsia="zh-CN" w:bidi="ar-SA"/>
                <w14:textFill>
                  <w14:solidFill>
                    <w14:schemeClr w14:val="tx1"/>
                  </w14:solidFill>
                </w14:textFill>
              </w:rPr>
              <w:t>(</w:t>
            </w:r>
            <w:r>
              <w:rPr>
                <w:rFonts w:hint="default" w:ascii="Times New Roman" w:hAnsi="Times New Roman" w:cs="Times New Roman" w:eastAsiaTheme="minorEastAsia"/>
                <w:b w:val="0"/>
                <w:bCs w:val="0"/>
                <w:color w:val="000000" w:themeColor="text1"/>
                <w:kern w:val="2"/>
                <w:sz w:val="21"/>
                <w:szCs w:val="21"/>
                <w:highlight w:val="none"/>
                <w:lang w:bidi="ar-SA"/>
                <w14:textFill>
                  <w14:solidFill>
                    <w14:schemeClr w14:val="tx1"/>
                  </w14:solidFill>
                </w14:textFill>
              </w:rPr>
              <w:t>吉木萨尔镇</w:t>
            </w:r>
            <w:r>
              <w:rPr>
                <w:rFonts w:hint="default" w:ascii="Times New Roman" w:hAnsi="Times New Roman" w:cs="Times New Roman" w:eastAsiaTheme="minorEastAsia"/>
                <w:b w:val="0"/>
                <w:bCs w:val="0"/>
                <w:color w:val="000000" w:themeColor="text1"/>
                <w:kern w:val="2"/>
                <w:sz w:val="21"/>
                <w:szCs w:val="21"/>
                <w:highlight w:val="none"/>
                <w:lang w:eastAsia="zh-CN" w:bidi="ar-SA"/>
                <w14:textFill>
                  <w14:solidFill>
                    <w14:schemeClr w14:val="tx1"/>
                  </w14:solidFill>
                </w14:textFill>
              </w:rPr>
              <w:t>)</w:t>
            </w:r>
            <w:r>
              <w:rPr>
                <w:rFonts w:hint="default" w:ascii="Times New Roman" w:hAnsi="Times New Roman" w:cs="Times New Roman" w:eastAsiaTheme="minorEastAsia"/>
                <w:b w:val="0"/>
                <w:bCs w:val="0"/>
                <w:color w:val="000000" w:themeColor="text1"/>
                <w:kern w:val="2"/>
                <w:sz w:val="21"/>
                <w:szCs w:val="21"/>
                <w:highlight w:val="none"/>
                <w:lang w:bidi="ar-SA"/>
                <w14:textFill>
                  <w14:solidFill>
                    <w14:schemeClr w14:val="tx1"/>
                  </w14:solidFill>
                </w14:textFill>
              </w:rPr>
              <w:t>、呼图壁县</w:t>
            </w:r>
            <w:r>
              <w:rPr>
                <w:rFonts w:hint="default" w:ascii="Times New Roman" w:hAnsi="Times New Roman" w:cs="Times New Roman" w:eastAsiaTheme="minorEastAsia"/>
                <w:b w:val="0"/>
                <w:bCs w:val="0"/>
                <w:color w:val="000000" w:themeColor="text1"/>
                <w:kern w:val="2"/>
                <w:sz w:val="21"/>
                <w:szCs w:val="21"/>
                <w:highlight w:val="none"/>
                <w:lang w:eastAsia="zh-CN" w:bidi="ar-SA"/>
                <w14:textFill>
                  <w14:solidFill>
                    <w14:schemeClr w14:val="tx1"/>
                  </w14:solidFill>
                </w14:textFill>
              </w:rPr>
              <w:t>(</w:t>
            </w:r>
            <w:r>
              <w:rPr>
                <w:rFonts w:hint="default" w:ascii="Times New Roman" w:hAnsi="Times New Roman" w:cs="Times New Roman" w:eastAsiaTheme="minorEastAsia"/>
                <w:b w:val="0"/>
                <w:bCs w:val="0"/>
                <w:color w:val="000000" w:themeColor="text1"/>
                <w:kern w:val="2"/>
                <w:sz w:val="21"/>
                <w:szCs w:val="21"/>
                <w:highlight w:val="none"/>
                <w:lang w:bidi="ar-SA"/>
                <w14:textFill>
                  <w14:solidFill>
                    <w14:schemeClr w14:val="tx1"/>
                  </w14:solidFill>
                </w14:textFill>
              </w:rPr>
              <w:t>呼图壁镇</w:t>
            </w:r>
            <w:r>
              <w:rPr>
                <w:rFonts w:hint="default" w:ascii="Times New Roman" w:hAnsi="Times New Roman" w:cs="Times New Roman" w:eastAsiaTheme="minorEastAsia"/>
                <w:b w:val="0"/>
                <w:bCs w:val="0"/>
                <w:color w:val="000000" w:themeColor="text1"/>
                <w:kern w:val="2"/>
                <w:sz w:val="21"/>
                <w:szCs w:val="21"/>
                <w:highlight w:val="none"/>
                <w:lang w:eastAsia="zh-CN" w:bidi="ar-SA"/>
                <w14:textFill>
                  <w14:solidFill>
                    <w14:schemeClr w14:val="tx1"/>
                  </w14:solidFill>
                </w14:textFill>
              </w:rPr>
              <w:t>)</w:t>
            </w:r>
            <w:r>
              <w:rPr>
                <w:rFonts w:hint="default" w:ascii="Times New Roman" w:hAnsi="Times New Roman" w:cs="Times New Roman" w:eastAsiaTheme="minorEastAsia"/>
                <w:b w:val="0"/>
                <w:bCs w:val="0"/>
                <w:color w:val="000000" w:themeColor="text1"/>
                <w:kern w:val="2"/>
                <w:sz w:val="21"/>
                <w:szCs w:val="21"/>
                <w:highlight w:val="none"/>
                <w:lang w:bidi="ar-SA"/>
                <w14:textFill>
                  <w14:solidFill>
                    <w14:schemeClr w14:val="tx1"/>
                  </w14:solidFill>
                </w14:textFill>
              </w:rPr>
              <w:t>、玛纳斯县</w:t>
            </w:r>
            <w:r>
              <w:rPr>
                <w:rFonts w:hint="default" w:ascii="Times New Roman" w:hAnsi="Times New Roman" w:cs="Times New Roman" w:eastAsiaTheme="minorEastAsia"/>
                <w:b w:val="0"/>
                <w:bCs w:val="0"/>
                <w:color w:val="000000" w:themeColor="text1"/>
                <w:kern w:val="2"/>
                <w:sz w:val="21"/>
                <w:szCs w:val="21"/>
                <w:highlight w:val="none"/>
                <w:lang w:eastAsia="zh-CN" w:bidi="ar-SA"/>
                <w14:textFill>
                  <w14:solidFill>
                    <w14:schemeClr w14:val="tx1"/>
                  </w14:solidFill>
                </w14:textFill>
              </w:rPr>
              <w:t>(</w:t>
            </w:r>
            <w:r>
              <w:rPr>
                <w:rFonts w:hint="default" w:ascii="Times New Roman" w:hAnsi="Times New Roman" w:cs="Times New Roman" w:eastAsiaTheme="minorEastAsia"/>
                <w:b w:val="0"/>
                <w:bCs w:val="0"/>
                <w:color w:val="000000" w:themeColor="text1"/>
                <w:kern w:val="2"/>
                <w:sz w:val="21"/>
                <w:szCs w:val="21"/>
                <w:highlight w:val="none"/>
                <w:lang w:bidi="ar-SA"/>
                <w14:textFill>
                  <w14:solidFill>
                    <w14:schemeClr w14:val="tx1"/>
                  </w14:solidFill>
                </w14:textFill>
              </w:rPr>
              <w:t>玛纳斯镇</w:t>
            </w:r>
            <w:r>
              <w:rPr>
                <w:rFonts w:hint="default" w:ascii="Times New Roman" w:hAnsi="Times New Roman" w:cs="Times New Roman" w:eastAsiaTheme="minorEastAsia"/>
                <w:b w:val="0"/>
                <w:bCs w:val="0"/>
                <w:color w:val="000000" w:themeColor="text1"/>
                <w:kern w:val="2"/>
                <w:sz w:val="21"/>
                <w:szCs w:val="21"/>
                <w:highlight w:val="none"/>
                <w:lang w:eastAsia="zh-CN" w:bidi="ar-SA"/>
                <w14:textFill>
                  <w14:solidFill>
                    <w14:schemeClr w14:val="tx1"/>
                  </w14:solidFill>
                </w14:textFill>
              </w:rPr>
              <w:t>)</w:t>
            </w:r>
            <w:r>
              <w:rPr>
                <w:rFonts w:hint="default" w:ascii="Times New Roman" w:hAnsi="Times New Roman" w:cs="Times New Roman" w:eastAsiaTheme="minorEastAsia"/>
                <w:b w:val="0"/>
                <w:bCs w:val="0"/>
                <w:color w:val="000000" w:themeColor="text1"/>
                <w:kern w:val="2"/>
                <w:sz w:val="21"/>
                <w:szCs w:val="21"/>
                <w:highlight w:val="none"/>
                <w:lang w:bidi="ar-SA"/>
                <w14:textFill>
                  <w14:solidFill>
                    <w14:schemeClr w14:val="tx1"/>
                  </w14:solidFill>
                </w14:textFill>
              </w:rPr>
              <w:t>、沙湾县</w:t>
            </w:r>
            <w:r>
              <w:rPr>
                <w:rFonts w:hint="default" w:ascii="Times New Roman" w:hAnsi="Times New Roman" w:cs="Times New Roman" w:eastAsiaTheme="minorEastAsia"/>
                <w:b w:val="0"/>
                <w:bCs w:val="0"/>
                <w:color w:val="000000" w:themeColor="text1"/>
                <w:kern w:val="2"/>
                <w:sz w:val="21"/>
                <w:szCs w:val="21"/>
                <w:highlight w:val="none"/>
                <w:lang w:eastAsia="zh-CN" w:bidi="ar-SA"/>
                <w14:textFill>
                  <w14:solidFill>
                    <w14:schemeClr w14:val="tx1"/>
                  </w14:solidFill>
                </w14:textFill>
              </w:rPr>
              <w:t>(</w:t>
            </w:r>
            <w:r>
              <w:rPr>
                <w:rFonts w:hint="default" w:ascii="Times New Roman" w:hAnsi="Times New Roman" w:cs="Times New Roman" w:eastAsiaTheme="minorEastAsia"/>
                <w:b w:val="0"/>
                <w:bCs w:val="0"/>
                <w:color w:val="000000" w:themeColor="text1"/>
                <w:kern w:val="2"/>
                <w:sz w:val="21"/>
                <w:szCs w:val="21"/>
                <w:highlight w:val="none"/>
                <w:lang w:bidi="ar-SA"/>
                <w14:textFill>
                  <w14:solidFill>
                    <w14:schemeClr w14:val="tx1"/>
                  </w14:solidFill>
                </w14:textFill>
              </w:rPr>
              <w:t>三道河子镇</w:t>
            </w:r>
            <w:r>
              <w:rPr>
                <w:rFonts w:hint="default" w:ascii="Times New Roman" w:hAnsi="Times New Roman" w:cs="Times New Roman" w:eastAsiaTheme="minorEastAsia"/>
                <w:b w:val="0"/>
                <w:bCs w:val="0"/>
                <w:color w:val="000000" w:themeColor="text1"/>
                <w:kern w:val="2"/>
                <w:sz w:val="21"/>
                <w:szCs w:val="21"/>
                <w:highlight w:val="none"/>
                <w:lang w:eastAsia="zh-CN" w:bidi="ar-SA"/>
                <w14:textFill>
                  <w14:solidFill>
                    <w14:schemeClr w14:val="tx1"/>
                  </w14:solidFill>
                </w14:textFill>
              </w:rPr>
              <w:t>)</w:t>
            </w:r>
            <w:r>
              <w:rPr>
                <w:rFonts w:hint="default" w:ascii="Times New Roman" w:hAnsi="Times New Roman" w:cs="Times New Roman" w:eastAsiaTheme="minorEastAsia"/>
                <w:b w:val="0"/>
                <w:bCs w:val="0"/>
                <w:color w:val="000000" w:themeColor="text1"/>
                <w:kern w:val="2"/>
                <w:sz w:val="21"/>
                <w:szCs w:val="21"/>
                <w:highlight w:val="none"/>
                <w:lang w:bidi="ar-SA"/>
                <w14:textFill>
                  <w14:solidFill>
                    <w14:schemeClr w14:val="tx1"/>
                  </w14:solidFill>
                </w14:textFill>
              </w:rPr>
              <w:t>、精河县</w:t>
            </w:r>
            <w:r>
              <w:rPr>
                <w:rFonts w:hint="default" w:ascii="Times New Roman" w:hAnsi="Times New Roman" w:cs="Times New Roman" w:eastAsiaTheme="minorEastAsia"/>
                <w:b w:val="0"/>
                <w:bCs w:val="0"/>
                <w:color w:val="000000" w:themeColor="text1"/>
                <w:kern w:val="2"/>
                <w:sz w:val="21"/>
                <w:szCs w:val="21"/>
                <w:highlight w:val="none"/>
                <w:lang w:eastAsia="zh-CN" w:bidi="ar-SA"/>
                <w14:textFill>
                  <w14:solidFill>
                    <w14:schemeClr w14:val="tx1"/>
                  </w14:solidFill>
                </w14:textFill>
              </w:rPr>
              <w:t>(</w:t>
            </w:r>
            <w:r>
              <w:rPr>
                <w:rFonts w:hint="default" w:ascii="Times New Roman" w:hAnsi="Times New Roman" w:cs="Times New Roman" w:eastAsiaTheme="minorEastAsia"/>
                <w:b w:val="0"/>
                <w:bCs w:val="0"/>
                <w:color w:val="000000" w:themeColor="text1"/>
                <w:kern w:val="2"/>
                <w:sz w:val="21"/>
                <w:szCs w:val="21"/>
                <w:highlight w:val="none"/>
                <w:lang w:bidi="ar-SA"/>
                <w14:textFill>
                  <w14:solidFill>
                    <w14:schemeClr w14:val="tx1"/>
                  </w14:solidFill>
                </w14:textFill>
              </w:rPr>
              <w:t>精河镇</w:t>
            </w:r>
            <w:r>
              <w:rPr>
                <w:rFonts w:hint="default" w:ascii="Times New Roman" w:hAnsi="Times New Roman" w:cs="Times New Roman" w:eastAsiaTheme="minorEastAsia"/>
                <w:b w:val="0"/>
                <w:bCs w:val="0"/>
                <w:color w:val="000000" w:themeColor="text1"/>
                <w:kern w:val="2"/>
                <w:sz w:val="21"/>
                <w:szCs w:val="21"/>
                <w:highlight w:val="none"/>
                <w:lang w:eastAsia="zh-CN" w:bidi="ar-SA"/>
                <w14:textFill>
                  <w14:solidFill>
                    <w14:schemeClr w14:val="tx1"/>
                  </w14:solidFill>
                </w14:textFill>
              </w:rPr>
              <w:t>)</w:t>
            </w:r>
            <w:r>
              <w:rPr>
                <w:rFonts w:hint="default" w:ascii="Times New Roman" w:hAnsi="Times New Roman" w:cs="Times New Roman" w:eastAsiaTheme="minorEastAsia"/>
                <w:b w:val="0"/>
                <w:bCs w:val="0"/>
                <w:color w:val="000000" w:themeColor="text1"/>
                <w:kern w:val="2"/>
                <w:sz w:val="21"/>
                <w:szCs w:val="21"/>
                <w:highlight w:val="none"/>
                <w:lang w:bidi="ar-SA"/>
                <w14:textFill>
                  <w14:solidFill>
                    <w14:schemeClr w14:val="tx1"/>
                  </w14:solidFill>
                </w14:textFill>
              </w:rPr>
              <w:t>、伊宁县</w:t>
            </w:r>
            <w:r>
              <w:rPr>
                <w:rFonts w:hint="default" w:ascii="Times New Roman" w:hAnsi="Times New Roman" w:cs="Times New Roman" w:eastAsiaTheme="minorEastAsia"/>
                <w:b w:val="0"/>
                <w:bCs w:val="0"/>
                <w:color w:val="000000" w:themeColor="text1"/>
                <w:kern w:val="2"/>
                <w:sz w:val="21"/>
                <w:szCs w:val="21"/>
                <w:highlight w:val="none"/>
                <w:lang w:eastAsia="zh-CN" w:bidi="ar-SA"/>
                <w14:textFill>
                  <w14:solidFill>
                    <w14:schemeClr w14:val="tx1"/>
                  </w14:solidFill>
                </w14:textFill>
              </w:rPr>
              <w:t>(</w:t>
            </w:r>
            <w:r>
              <w:rPr>
                <w:rFonts w:hint="default" w:ascii="Times New Roman" w:hAnsi="Times New Roman" w:cs="Times New Roman" w:eastAsiaTheme="minorEastAsia"/>
                <w:b w:val="0"/>
                <w:bCs w:val="0"/>
                <w:color w:val="000000" w:themeColor="text1"/>
                <w:kern w:val="2"/>
                <w:sz w:val="21"/>
                <w:szCs w:val="21"/>
                <w:highlight w:val="none"/>
                <w:lang w:bidi="ar-SA"/>
                <w14:textFill>
                  <w14:solidFill>
                    <w14:schemeClr w14:val="tx1"/>
                  </w14:solidFill>
                </w14:textFill>
              </w:rPr>
              <w:t>吉里于孜镇</w:t>
            </w:r>
            <w:r>
              <w:rPr>
                <w:rFonts w:hint="default" w:ascii="Times New Roman" w:hAnsi="Times New Roman" w:cs="Times New Roman" w:eastAsiaTheme="minorEastAsia"/>
                <w:b w:val="0"/>
                <w:bCs w:val="0"/>
                <w:color w:val="000000" w:themeColor="text1"/>
                <w:kern w:val="2"/>
                <w:sz w:val="21"/>
                <w:szCs w:val="21"/>
                <w:highlight w:val="none"/>
                <w:lang w:eastAsia="zh-CN" w:bidi="ar-SA"/>
                <w14:textFill>
                  <w14:solidFill>
                    <w14:schemeClr w14:val="tx1"/>
                  </w14:solidFill>
                </w14:textFill>
              </w:rPr>
              <w:t>)</w:t>
            </w:r>
            <w:r>
              <w:rPr>
                <w:rFonts w:hint="default" w:ascii="Times New Roman" w:hAnsi="Times New Roman" w:cs="Times New Roman" w:eastAsiaTheme="minorEastAsia"/>
                <w:b w:val="0"/>
                <w:bCs w:val="0"/>
                <w:color w:val="000000" w:themeColor="text1"/>
                <w:kern w:val="2"/>
                <w:sz w:val="21"/>
                <w:szCs w:val="21"/>
                <w:highlight w:val="none"/>
                <w:lang w:bidi="ar-SA"/>
                <w14:textFill>
                  <w14:solidFill>
                    <w14:schemeClr w14:val="tx1"/>
                  </w14:solidFill>
                </w14:textFill>
              </w:rPr>
              <w:t>、察布查尔县</w:t>
            </w:r>
            <w:r>
              <w:rPr>
                <w:rFonts w:hint="default" w:ascii="Times New Roman" w:hAnsi="Times New Roman" w:cs="Times New Roman" w:eastAsiaTheme="minorEastAsia"/>
                <w:b w:val="0"/>
                <w:bCs w:val="0"/>
                <w:color w:val="000000" w:themeColor="text1"/>
                <w:kern w:val="2"/>
                <w:sz w:val="21"/>
                <w:szCs w:val="21"/>
                <w:highlight w:val="none"/>
                <w:lang w:eastAsia="zh-CN" w:bidi="ar-SA"/>
                <w14:textFill>
                  <w14:solidFill>
                    <w14:schemeClr w14:val="tx1"/>
                  </w14:solidFill>
                </w14:textFill>
              </w:rPr>
              <w:t>(</w:t>
            </w:r>
            <w:r>
              <w:rPr>
                <w:rFonts w:hint="default" w:ascii="Times New Roman" w:hAnsi="Times New Roman" w:cs="Times New Roman" w:eastAsiaTheme="minorEastAsia"/>
                <w:b w:val="0"/>
                <w:bCs w:val="0"/>
                <w:color w:val="000000" w:themeColor="text1"/>
                <w:kern w:val="2"/>
                <w:sz w:val="21"/>
                <w:szCs w:val="21"/>
                <w:highlight w:val="none"/>
                <w:lang w:bidi="ar-SA"/>
                <w14:textFill>
                  <w14:solidFill>
                    <w14:schemeClr w14:val="tx1"/>
                  </w14:solidFill>
                </w14:textFill>
              </w:rPr>
              <w:t>察布</w:t>
            </w: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查尔镇</w:t>
            </w:r>
            <w:r>
              <w:rPr>
                <w:rFonts w:hint="default" w:ascii="Times New Roman" w:hAnsi="Times New Roman" w:cs="Times New Roman" w:eastAsiaTheme="minorEastAsia"/>
                <w:color w:val="000000" w:themeColor="text1"/>
                <w:kern w:val="2"/>
                <w:sz w:val="21"/>
                <w:szCs w:val="21"/>
                <w:highlight w:val="none"/>
                <w:lang w:eastAsia="zh-CN" w:bidi="ar-SA"/>
                <w14:textFill>
                  <w14:solidFill>
                    <w14:schemeClr w14:val="tx1"/>
                  </w14:solidFill>
                </w14:textFill>
              </w:rPr>
              <w:t>)</w:t>
            </w: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、霍城县</w:t>
            </w:r>
            <w:r>
              <w:rPr>
                <w:rFonts w:hint="default" w:ascii="Times New Roman" w:hAnsi="Times New Roman" w:cs="Times New Roman" w:eastAsiaTheme="minorEastAsia"/>
                <w:color w:val="000000" w:themeColor="text1"/>
                <w:kern w:val="2"/>
                <w:sz w:val="21"/>
                <w:szCs w:val="21"/>
                <w:highlight w:val="none"/>
                <w:lang w:eastAsia="zh-CN" w:bidi="ar-SA"/>
                <w14:textFill>
                  <w14:solidFill>
                    <w14:schemeClr w14:val="tx1"/>
                  </w14:solidFill>
                </w14:textFill>
              </w:rPr>
              <w:t>(</w:t>
            </w: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水定镇、清水河镇部分、霍尔果斯口岸</w:t>
            </w:r>
            <w:r>
              <w:rPr>
                <w:rFonts w:hint="default" w:ascii="Times New Roman" w:hAnsi="Times New Roman" w:cs="Times New Roman" w:eastAsiaTheme="minorEastAsia"/>
                <w:color w:val="000000" w:themeColor="text1"/>
                <w:kern w:val="2"/>
                <w:sz w:val="21"/>
                <w:szCs w:val="21"/>
                <w:highlight w:val="none"/>
                <w:lang w:eastAsia="zh-CN" w:bidi="ar-SA"/>
                <w14:textFill>
                  <w14:solidFill>
                    <w14:schemeClr w14:val="tx1"/>
                  </w14:solidFill>
                </w14:textFill>
              </w:rPr>
              <w:t>)</w:t>
            </w:r>
          </w:p>
        </w:tc>
        <w:tc>
          <w:tcPr>
            <w:tcW w:w="939" w:type="dxa"/>
            <w:tcBorders>
              <w:tl2br w:val="nil"/>
              <w:tr2bl w:val="nil"/>
            </w:tcBorders>
            <w:vAlign w:val="center"/>
          </w:tcPr>
          <w:p w14:paraId="2A11C1CF">
            <w:pPr>
              <w:keepNext w:val="0"/>
              <w:keepLines w:val="0"/>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65293.42</w:t>
            </w:r>
          </w:p>
        </w:tc>
      </w:tr>
      <w:tr w14:paraId="4A3740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454" w:type="dxa"/>
            <w:tcBorders>
              <w:tl2br w:val="nil"/>
              <w:tr2bl w:val="nil"/>
            </w:tcBorders>
            <w:vAlign w:val="center"/>
          </w:tcPr>
          <w:p w14:paraId="3F262FDA">
            <w:pPr>
              <w:keepNext w:val="0"/>
              <w:keepLines w:val="0"/>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自</w:t>
            </w:r>
          </w:p>
          <w:p w14:paraId="6DBC743F">
            <w:pPr>
              <w:keepNext w:val="0"/>
              <w:keepLines w:val="0"/>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治</w:t>
            </w:r>
          </w:p>
          <w:p w14:paraId="726701C3">
            <w:pPr>
              <w:keepNext w:val="0"/>
              <w:keepLines w:val="0"/>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区</w:t>
            </w:r>
          </w:p>
          <w:p w14:paraId="7726FDB7">
            <w:pPr>
              <w:keepNext w:val="0"/>
              <w:keepLines w:val="0"/>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级</w:t>
            </w:r>
          </w:p>
        </w:tc>
        <w:tc>
          <w:tcPr>
            <w:tcW w:w="483" w:type="dxa"/>
            <w:tcBorders>
              <w:tl2br w:val="nil"/>
              <w:tr2bl w:val="nil"/>
            </w:tcBorders>
            <w:vAlign w:val="center"/>
          </w:tcPr>
          <w:p w14:paraId="42CB12AA">
            <w:pPr>
              <w:keepNext w:val="0"/>
              <w:keepLines w:val="0"/>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点状开发城镇</w:t>
            </w:r>
          </w:p>
        </w:tc>
        <w:tc>
          <w:tcPr>
            <w:tcW w:w="7134" w:type="dxa"/>
            <w:tcBorders>
              <w:tl2br w:val="nil"/>
              <w:tr2bl w:val="nil"/>
            </w:tcBorders>
            <w:vAlign w:val="center"/>
          </w:tcPr>
          <w:p w14:paraId="3E076AB7">
            <w:pPr>
              <w:keepNext w:val="0"/>
              <w:keepLines w:val="0"/>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库尔勒市</w:t>
            </w:r>
            <w:r>
              <w:rPr>
                <w:rFonts w:hint="default" w:ascii="Times New Roman" w:hAnsi="Times New Roman" w:cs="Times New Roman" w:eastAsiaTheme="minorEastAsia"/>
                <w:color w:val="000000" w:themeColor="text1"/>
                <w:kern w:val="2"/>
                <w:sz w:val="21"/>
                <w:szCs w:val="21"/>
                <w:highlight w:val="none"/>
                <w:lang w:eastAsia="zh-CN" w:bidi="ar-SA"/>
                <w14:textFill>
                  <w14:solidFill>
                    <w14:schemeClr w14:val="tx1"/>
                  </w14:solidFill>
                </w14:textFill>
              </w:rPr>
              <w:t>(</w:t>
            </w: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城区</w:t>
            </w:r>
            <w:r>
              <w:rPr>
                <w:rFonts w:hint="default" w:ascii="Times New Roman" w:hAnsi="Times New Roman" w:cs="Times New Roman" w:eastAsiaTheme="minorEastAsia"/>
                <w:color w:val="000000" w:themeColor="text1"/>
                <w:kern w:val="2"/>
                <w:sz w:val="21"/>
                <w:szCs w:val="21"/>
                <w:highlight w:val="none"/>
                <w:lang w:eastAsia="zh-CN" w:bidi="ar-SA"/>
                <w14:textFill>
                  <w14:solidFill>
                    <w14:schemeClr w14:val="tx1"/>
                  </w14:solidFill>
                </w14:textFill>
              </w:rPr>
              <w:t>)</w:t>
            </w: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、尉犁县</w:t>
            </w:r>
            <w:r>
              <w:rPr>
                <w:rFonts w:hint="default" w:ascii="Times New Roman" w:hAnsi="Times New Roman" w:cs="Times New Roman" w:eastAsiaTheme="minorEastAsia"/>
                <w:color w:val="000000" w:themeColor="text1"/>
                <w:kern w:val="2"/>
                <w:sz w:val="21"/>
                <w:szCs w:val="21"/>
                <w:highlight w:val="none"/>
                <w:lang w:eastAsia="zh-CN" w:bidi="ar-SA"/>
                <w14:textFill>
                  <w14:solidFill>
                    <w14:schemeClr w14:val="tx1"/>
                  </w14:solidFill>
                </w14:textFill>
              </w:rPr>
              <w:t>(</w:t>
            </w: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尉犁镇</w:t>
            </w:r>
            <w:r>
              <w:rPr>
                <w:rFonts w:hint="default" w:ascii="Times New Roman" w:hAnsi="Times New Roman" w:cs="Times New Roman" w:eastAsiaTheme="minorEastAsia"/>
                <w:color w:val="000000" w:themeColor="text1"/>
                <w:kern w:val="2"/>
                <w:sz w:val="21"/>
                <w:szCs w:val="21"/>
                <w:highlight w:val="none"/>
                <w:lang w:eastAsia="zh-CN" w:bidi="ar-SA"/>
                <w14:textFill>
                  <w14:solidFill>
                    <w14:schemeClr w14:val="tx1"/>
                  </w14:solidFill>
                </w14:textFill>
              </w:rPr>
              <w:t>)</w:t>
            </w: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、轮台县</w:t>
            </w:r>
            <w:r>
              <w:rPr>
                <w:rFonts w:hint="default" w:ascii="Times New Roman" w:hAnsi="Times New Roman" w:cs="Times New Roman" w:eastAsiaTheme="minorEastAsia"/>
                <w:color w:val="000000" w:themeColor="text1"/>
                <w:kern w:val="2"/>
                <w:sz w:val="21"/>
                <w:szCs w:val="21"/>
                <w:highlight w:val="none"/>
                <w:lang w:eastAsia="zh-CN" w:bidi="ar-SA"/>
                <w14:textFill>
                  <w14:solidFill>
                    <w14:schemeClr w14:val="tx1"/>
                  </w14:solidFill>
                </w14:textFill>
              </w:rPr>
              <w:t>(</w:t>
            </w: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轮台镇</w:t>
            </w:r>
            <w:r>
              <w:rPr>
                <w:rFonts w:hint="default" w:ascii="Times New Roman" w:hAnsi="Times New Roman" w:cs="Times New Roman" w:eastAsiaTheme="minorEastAsia"/>
                <w:color w:val="000000" w:themeColor="text1"/>
                <w:kern w:val="2"/>
                <w:sz w:val="21"/>
                <w:szCs w:val="21"/>
                <w:highlight w:val="none"/>
                <w:lang w:eastAsia="zh-CN" w:bidi="ar-SA"/>
                <w14:textFill>
                  <w14:solidFill>
                    <w14:schemeClr w14:val="tx1"/>
                  </w14:solidFill>
                </w14:textFill>
              </w:rPr>
              <w:t>)</w:t>
            </w: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、库车县</w:t>
            </w:r>
            <w:r>
              <w:rPr>
                <w:rFonts w:hint="default" w:ascii="Times New Roman" w:hAnsi="Times New Roman" w:cs="Times New Roman" w:eastAsiaTheme="minorEastAsia"/>
                <w:color w:val="000000" w:themeColor="text1"/>
                <w:kern w:val="2"/>
                <w:sz w:val="21"/>
                <w:szCs w:val="21"/>
                <w:highlight w:val="none"/>
                <w:lang w:eastAsia="zh-CN" w:bidi="ar-SA"/>
                <w14:textFill>
                  <w14:solidFill>
                    <w14:schemeClr w14:val="tx1"/>
                  </w14:solidFill>
                </w14:textFill>
              </w:rPr>
              <w:t>(</w:t>
            </w: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库车镇</w:t>
            </w:r>
            <w:r>
              <w:rPr>
                <w:rFonts w:hint="default" w:ascii="Times New Roman" w:hAnsi="Times New Roman" w:cs="Times New Roman" w:eastAsiaTheme="minorEastAsia"/>
                <w:color w:val="000000" w:themeColor="text1"/>
                <w:kern w:val="2"/>
                <w:sz w:val="21"/>
                <w:szCs w:val="21"/>
                <w:highlight w:val="none"/>
                <w:lang w:eastAsia="zh-CN" w:bidi="ar-SA"/>
                <w14:textFill>
                  <w14:solidFill>
                    <w14:schemeClr w14:val="tx1"/>
                  </w14:solidFill>
                </w14:textFill>
              </w:rPr>
              <w:t>)</w:t>
            </w: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、拜城县</w:t>
            </w:r>
            <w:r>
              <w:rPr>
                <w:rFonts w:hint="default" w:ascii="Times New Roman" w:hAnsi="Times New Roman" w:cs="Times New Roman" w:eastAsiaTheme="minorEastAsia"/>
                <w:color w:val="000000" w:themeColor="text1"/>
                <w:kern w:val="2"/>
                <w:sz w:val="21"/>
                <w:szCs w:val="21"/>
                <w:highlight w:val="none"/>
                <w:lang w:eastAsia="zh-CN" w:bidi="ar-SA"/>
                <w14:textFill>
                  <w14:solidFill>
                    <w14:schemeClr w14:val="tx1"/>
                  </w14:solidFill>
                </w14:textFill>
              </w:rPr>
              <w:t>(</w:t>
            </w: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拜城镇</w:t>
            </w:r>
            <w:r>
              <w:rPr>
                <w:rFonts w:hint="default" w:ascii="Times New Roman" w:hAnsi="Times New Roman" w:cs="Times New Roman" w:eastAsiaTheme="minorEastAsia"/>
                <w:color w:val="000000" w:themeColor="text1"/>
                <w:kern w:val="2"/>
                <w:sz w:val="21"/>
                <w:szCs w:val="21"/>
                <w:highlight w:val="none"/>
                <w:lang w:eastAsia="zh-CN" w:bidi="ar-SA"/>
                <w14:textFill>
                  <w14:solidFill>
                    <w14:schemeClr w14:val="tx1"/>
                  </w14:solidFill>
                </w14:textFill>
              </w:rPr>
              <w:t>)</w:t>
            </w: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、新和县</w:t>
            </w:r>
            <w:r>
              <w:rPr>
                <w:rFonts w:hint="default" w:ascii="Times New Roman" w:hAnsi="Times New Roman" w:cs="Times New Roman" w:eastAsiaTheme="minorEastAsia"/>
                <w:color w:val="000000" w:themeColor="text1"/>
                <w:kern w:val="2"/>
                <w:sz w:val="21"/>
                <w:szCs w:val="21"/>
                <w:highlight w:val="none"/>
                <w:lang w:eastAsia="zh-CN" w:bidi="ar-SA"/>
                <w14:textFill>
                  <w14:solidFill>
                    <w14:schemeClr w14:val="tx1"/>
                  </w14:solidFill>
                </w14:textFill>
              </w:rPr>
              <w:t>(</w:t>
            </w: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新和镇</w:t>
            </w:r>
            <w:r>
              <w:rPr>
                <w:rFonts w:hint="default" w:ascii="Times New Roman" w:hAnsi="Times New Roman" w:cs="Times New Roman" w:eastAsiaTheme="minorEastAsia"/>
                <w:color w:val="000000" w:themeColor="text1"/>
                <w:kern w:val="2"/>
                <w:sz w:val="21"/>
                <w:szCs w:val="21"/>
                <w:highlight w:val="none"/>
                <w:lang w:eastAsia="zh-CN" w:bidi="ar-SA"/>
                <w14:textFill>
                  <w14:solidFill>
                    <w14:schemeClr w14:val="tx1"/>
                  </w14:solidFill>
                </w14:textFill>
              </w:rPr>
              <w:t>)</w:t>
            </w: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、沙雅县</w:t>
            </w:r>
            <w:r>
              <w:rPr>
                <w:rFonts w:hint="default" w:ascii="Times New Roman" w:hAnsi="Times New Roman" w:cs="Times New Roman" w:eastAsiaTheme="minorEastAsia"/>
                <w:color w:val="000000" w:themeColor="text1"/>
                <w:kern w:val="2"/>
                <w:sz w:val="21"/>
                <w:szCs w:val="21"/>
                <w:highlight w:val="none"/>
                <w:lang w:eastAsia="zh-CN" w:bidi="ar-SA"/>
                <w14:textFill>
                  <w14:solidFill>
                    <w14:schemeClr w14:val="tx1"/>
                  </w14:solidFill>
                </w14:textFill>
              </w:rPr>
              <w:t>(</w:t>
            </w: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沙雅镇</w:t>
            </w:r>
            <w:r>
              <w:rPr>
                <w:rFonts w:hint="default" w:ascii="Times New Roman" w:hAnsi="Times New Roman" w:cs="Times New Roman" w:eastAsiaTheme="minorEastAsia"/>
                <w:color w:val="000000" w:themeColor="text1"/>
                <w:kern w:val="2"/>
                <w:sz w:val="21"/>
                <w:szCs w:val="21"/>
                <w:highlight w:val="none"/>
                <w:lang w:eastAsia="zh-CN" w:bidi="ar-SA"/>
                <w14:textFill>
                  <w14:solidFill>
                    <w14:schemeClr w14:val="tx1"/>
                  </w14:solidFill>
                </w14:textFill>
              </w:rPr>
              <w:t>)</w:t>
            </w: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、阿克苏市</w:t>
            </w:r>
            <w:r>
              <w:rPr>
                <w:rFonts w:hint="default" w:ascii="Times New Roman" w:hAnsi="Times New Roman" w:cs="Times New Roman" w:eastAsiaTheme="minorEastAsia"/>
                <w:color w:val="000000" w:themeColor="text1"/>
                <w:kern w:val="2"/>
                <w:sz w:val="21"/>
                <w:szCs w:val="21"/>
                <w:highlight w:val="none"/>
                <w:lang w:eastAsia="zh-CN" w:bidi="ar-SA"/>
                <w14:textFill>
                  <w14:solidFill>
                    <w14:schemeClr w14:val="tx1"/>
                  </w14:solidFill>
                </w14:textFill>
              </w:rPr>
              <w:t>(</w:t>
            </w: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城区</w:t>
            </w:r>
            <w:r>
              <w:rPr>
                <w:rFonts w:hint="default" w:ascii="Times New Roman" w:hAnsi="Times New Roman" w:cs="Times New Roman" w:eastAsiaTheme="minorEastAsia"/>
                <w:color w:val="000000" w:themeColor="text1"/>
                <w:kern w:val="2"/>
                <w:sz w:val="21"/>
                <w:szCs w:val="21"/>
                <w:highlight w:val="none"/>
                <w:lang w:eastAsia="zh-CN" w:bidi="ar-SA"/>
                <w14:textFill>
                  <w14:solidFill>
                    <w14:schemeClr w14:val="tx1"/>
                  </w14:solidFill>
                </w14:textFill>
              </w:rPr>
              <w:t>)</w:t>
            </w: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、温宿县</w:t>
            </w:r>
            <w:r>
              <w:rPr>
                <w:rFonts w:hint="default" w:ascii="Times New Roman" w:hAnsi="Times New Roman" w:cs="Times New Roman" w:eastAsiaTheme="minorEastAsia"/>
                <w:color w:val="000000" w:themeColor="text1"/>
                <w:kern w:val="2"/>
                <w:sz w:val="21"/>
                <w:szCs w:val="21"/>
                <w:highlight w:val="none"/>
                <w:lang w:eastAsia="zh-CN" w:bidi="ar-SA"/>
                <w14:textFill>
                  <w14:solidFill>
                    <w14:schemeClr w14:val="tx1"/>
                  </w14:solidFill>
                </w14:textFill>
              </w:rPr>
              <w:t>(</w:t>
            </w: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温宿镇</w:t>
            </w:r>
            <w:r>
              <w:rPr>
                <w:rFonts w:hint="default" w:ascii="Times New Roman" w:hAnsi="Times New Roman" w:cs="Times New Roman" w:eastAsiaTheme="minorEastAsia"/>
                <w:color w:val="000000" w:themeColor="text1"/>
                <w:kern w:val="2"/>
                <w:sz w:val="21"/>
                <w:szCs w:val="21"/>
                <w:highlight w:val="none"/>
                <w:lang w:eastAsia="zh-CN" w:bidi="ar-SA"/>
                <w14:textFill>
                  <w14:solidFill>
                    <w14:schemeClr w14:val="tx1"/>
                  </w14:solidFill>
                </w14:textFill>
              </w:rPr>
              <w:t>)</w:t>
            </w: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、阿拉尔市</w:t>
            </w:r>
            <w:r>
              <w:rPr>
                <w:rFonts w:hint="default" w:ascii="Times New Roman" w:hAnsi="Times New Roman" w:cs="Times New Roman" w:eastAsiaTheme="minorEastAsia"/>
                <w:color w:val="000000" w:themeColor="text1"/>
                <w:kern w:val="2"/>
                <w:sz w:val="21"/>
                <w:szCs w:val="21"/>
                <w:highlight w:val="none"/>
                <w:lang w:eastAsia="zh-CN" w:bidi="ar-SA"/>
                <w14:textFill>
                  <w14:solidFill>
                    <w14:schemeClr w14:val="tx1"/>
                  </w14:solidFill>
                </w14:textFill>
              </w:rPr>
              <w:t>(</w:t>
            </w: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城区</w:t>
            </w:r>
            <w:r>
              <w:rPr>
                <w:rFonts w:hint="default" w:ascii="Times New Roman" w:hAnsi="Times New Roman" w:cs="Times New Roman" w:eastAsiaTheme="minorEastAsia"/>
                <w:color w:val="000000" w:themeColor="text1"/>
                <w:kern w:val="2"/>
                <w:sz w:val="21"/>
                <w:szCs w:val="21"/>
                <w:highlight w:val="none"/>
                <w:lang w:eastAsia="zh-CN" w:bidi="ar-SA"/>
                <w14:textFill>
                  <w14:solidFill>
                    <w14:schemeClr w14:val="tx1"/>
                  </w14:solidFill>
                </w14:textFill>
              </w:rPr>
              <w:t>)</w:t>
            </w: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、喀什市、阿图什市</w:t>
            </w:r>
            <w:r>
              <w:rPr>
                <w:rFonts w:hint="default" w:ascii="Times New Roman" w:hAnsi="Times New Roman" w:cs="Times New Roman" w:eastAsiaTheme="minorEastAsia"/>
                <w:color w:val="000000" w:themeColor="text1"/>
                <w:kern w:val="2"/>
                <w:sz w:val="21"/>
                <w:szCs w:val="21"/>
                <w:highlight w:val="none"/>
                <w:lang w:eastAsia="zh-CN" w:bidi="ar-SA"/>
                <w14:textFill>
                  <w14:solidFill>
                    <w14:schemeClr w14:val="tx1"/>
                  </w14:solidFill>
                </w14:textFill>
              </w:rPr>
              <w:t>(</w:t>
            </w: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城区</w:t>
            </w:r>
            <w:r>
              <w:rPr>
                <w:rFonts w:hint="default" w:ascii="Times New Roman" w:hAnsi="Times New Roman" w:cs="Times New Roman" w:eastAsiaTheme="minorEastAsia"/>
                <w:color w:val="000000" w:themeColor="text1"/>
                <w:kern w:val="2"/>
                <w:sz w:val="21"/>
                <w:szCs w:val="21"/>
                <w:highlight w:val="none"/>
                <w:lang w:eastAsia="zh-CN" w:bidi="ar-SA"/>
                <w14:textFill>
                  <w14:solidFill>
                    <w14:schemeClr w14:val="tx1"/>
                  </w14:solidFill>
                </w14:textFill>
              </w:rPr>
              <w:t>)</w:t>
            </w: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、疏附县</w:t>
            </w:r>
            <w:r>
              <w:rPr>
                <w:rFonts w:hint="default" w:ascii="Times New Roman" w:hAnsi="Times New Roman" w:cs="Times New Roman" w:eastAsiaTheme="minorEastAsia"/>
                <w:color w:val="000000" w:themeColor="text1"/>
                <w:kern w:val="2"/>
                <w:sz w:val="21"/>
                <w:szCs w:val="21"/>
                <w:highlight w:val="none"/>
                <w:lang w:eastAsia="zh-CN" w:bidi="ar-SA"/>
                <w14:textFill>
                  <w14:solidFill>
                    <w14:schemeClr w14:val="tx1"/>
                  </w14:solidFill>
                </w14:textFill>
              </w:rPr>
              <w:t>(</w:t>
            </w: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托克扎克镇</w:t>
            </w:r>
            <w:r>
              <w:rPr>
                <w:rFonts w:hint="default" w:ascii="Times New Roman" w:hAnsi="Times New Roman" w:cs="Times New Roman" w:eastAsiaTheme="minorEastAsia"/>
                <w:color w:val="000000" w:themeColor="text1"/>
                <w:kern w:val="2"/>
                <w:sz w:val="21"/>
                <w:szCs w:val="21"/>
                <w:highlight w:val="none"/>
                <w:lang w:eastAsia="zh-CN" w:bidi="ar-SA"/>
                <w14:textFill>
                  <w14:solidFill>
                    <w14:schemeClr w14:val="tx1"/>
                  </w14:solidFill>
                </w14:textFill>
              </w:rPr>
              <w:t>)</w:t>
            </w: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、疏勒县</w:t>
            </w:r>
            <w:r>
              <w:rPr>
                <w:rFonts w:hint="default" w:ascii="Times New Roman" w:hAnsi="Times New Roman" w:cs="Times New Roman" w:eastAsiaTheme="minorEastAsia"/>
                <w:color w:val="000000" w:themeColor="text1"/>
                <w:kern w:val="2"/>
                <w:sz w:val="21"/>
                <w:szCs w:val="21"/>
                <w:highlight w:val="none"/>
                <w:lang w:eastAsia="zh-CN" w:bidi="ar-SA"/>
                <w14:textFill>
                  <w14:solidFill>
                    <w14:schemeClr w14:val="tx1"/>
                  </w14:solidFill>
                </w14:textFill>
              </w:rPr>
              <w:t>(</w:t>
            </w: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疏勒镇</w:t>
            </w:r>
            <w:r>
              <w:rPr>
                <w:rFonts w:hint="default" w:ascii="Times New Roman" w:hAnsi="Times New Roman" w:cs="Times New Roman" w:eastAsiaTheme="minorEastAsia"/>
                <w:color w:val="000000" w:themeColor="text1"/>
                <w:kern w:val="2"/>
                <w:sz w:val="21"/>
                <w:szCs w:val="21"/>
                <w:highlight w:val="none"/>
                <w:lang w:eastAsia="zh-CN" w:bidi="ar-SA"/>
                <w14:textFill>
                  <w14:solidFill>
                    <w14:schemeClr w14:val="tx1"/>
                  </w14:solidFill>
                </w14:textFill>
              </w:rPr>
              <w:t>)</w:t>
            </w: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、和田市、和田县</w:t>
            </w:r>
            <w:r>
              <w:rPr>
                <w:rFonts w:hint="default" w:ascii="Times New Roman" w:hAnsi="Times New Roman" w:cs="Times New Roman" w:eastAsiaTheme="minorEastAsia"/>
                <w:color w:val="000000" w:themeColor="text1"/>
                <w:kern w:val="2"/>
                <w:sz w:val="21"/>
                <w:szCs w:val="21"/>
                <w:highlight w:val="none"/>
                <w:lang w:eastAsia="zh-CN" w:bidi="ar-SA"/>
                <w14:textFill>
                  <w14:solidFill>
                    <w14:schemeClr w14:val="tx1"/>
                  </w14:solidFill>
                </w14:textFill>
              </w:rPr>
              <w:t>(</w:t>
            </w: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巴格其镇</w:t>
            </w:r>
            <w:r>
              <w:rPr>
                <w:rFonts w:hint="default" w:ascii="Times New Roman" w:hAnsi="Times New Roman" w:cs="Times New Roman" w:eastAsiaTheme="minorEastAsia"/>
                <w:color w:val="000000" w:themeColor="text1"/>
                <w:kern w:val="2"/>
                <w:sz w:val="21"/>
                <w:szCs w:val="21"/>
                <w:highlight w:val="none"/>
                <w:lang w:eastAsia="zh-CN" w:bidi="ar-SA"/>
                <w14:textFill>
                  <w14:solidFill>
                    <w14:schemeClr w14:val="tx1"/>
                  </w14:solidFill>
                </w14:textFill>
              </w:rPr>
              <w:t>)</w:t>
            </w: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、巩留县</w:t>
            </w:r>
            <w:r>
              <w:rPr>
                <w:rFonts w:hint="default" w:ascii="Times New Roman" w:hAnsi="Times New Roman" w:cs="Times New Roman" w:eastAsiaTheme="minorEastAsia"/>
                <w:color w:val="000000" w:themeColor="text1"/>
                <w:kern w:val="2"/>
                <w:sz w:val="21"/>
                <w:szCs w:val="21"/>
                <w:highlight w:val="none"/>
                <w:lang w:eastAsia="zh-CN" w:bidi="ar-SA"/>
                <w14:textFill>
                  <w14:solidFill>
                    <w14:schemeClr w14:val="tx1"/>
                  </w14:solidFill>
                </w14:textFill>
              </w:rPr>
              <w:t>(</w:t>
            </w: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巩留镇</w:t>
            </w:r>
            <w:r>
              <w:rPr>
                <w:rFonts w:hint="default" w:ascii="Times New Roman" w:hAnsi="Times New Roman" w:cs="Times New Roman" w:eastAsiaTheme="minorEastAsia"/>
                <w:color w:val="000000" w:themeColor="text1"/>
                <w:kern w:val="2"/>
                <w:sz w:val="21"/>
                <w:szCs w:val="21"/>
                <w:highlight w:val="none"/>
                <w:lang w:eastAsia="zh-CN" w:bidi="ar-SA"/>
                <w14:textFill>
                  <w14:solidFill>
                    <w14:schemeClr w14:val="tx1"/>
                  </w14:solidFill>
                </w14:textFill>
              </w:rPr>
              <w:t>)</w:t>
            </w: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、尼勒克县</w:t>
            </w:r>
            <w:r>
              <w:rPr>
                <w:rFonts w:hint="default" w:ascii="Times New Roman" w:hAnsi="Times New Roman" w:cs="Times New Roman" w:eastAsiaTheme="minorEastAsia"/>
                <w:color w:val="000000" w:themeColor="text1"/>
                <w:kern w:val="2"/>
                <w:sz w:val="21"/>
                <w:szCs w:val="21"/>
                <w:highlight w:val="none"/>
                <w:lang w:eastAsia="zh-CN" w:bidi="ar-SA"/>
                <w14:textFill>
                  <w14:solidFill>
                    <w14:schemeClr w14:val="tx1"/>
                  </w14:solidFill>
                </w14:textFill>
              </w:rPr>
              <w:t>(</w:t>
            </w: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尼勒克镇</w:t>
            </w:r>
            <w:r>
              <w:rPr>
                <w:rFonts w:hint="default" w:ascii="Times New Roman" w:hAnsi="Times New Roman" w:cs="Times New Roman" w:eastAsiaTheme="minorEastAsia"/>
                <w:color w:val="000000" w:themeColor="text1"/>
                <w:kern w:val="2"/>
                <w:sz w:val="21"/>
                <w:szCs w:val="21"/>
                <w:highlight w:val="none"/>
                <w:lang w:eastAsia="zh-CN" w:bidi="ar-SA"/>
                <w14:textFill>
                  <w14:solidFill>
                    <w14:schemeClr w14:val="tx1"/>
                  </w14:solidFill>
                </w14:textFill>
              </w:rPr>
              <w:t>)</w:t>
            </w: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、新源县</w:t>
            </w:r>
            <w:r>
              <w:rPr>
                <w:rFonts w:hint="default" w:ascii="Times New Roman" w:hAnsi="Times New Roman" w:cs="Times New Roman" w:eastAsiaTheme="minorEastAsia"/>
                <w:color w:val="000000" w:themeColor="text1"/>
                <w:kern w:val="2"/>
                <w:sz w:val="21"/>
                <w:szCs w:val="21"/>
                <w:highlight w:val="none"/>
                <w:lang w:eastAsia="zh-CN" w:bidi="ar-SA"/>
                <w14:textFill>
                  <w14:solidFill>
                    <w14:schemeClr w14:val="tx1"/>
                  </w14:solidFill>
                </w14:textFill>
              </w:rPr>
              <w:t>(</w:t>
            </w: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新源镇</w:t>
            </w:r>
            <w:r>
              <w:rPr>
                <w:rFonts w:hint="default" w:ascii="Times New Roman" w:hAnsi="Times New Roman" w:cs="Times New Roman" w:eastAsiaTheme="minorEastAsia"/>
                <w:color w:val="000000" w:themeColor="text1"/>
                <w:kern w:val="2"/>
                <w:sz w:val="21"/>
                <w:szCs w:val="21"/>
                <w:highlight w:val="none"/>
                <w:lang w:eastAsia="zh-CN" w:bidi="ar-SA"/>
                <w14:textFill>
                  <w14:solidFill>
                    <w14:schemeClr w14:val="tx1"/>
                  </w14:solidFill>
                </w14:textFill>
              </w:rPr>
              <w:t>)</w:t>
            </w: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、昭苏县</w:t>
            </w:r>
            <w:r>
              <w:rPr>
                <w:rFonts w:hint="default" w:ascii="Times New Roman" w:hAnsi="Times New Roman" w:cs="Times New Roman" w:eastAsiaTheme="minorEastAsia"/>
                <w:color w:val="000000" w:themeColor="text1"/>
                <w:kern w:val="2"/>
                <w:sz w:val="21"/>
                <w:szCs w:val="21"/>
                <w:highlight w:val="none"/>
                <w:lang w:eastAsia="zh-CN" w:bidi="ar-SA"/>
                <w14:textFill>
                  <w14:solidFill>
                    <w14:schemeClr w14:val="tx1"/>
                  </w14:solidFill>
                </w14:textFill>
              </w:rPr>
              <w:t>(</w:t>
            </w: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昭苏镇</w:t>
            </w:r>
            <w:r>
              <w:rPr>
                <w:rFonts w:hint="default" w:ascii="Times New Roman" w:hAnsi="Times New Roman" w:cs="Times New Roman" w:eastAsiaTheme="minorEastAsia"/>
                <w:color w:val="000000" w:themeColor="text1"/>
                <w:kern w:val="2"/>
                <w:sz w:val="21"/>
                <w:szCs w:val="21"/>
                <w:highlight w:val="none"/>
                <w:lang w:eastAsia="zh-CN" w:bidi="ar-SA"/>
                <w14:textFill>
                  <w14:solidFill>
                    <w14:schemeClr w14:val="tx1"/>
                  </w14:solidFill>
                </w14:textFill>
              </w:rPr>
              <w:t>)</w:t>
            </w: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、特克斯县</w:t>
            </w:r>
            <w:r>
              <w:rPr>
                <w:rFonts w:hint="default" w:ascii="Times New Roman" w:hAnsi="Times New Roman" w:cs="Times New Roman" w:eastAsiaTheme="minorEastAsia"/>
                <w:color w:val="000000" w:themeColor="text1"/>
                <w:kern w:val="2"/>
                <w:sz w:val="21"/>
                <w:szCs w:val="21"/>
                <w:highlight w:val="none"/>
                <w:lang w:eastAsia="zh-CN" w:bidi="ar-SA"/>
                <w14:textFill>
                  <w14:solidFill>
                    <w14:schemeClr w14:val="tx1"/>
                  </w14:solidFill>
                </w14:textFill>
              </w:rPr>
              <w:t>(</w:t>
            </w: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特克斯镇</w:t>
            </w:r>
            <w:r>
              <w:rPr>
                <w:rFonts w:hint="default" w:ascii="Times New Roman" w:hAnsi="Times New Roman" w:cs="Times New Roman" w:eastAsiaTheme="minorEastAsia"/>
                <w:color w:val="000000" w:themeColor="text1"/>
                <w:kern w:val="2"/>
                <w:sz w:val="21"/>
                <w:szCs w:val="21"/>
                <w:highlight w:val="none"/>
                <w:lang w:eastAsia="zh-CN" w:bidi="ar-SA"/>
                <w14:textFill>
                  <w14:solidFill>
                    <w14:schemeClr w14:val="tx1"/>
                  </w14:solidFill>
                </w14:textFill>
              </w:rPr>
              <w:t>)</w:t>
            </w: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、乌什县</w:t>
            </w:r>
            <w:r>
              <w:rPr>
                <w:rFonts w:hint="default" w:ascii="Times New Roman" w:hAnsi="Times New Roman" w:cs="Times New Roman" w:eastAsiaTheme="minorEastAsia"/>
                <w:color w:val="000000" w:themeColor="text1"/>
                <w:kern w:val="2"/>
                <w:sz w:val="21"/>
                <w:szCs w:val="21"/>
                <w:highlight w:val="none"/>
                <w:lang w:eastAsia="zh-CN" w:bidi="ar-SA"/>
                <w14:textFill>
                  <w14:solidFill>
                    <w14:schemeClr w14:val="tx1"/>
                  </w14:solidFill>
                </w14:textFill>
              </w:rPr>
              <w:t>(</w:t>
            </w: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乌什镇</w:t>
            </w:r>
            <w:r>
              <w:rPr>
                <w:rFonts w:hint="default" w:ascii="Times New Roman" w:hAnsi="Times New Roman" w:cs="Times New Roman" w:eastAsiaTheme="minorEastAsia"/>
                <w:color w:val="000000" w:themeColor="text1"/>
                <w:kern w:val="2"/>
                <w:sz w:val="21"/>
                <w:szCs w:val="21"/>
                <w:highlight w:val="none"/>
                <w:lang w:eastAsia="zh-CN" w:bidi="ar-SA"/>
                <w14:textFill>
                  <w14:solidFill>
                    <w14:schemeClr w14:val="tx1"/>
                  </w14:solidFill>
                </w14:textFill>
              </w:rPr>
              <w:t>)</w:t>
            </w: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、柯坪县</w:t>
            </w:r>
            <w:r>
              <w:rPr>
                <w:rFonts w:hint="default" w:ascii="Times New Roman" w:hAnsi="Times New Roman" w:cs="Times New Roman" w:eastAsiaTheme="minorEastAsia"/>
                <w:color w:val="000000" w:themeColor="text1"/>
                <w:kern w:val="2"/>
                <w:sz w:val="21"/>
                <w:szCs w:val="21"/>
                <w:highlight w:val="none"/>
                <w:lang w:eastAsia="zh-CN" w:bidi="ar-SA"/>
                <w14:textFill>
                  <w14:solidFill>
                    <w14:schemeClr w14:val="tx1"/>
                  </w14:solidFill>
                </w14:textFill>
              </w:rPr>
              <w:t>(</w:t>
            </w: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柯坪镇</w:t>
            </w:r>
            <w:r>
              <w:rPr>
                <w:rFonts w:hint="default" w:ascii="Times New Roman" w:hAnsi="Times New Roman" w:cs="Times New Roman" w:eastAsiaTheme="minorEastAsia"/>
                <w:color w:val="000000" w:themeColor="text1"/>
                <w:kern w:val="2"/>
                <w:sz w:val="21"/>
                <w:szCs w:val="21"/>
                <w:highlight w:val="none"/>
                <w:lang w:eastAsia="zh-CN" w:bidi="ar-SA"/>
                <w14:textFill>
                  <w14:solidFill>
                    <w14:schemeClr w14:val="tx1"/>
                  </w14:solidFill>
                </w14:textFill>
              </w:rPr>
              <w:t>)</w:t>
            </w: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、焉耆回族自治县</w:t>
            </w:r>
            <w:r>
              <w:rPr>
                <w:rFonts w:hint="default" w:ascii="Times New Roman" w:hAnsi="Times New Roman" w:cs="Times New Roman" w:eastAsiaTheme="minorEastAsia"/>
                <w:color w:val="000000" w:themeColor="text1"/>
                <w:kern w:val="2"/>
                <w:sz w:val="21"/>
                <w:szCs w:val="21"/>
                <w:highlight w:val="none"/>
                <w:lang w:eastAsia="zh-CN" w:bidi="ar-SA"/>
                <w14:textFill>
                  <w14:solidFill>
                    <w14:schemeClr w14:val="tx1"/>
                  </w14:solidFill>
                </w14:textFill>
              </w:rPr>
              <w:t>(</w:t>
            </w: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焉耆镇</w:t>
            </w:r>
            <w:r>
              <w:rPr>
                <w:rFonts w:hint="default" w:ascii="Times New Roman" w:hAnsi="Times New Roman" w:cs="Times New Roman" w:eastAsiaTheme="minorEastAsia"/>
                <w:color w:val="000000" w:themeColor="text1"/>
                <w:kern w:val="2"/>
                <w:sz w:val="21"/>
                <w:szCs w:val="21"/>
                <w:highlight w:val="none"/>
                <w:lang w:eastAsia="zh-CN" w:bidi="ar-SA"/>
                <w14:textFill>
                  <w14:solidFill>
                    <w14:schemeClr w14:val="tx1"/>
                  </w14:solidFill>
                </w14:textFill>
              </w:rPr>
              <w:t>)</w:t>
            </w: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、和静县</w:t>
            </w:r>
            <w:r>
              <w:rPr>
                <w:rFonts w:hint="default" w:ascii="Times New Roman" w:hAnsi="Times New Roman" w:cs="Times New Roman" w:eastAsiaTheme="minorEastAsia"/>
                <w:color w:val="000000" w:themeColor="text1"/>
                <w:kern w:val="2"/>
                <w:sz w:val="21"/>
                <w:szCs w:val="21"/>
                <w:highlight w:val="none"/>
                <w:lang w:eastAsia="zh-CN" w:bidi="ar-SA"/>
                <w14:textFill>
                  <w14:solidFill>
                    <w14:schemeClr w14:val="tx1"/>
                  </w14:solidFill>
                </w14:textFill>
              </w:rPr>
              <w:t>(</w:t>
            </w: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和静镇</w:t>
            </w:r>
            <w:r>
              <w:rPr>
                <w:rFonts w:hint="default" w:ascii="Times New Roman" w:hAnsi="Times New Roman" w:cs="Times New Roman" w:eastAsiaTheme="minorEastAsia"/>
                <w:color w:val="000000" w:themeColor="text1"/>
                <w:kern w:val="2"/>
                <w:sz w:val="21"/>
                <w:szCs w:val="21"/>
                <w:highlight w:val="none"/>
                <w:lang w:eastAsia="zh-CN" w:bidi="ar-SA"/>
                <w14:textFill>
                  <w14:solidFill>
                    <w14:schemeClr w14:val="tx1"/>
                  </w14:solidFill>
                </w14:textFill>
              </w:rPr>
              <w:t>)</w:t>
            </w: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、和硕县</w:t>
            </w:r>
            <w:r>
              <w:rPr>
                <w:rFonts w:hint="default" w:ascii="Times New Roman" w:hAnsi="Times New Roman" w:cs="Times New Roman" w:eastAsiaTheme="minorEastAsia"/>
                <w:color w:val="000000" w:themeColor="text1"/>
                <w:kern w:val="2"/>
                <w:sz w:val="21"/>
                <w:szCs w:val="21"/>
                <w:highlight w:val="none"/>
                <w:lang w:eastAsia="zh-CN" w:bidi="ar-SA"/>
                <w14:textFill>
                  <w14:solidFill>
                    <w14:schemeClr w14:val="tx1"/>
                  </w14:solidFill>
                </w14:textFill>
              </w:rPr>
              <w:t>(</w:t>
            </w: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特吾里克镇</w:t>
            </w:r>
            <w:r>
              <w:rPr>
                <w:rFonts w:hint="default" w:ascii="Times New Roman" w:hAnsi="Times New Roman" w:cs="Times New Roman" w:eastAsiaTheme="minorEastAsia"/>
                <w:color w:val="000000" w:themeColor="text1"/>
                <w:kern w:val="2"/>
                <w:sz w:val="21"/>
                <w:szCs w:val="21"/>
                <w:highlight w:val="none"/>
                <w:lang w:eastAsia="zh-CN" w:bidi="ar-SA"/>
                <w14:textFill>
                  <w14:solidFill>
                    <w14:schemeClr w14:val="tx1"/>
                  </w14:solidFill>
                </w14:textFill>
              </w:rPr>
              <w:t>)</w:t>
            </w: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、博湖县</w:t>
            </w:r>
            <w:r>
              <w:rPr>
                <w:rFonts w:hint="default" w:ascii="Times New Roman" w:hAnsi="Times New Roman" w:cs="Times New Roman" w:eastAsiaTheme="minorEastAsia"/>
                <w:color w:val="000000" w:themeColor="text1"/>
                <w:kern w:val="2"/>
                <w:sz w:val="21"/>
                <w:szCs w:val="21"/>
                <w:highlight w:val="none"/>
                <w:lang w:eastAsia="zh-CN" w:bidi="ar-SA"/>
                <w14:textFill>
                  <w14:solidFill>
                    <w14:schemeClr w14:val="tx1"/>
                  </w14:solidFill>
                </w14:textFill>
              </w:rPr>
              <w:t>(</w:t>
            </w: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博湖镇</w:t>
            </w:r>
            <w:r>
              <w:rPr>
                <w:rFonts w:hint="default" w:ascii="Times New Roman" w:hAnsi="Times New Roman" w:cs="Times New Roman" w:eastAsiaTheme="minorEastAsia"/>
                <w:color w:val="000000" w:themeColor="text1"/>
                <w:kern w:val="2"/>
                <w:sz w:val="21"/>
                <w:szCs w:val="21"/>
                <w:highlight w:val="none"/>
                <w:lang w:eastAsia="zh-CN" w:bidi="ar-SA"/>
                <w14:textFill>
                  <w14:solidFill>
                    <w14:schemeClr w14:val="tx1"/>
                  </w14:solidFill>
                </w14:textFill>
              </w:rPr>
              <w:t>)</w:t>
            </w: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、温泉县</w:t>
            </w:r>
            <w:r>
              <w:rPr>
                <w:rFonts w:hint="default" w:ascii="Times New Roman" w:hAnsi="Times New Roman" w:cs="Times New Roman" w:eastAsiaTheme="minorEastAsia"/>
                <w:color w:val="000000" w:themeColor="text1"/>
                <w:kern w:val="2"/>
                <w:sz w:val="21"/>
                <w:szCs w:val="21"/>
                <w:highlight w:val="none"/>
                <w:lang w:eastAsia="zh-CN" w:bidi="ar-SA"/>
                <w14:textFill>
                  <w14:solidFill>
                    <w14:schemeClr w14:val="tx1"/>
                  </w14:solidFill>
                </w14:textFill>
              </w:rPr>
              <w:t>(</w:t>
            </w: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博格达尔镇</w:t>
            </w:r>
            <w:r>
              <w:rPr>
                <w:rFonts w:hint="default" w:ascii="Times New Roman" w:hAnsi="Times New Roman" w:cs="Times New Roman" w:eastAsiaTheme="minorEastAsia"/>
                <w:color w:val="000000" w:themeColor="text1"/>
                <w:kern w:val="2"/>
                <w:sz w:val="21"/>
                <w:szCs w:val="21"/>
                <w:highlight w:val="none"/>
                <w:lang w:eastAsia="zh-CN" w:bidi="ar-SA"/>
                <w14:textFill>
                  <w14:solidFill>
                    <w14:schemeClr w14:val="tx1"/>
                  </w14:solidFill>
                </w14:textFill>
              </w:rPr>
              <w:t>)</w:t>
            </w: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、塔城市</w:t>
            </w:r>
            <w:r>
              <w:rPr>
                <w:rFonts w:hint="default" w:ascii="Times New Roman" w:hAnsi="Times New Roman" w:cs="Times New Roman" w:eastAsiaTheme="minorEastAsia"/>
                <w:color w:val="000000" w:themeColor="text1"/>
                <w:kern w:val="2"/>
                <w:sz w:val="21"/>
                <w:szCs w:val="21"/>
                <w:highlight w:val="none"/>
                <w:lang w:eastAsia="zh-CN" w:bidi="ar-SA"/>
                <w14:textFill>
                  <w14:solidFill>
                    <w14:schemeClr w14:val="tx1"/>
                  </w14:solidFill>
                </w14:textFill>
              </w:rPr>
              <w:t>(</w:t>
            </w: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城区</w:t>
            </w:r>
            <w:r>
              <w:rPr>
                <w:rFonts w:hint="default" w:ascii="Times New Roman" w:hAnsi="Times New Roman" w:cs="Times New Roman" w:eastAsiaTheme="minorEastAsia"/>
                <w:color w:val="000000" w:themeColor="text1"/>
                <w:kern w:val="2"/>
                <w:sz w:val="21"/>
                <w:szCs w:val="21"/>
                <w:highlight w:val="none"/>
                <w:lang w:eastAsia="zh-CN" w:bidi="ar-SA"/>
                <w14:textFill>
                  <w14:solidFill>
                    <w14:schemeClr w14:val="tx1"/>
                  </w14:solidFill>
                </w14:textFill>
              </w:rPr>
              <w:t>)</w:t>
            </w: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、额敏县</w:t>
            </w:r>
            <w:r>
              <w:rPr>
                <w:rFonts w:hint="default" w:ascii="Times New Roman" w:hAnsi="Times New Roman" w:cs="Times New Roman" w:eastAsiaTheme="minorEastAsia"/>
                <w:color w:val="000000" w:themeColor="text1"/>
                <w:kern w:val="2"/>
                <w:sz w:val="21"/>
                <w:szCs w:val="21"/>
                <w:highlight w:val="none"/>
                <w:lang w:eastAsia="zh-CN" w:bidi="ar-SA"/>
                <w14:textFill>
                  <w14:solidFill>
                    <w14:schemeClr w14:val="tx1"/>
                  </w14:solidFill>
                </w14:textFill>
              </w:rPr>
              <w:t>(</w:t>
            </w: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额敏镇</w:t>
            </w:r>
            <w:r>
              <w:rPr>
                <w:rFonts w:hint="default" w:ascii="Times New Roman" w:hAnsi="Times New Roman" w:cs="Times New Roman" w:eastAsiaTheme="minorEastAsia"/>
                <w:color w:val="000000" w:themeColor="text1"/>
                <w:kern w:val="2"/>
                <w:sz w:val="21"/>
                <w:szCs w:val="21"/>
                <w:highlight w:val="none"/>
                <w:lang w:eastAsia="zh-CN" w:bidi="ar-SA"/>
                <w14:textFill>
                  <w14:solidFill>
                    <w14:schemeClr w14:val="tx1"/>
                  </w14:solidFill>
                </w14:textFill>
              </w:rPr>
              <w:t>)</w:t>
            </w: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、托里县</w:t>
            </w:r>
            <w:r>
              <w:rPr>
                <w:rFonts w:hint="default" w:ascii="Times New Roman" w:hAnsi="Times New Roman" w:cs="Times New Roman" w:eastAsiaTheme="minorEastAsia"/>
                <w:color w:val="000000" w:themeColor="text1"/>
                <w:kern w:val="2"/>
                <w:sz w:val="21"/>
                <w:szCs w:val="21"/>
                <w:highlight w:val="none"/>
                <w:lang w:eastAsia="zh-CN" w:bidi="ar-SA"/>
                <w14:textFill>
                  <w14:solidFill>
                    <w14:schemeClr w14:val="tx1"/>
                  </w14:solidFill>
                </w14:textFill>
              </w:rPr>
              <w:t>(</w:t>
            </w: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托里镇</w:t>
            </w:r>
            <w:r>
              <w:rPr>
                <w:rFonts w:hint="default" w:ascii="Times New Roman" w:hAnsi="Times New Roman" w:cs="Times New Roman" w:eastAsiaTheme="minorEastAsia"/>
                <w:color w:val="000000" w:themeColor="text1"/>
                <w:kern w:val="2"/>
                <w:sz w:val="21"/>
                <w:szCs w:val="21"/>
                <w:highlight w:val="none"/>
                <w:lang w:eastAsia="zh-CN" w:bidi="ar-SA"/>
                <w14:textFill>
                  <w14:solidFill>
                    <w14:schemeClr w14:val="tx1"/>
                  </w14:solidFill>
                </w14:textFill>
              </w:rPr>
              <w:t>)</w:t>
            </w: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、裕民县</w:t>
            </w:r>
            <w:r>
              <w:rPr>
                <w:rFonts w:hint="default" w:ascii="Times New Roman" w:hAnsi="Times New Roman" w:cs="Times New Roman" w:eastAsiaTheme="minorEastAsia"/>
                <w:color w:val="000000" w:themeColor="text1"/>
                <w:kern w:val="2"/>
                <w:sz w:val="21"/>
                <w:szCs w:val="21"/>
                <w:highlight w:val="none"/>
                <w:lang w:eastAsia="zh-CN" w:bidi="ar-SA"/>
                <w14:textFill>
                  <w14:solidFill>
                    <w14:schemeClr w14:val="tx1"/>
                  </w14:solidFill>
                </w14:textFill>
              </w:rPr>
              <w:t>(</w:t>
            </w: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哈拉布拉镇</w:t>
            </w:r>
            <w:r>
              <w:rPr>
                <w:rFonts w:hint="default" w:ascii="Times New Roman" w:hAnsi="Times New Roman" w:cs="Times New Roman" w:eastAsiaTheme="minorEastAsia"/>
                <w:color w:val="000000" w:themeColor="text1"/>
                <w:kern w:val="2"/>
                <w:sz w:val="21"/>
                <w:szCs w:val="21"/>
                <w:highlight w:val="none"/>
                <w:lang w:eastAsia="zh-CN" w:bidi="ar-SA"/>
                <w14:textFill>
                  <w14:solidFill>
                    <w14:schemeClr w14:val="tx1"/>
                  </w14:solidFill>
                </w14:textFill>
              </w:rPr>
              <w:t>)</w:t>
            </w: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、和布克赛尔蒙古自治县</w:t>
            </w:r>
            <w:r>
              <w:rPr>
                <w:rFonts w:hint="default" w:ascii="Times New Roman" w:hAnsi="Times New Roman" w:cs="Times New Roman" w:eastAsiaTheme="minorEastAsia"/>
                <w:color w:val="000000" w:themeColor="text1"/>
                <w:kern w:val="2"/>
                <w:sz w:val="21"/>
                <w:szCs w:val="21"/>
                <w:highlight w:val="none"/>
                <w:lang w:eastAsia="zh-CN" w:bidi="ar-SA"/>
                <w14:textFill>
                  <w14:solidFill>
                    <w14:schemeClr w14:val="tx1"/>
                  </w14:solidFill>
                </w14:textFill>
              </w:rPr>
              <w:t>(</w:t>
            </w: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和布克赛尔镇</w:t>
            </w:r>
            <w:r>
              <w:rPr>
                <w:rFonts w:hint="default" w:ascii="Times New Roman" w:hAnsi="Times New Roman" w:cs="Times New Roman" w:eastAsiaTheme="minorEastAsia"/>
                <w:color w:val="000000" w:themeColor="text1"/>
                <w:kern w:val="2"/>
                <w:sz w:val="21"/>
                <w:szCs w:val="21"/>
                <w:highlight w:val="none"/>
                <w:lang w:eastAsia="zh-CN" w:bidi="ar-SA"/>
                <w14:textFill>
                  <w14:solidFill>
                    <w14:schemeClr w14:val="tx1"/>
                  </w14:solidFill>
                </w14:textFill>
              </w:rPr>
              <w:t>)</w:t>
            </w: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、巴里坤哈萨克自治县</w:t>
            </w:r>
            <w:r>
              <w:rPr>
                <w:rFonts w:hint="default" w:ascii="Times New Roman" w:hAnsi="Times New Roman" w:cs="Times New Roman" w:eastAsiaTheme="minorEastAsia"/>
                <w:color w:val="000000" w:themeColor="text1"/>
                <w:kern w:val="2"/>
                <w:sz w:val="21"/>
                <w:szCs w:val="21"/>
                <w:highlight w:val="none"/>
                <w:lang w:eastAsia="zh-CN" w:bidi="ar-SA"/>
                <w14:textFill>
                  <w14:solidFill>
                    <w14:schemeClr w14:val="tx1"/>
                  </w14:solidFill>
                </w14:textFill>
              </w:rPr>
              <w:t>(</w:t>
            </w: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巴里坤镇</w:t>
            </w:r>
            <w:r>
              <w:rPr>
                <w:rFonts w:hint="default" w:ascii="Times New Roman" w:hAnsi="Times New Roman" w:cs="Times New Roman" w:eastAsiaTheme="minorEastAsia"/>
                <w:color w:val="000000" w:themeColor="text1"/>
                <w:kern w:val="2"/>
                <w:sz w:val="21"/>
                <w:szCs w:val="21"/>
                <w:highlight w:val="none"/>
                <w:lang w:eastAsia="zh-CN" w:bidi="ar-SA"/>
                <w14:textFill>
                  <w14:solidFill>
                    <w14:schemeClr w14:val="tx1"/>
                  </w14:solidFill>
                </w14:textFill>
              </w:rPr>
              <w:t>)</w:t>
            </w: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、伊吾县</w:t>
            </w:r>
            <w:r>
              <w:rPr>
                <w:rFonts w:hint="default" w:ascii="Times New Roman" w:hAnsi="Times New Roman" w:cs="Times New Roman" w:eastAsiaTheme="minorEastAsia"/>
                <w:color w:val="000000" w:themeColor="text1"/>
                <w:kern w:val="2"/>
                <w:sz w:val="21"/>
                <w:szCs w:val="21"/>
                <w:highlight w:val="none"/>
                <w:lang w:eastAsia="zh-CN" w:bidi="ar-SA"/>
                <w14:textFill>
                  <w14:solidFill>
                    <w14:schemeClr w14:val="tx1"/>
                  </w14:solidFill>
                </w14:textFill>
              </w:rPr>
              <w:t>(</w:t>
            </w: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伊吾镇</w:t>
            </w:r>
            <w:r>
              <w:rPr>
                <w:rFonts w:hint="default" w:ascii="Times New Roman" w:hAnsi="Times New Roman" w:cs="Times New Roman" w:eastAsiaTheme="minorEastAsia"/>
                <w:color w:val="000000" w:themeColor="text1"/>
                <w:kern w:val="2"/>
                <w:sz w:val="21"/>
                <w:szCs w:val="21"/>
                <w:highlight w:val="none"/>
                <w:lang w:eastAsia="zh-CN" w:bidi="ar-SA"/>
                <w14:textFill>
                  <w14:solidFill>
                    <w14:schemeClr w14:val="tx1"/>
                  </w14:solidFill>
                </w14:textFill>
              </w:rPr>
              <w:t>)</w:t>
            </w: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、木垒哈萨克自治县</w:t>
            </w:r>
            <w:r>
              <w:rPr>
                <w:rFonts w:hint="default" w:ascii="Times New Roman" w:hAnsi="Times New Roman" w:cs="Times New Roman" w:eastAsiaTheme="minorEastAsia"/>
                <w:color w:val="000000" w:themeColor="text1"/>
                <w:kern w:val="2"/>
                <w:sz w:val="21"/>
                <w:szCs w:val="21"/>
                <w:highlight w:val="none"/>
                <w:lang w:eastAsia="zh-CN" w:bidi="ar-SA"/>
                <w14:textFill>
                  <w14:solidFill>
                    <w14:schemeClr w14:val="tx1"/>
                  </w14:solidFill>
                </w14:textFill>
              </w:rPr>
              <w:t>(</w:t>
            </w: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木垒镇</w:t>
            </w:r>
            <w:r>
              <w:rPr>
                <w:rFonts w:hint="default" w:ascii="Times New Roman" w:hAnsi="Times New Roman" w:cs="Times New Roman" w:eastAsiaTheme="minorEastAsia"/>
                <w:color w:val="000000" w:themeColor="text1"/>
                <w:kern w:val="2"/>
                <w:sz w:val="21"/>
                <w:szCs w:val="21"/>
                <w:highlight w:val="none"/>
                <w:lang w:eastAsia="zh-CN" w:bidi="ar-SA"/>
                <w14:textFill>
                  <w14:solidFill>
                    <w14:schemeClr w14:val="tx1"/>
                  </w14:solidFill>
                </w14:textFill>
              </w:rPr>
              <w:t>)</w:t>
            </w:r>
          </w:p>
        </w:tc>
        <w:tc>
          <w:tcPr>
            <w:tcW w:w="939" w:type="dxa"/>
            <w:tcBorders>
              <w:tl2br w:val="nil"/>
              <w:tr2bl w:val="nil"/>
            </w:tcBorders>
            <w:vAlign w:val="center"/>
          </w:tcPr>
          <w:p w14:paraId="6E9146BF">
            <w:pPr>
              <w:keepNext w:val="0"/>
              <w:keepLines w:val="0"/>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3800.38</w:t>
            </w:r>
          </w:p>
        </w:tc>
      </w:tr>
    </w:tbl>
    <w:p w14:paraId="3E298083">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b/>
          <w:bCs/>
          <w:snapToGrid w:val="0"/>
          <w:color w:val="FF0000"/>
          <w:sz w:val="24"/>
          <w:highlight w:val="none"/>
          <w:lang w:val="en-US" w:eastAsia="zh-CN"/>
        </w:rPr>
      </w:pPr>
    </w:p>
    <w:p w14:paraId="59B9DB60">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t>(2) 限制开发区域</w:t>
      </w:r>
    </w:p>
    <w:p w14:paraId="0CBDA7BD">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新疆限制开发区域主要分为：农产品主产区和重点生态功能区。</w:t>
      </w:r>
    </w:p>
    <w:p w14:paraId="2F2D8DA3">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新疆国家级农产品主产区包括天山北坡主产区和天山南坡主产区，共涉及23个县市，总面积414265.55km</w:t>
      </w:r>
      <w:r>
        <w:rPr>
          <w:rFonts w:hint="default" w:ascii="Times New Roman" w:hAnsi="Times New Roman" w:cs="Times New Roman" w:eastAsiaTheme="minorEastAsia"/>
          <w:snapToGrid w:val="0"/>
          <w:color w:val="000000" w:themeColor="text1"/>
          <w:sz w:val="24"/>
          <w:highlight w:val="none"/>
          <w:vertAlign w:val="superscript"/>
          <w:lang w:val="en-US" w:eastAsia="zh-CN"/>
          <w14:textFill>
            <w14:solidFill>
              <w14:schemeClr w14:val="tx1"/>
            </w14:solidFill>
          </w14:textFill>
        </w:rPr>
        <w:t>2</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其中天山北坡主产区涉及13个县市，这些农产品主产区县市的城区或城关镇及其境内的重要工业园区是国家级重点开发区域，但这些县市以享受国家农产品主产区的政策为主；天山南坡主产区涉及10个县市，这些农产品主产区县市的城区或城关镇和重要工业园区是自治区级的重点开发区域，但这些县市以享受国家农产品主产区的政策为主。</w:t>
      </w:r>
    </w:p>
    <w:p w14:paraId="45FE9154">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新疆重点生态功能区包括：三个国家级重点生态功能区(享受国家的重点生态功能区政策)——阿尔泰山地森林草原生态功能区、塔里木河荒漠化防治生态功能区、阿尔金山草原荒漠化防治生态功能区。</w:t>
      </w:r>
    </w:p>
    <w:p w14:paraId="1BDC6E8B">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t>(3) 禁止开发区域</w:t>
      </w:r>
    </w:p>
    <w:p w14:paraId="1B8C4555">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新疆禁止开发区域包括：国家层面禁止开发区域——国家级自然保护区、世界文化自然遗产、国家级风景名胜区、国家森林公园和国家地质公园。新疆国家层面禁止开发区域共44处，面积为138902.9km</w:t>
      </w:r>
      <w:r>
        <w:rPr>
          <w:rFonts w:hint="default" w:ascii="Times New Roman" w:hAnsi="Times New Roman" w:cs="Times New Roman" w:eastAsiaTheme="minorEastAsia"/>
          <w:snapToGrid w:val="0"/>
          <w:color w:val="000000" w:themeColor="text1"/>
          <w:sz w:val="24"/>
          <w:highlight w:val="none"/>
          <w:vertAlign w:val="superscript"/>
          <w:lang w:val="en-US" w:eastAsia="zh-CN"/>
          <w14:textFill>
            <w14:solidFill>
              <w14:schemeClr w14:val="tx1"/>
            </w14:solidFill>
          </w14:textFill>
        </w:rPr>
        <w:t>2</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占全区面积的8.34%。自治区层面禁止开发区域——自治区级及以下各级各类自然文化资源保护区域、重要水源地、重要湿地、湿地公园、水产种质资源保护区及其他自治区人民政府根据需要确定的禁止开发区域。新疆维吾尔自治区级禁止开发区共63处，总面积为94789.47km</w:t>
      </w:r>
      <w:r>
        <w:rPr>
          <w:rFonts w:hint="default" w:ascii="Times New Roman" w:hAnsi="Times New Roman" w:cs="Times New Roman" w:eastAsiaTheme="minorEastAsia"/>
          <w:snapToGrid w:val="0"/>
          <w:color w:val="000000" w:themeColor="text1"/>
          <w:sz w:val="24"/>
          <w:highlight w:val="none"/>
          <w:vertAlign w:val="superscript"/>
          <w:lang w:val="en-US" w:eastAsia="zh-CN"/>
          <w14:textFill>
            <w14:solidFill>
              <w14:schemeClr w14:val="tx1"/>
            </w14:solidFill>
          </w14:textFill>
        </w:rPr>
        <w:t>2</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，占全区总面积的5.69%。</w:t>
      </w:r>
    </w:p>
    <w:p w14:paraId="0837425C">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本项目建设区域位于乌鲁木齐市</w:t>
      </w:r>
      <w:r>
        <w:rPr>
          <w:rFonts w:hint="eastAsia" w:cs="Times New Roman" w:eastAsiaTheme="minorEastAsia"/>
          <w:snapToGrid w:val="0"/>
          <w:color w:val="000000" w:themeColor="text1"/>
          <w:sz w:val="24"/>
          <w:highlight w:val="none"/>
          <w:lang w:val="en-US" w:eastAsia="zh-CN"/>
          <w14:textFill>
            <w14:solidFill>
              <w14:schemeClr w14:val="tx1"/>
            </w14:solidFill>
          </w14:textFill>
        </w:rPr>
        <w:t>沙依巴克区</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对照《新疆维吾尔自治区主体功能区规划》的划分，其所在的天山北坡经济带属于国家重点开发区域。该区域的功能定位是：“我国面向中亚、西亚地区对外开放的陆路交通枢纽和重要门户，全国重要的能源基地，我国进口资源的国际大通道，西北地区重要的国际商贸中心、物流中心和对外合作加工基地，石油天然气化工、煤电、煤化工、机电工业及纺织工业基地”。开发原则：加强基础设施建设。统筹规划建设水利、交通、能源、通信、环保、气象、防灾等基础设施，构建完善、高效、区域一体、城乡统筹的基础设施网络。</w:t>
      </w:r>
    </w:p>
    <w:p w14:paraId="3960A4EE">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相符性分析：</w:t>
      </w:r>
    </w:p>
    <w:p w14:paraId="2C816741">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①本项目为风电项目，采用先进成熟、节能环保型技术。项目将风能转化为电能，符合以上</w:t>
      </w:r>
      <w:r>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加强基础设施建设。统筹规划建设水利、交通、能源、通信、环保、气象、防灾等基础设施，构建完善、高效、区域一体、城乡统筹的基础设施网络。</w:t>
      </w:r>
      <w:r>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的开发原则。</w:t>
      </w:r>
    </w:p>
    <w:p w14:paraId="134C395A">
      <w:pPr>
        <w:keepNext w:val="0"/>
        <w:keepLines w:val="0"/>
        <w:pageBreakBefore w:val="0"/>
        <w:widowControl w:val="0"/>
        <w:numPr>
          <w:ilvl w:val="0"/>
          <w:numId w:val="0"/>
        </w:numPr>
        <w:tabs>
          <w:tab w:val="left" w:pos="1260"/>
        </w:tabs>
        <w:kinsoku/>
        <w:wordWrap/>
        <w:overflowPunct/>
        <w:topLinePunct w:val="0"/>
        <w:autoSpaceDE/>
        <w:autoSpaceDN/>
        <w:bidi w:val="0"/>
        <w:adjustRightInd/>
        <w:snapToGrid/>
        <w:spacing w:line="360" w:lineRule="auto"/>
        <w:ind w:left="0" w:leftChars="0" w:firstLine="480" w:firstLineChars="200"/>
        <w:textAlignment w:val="auto"/>
        <w:outlineLvl w:val="9"/>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②</w:t>
      </w:r>
      <w:r>
        <w:rPr>
          <w:rFonts w:hint="eastAsia" w:cs="Times New Roman" w:eastAsiaTheme="minorEastAsia"/>
          <w:snapToGrid w:val="0"/>
          <w:color w:val="000000" w:themeColor="text1"/>
          <w:sz w:val="24"/>
          <w:highlight w:val="none"/>
          <w:lang w:val="en-US" w:eastAsia="zh-CN"/>
          <w14:textFill>
            <w14:solidFill>
              <w14:schemeClr w14:val="tx1"/>
            </w14:solidFill>
          </w14:textFill>
        </w:rPr>
        <w:t>本项目</w:t>
      </w:r>
      <w:r>
        <w:rPr>
          <w:rFonts w:hint="eastAsia" w:cs="Times New Roman" w:eastAsiaTheme="minorEastAsia"/>
          <w:color w:val="000000" w:themeColor="text1"/>
          <w:kern w:val="2"/>
          <w:sz w:val="24"/>
          <w:szCs w:val="20"/>
          <w:highlight w:val="none"/>
          <w:lang w:val="en-US" w:eastAsia="zh-CN" w:bidi="ar-SA"/>
          <w14:textFill>
            <w14:solidFill>
              <w14:schemeClr w14:val="tx1"/>
            </w14:solidFill>
          </w14:textFill>
        </w:rPr>
        <w:t>有3</w:t>
      </w:r>
      <w:r>
        <w:rPr>
          <w:rFonts w:hint="default" w:ascii="Times New Roman" w:hAnsi="Times New Roman" w:cs="Times New Roman" w:eastAsiaTheme="minorEastAsia"/>
          <w:color w:val="000000" w:themeColor="text1"/>
          <w:kern w:val="2"/>
          <w:sz w:val="24"/>
          <w:szCs w:val="20"/>
          <w:highlight w:val="none"/>
          <w:lang w:val="en-US" w:eastAsia="zh-CN" w:bidi="ar-SA"/>
          <w14:textFill>
            <w14:solidFill>
              <w14:schemeClr w14:val="tx1"/>
            </w14:solidFill>
          </w14:textFill>
        </w:rPr>
        <w:t>台风机及箱变、部分集电线路杆塔</w:t>
      </w:r>
      <w:r>
        <w:rPr>
          <w:rFonts w:hint="eastAsia" w:cs="Times New Roman" w:eastAsiaTheme="minorEastAsia"/>
          <w:color w:val="000000" w:themeColor="text1"/>
          <w:kern w:val="2"/>
          <w:sz w:val="24"/>
          <w:szCs w:val="20"/>
          <w:highlight w:val="none"/>
          <w:lang w:val="en-US" w:eastAsia="zh-CN" w:bidi="ar-SA"/>
          <w14:textFill>
            <w14:solidFill>
              <w14:schemeClr w14:val="tx1"/>
            </w14:solidFill>
          </w14:textFill>
        </w:rPr>
        <w:t>、检修道路</w:t>
      </w:r>
      <w:r>
        <w:rPr>
          <w:rFonts w:hint="default" w:ascii="Times New Roman" w:hAnsi="Times New Roman" w:cs="Times New Roman" w:eastAsiaTheme="minorEastAsia"/>
          <w:color w:val="000000" w:themeColor="text1"/>
          <w:kern w:val="2"/>
          <w:sz w:val="24"/>
          <w:szCs w:val="20"/>
          <w:highlight w:val="none"/>
          <w:lang w:val="en-US" w:eastAsia="zh-CN" w:bidi="ar-SA"/>
          <w14:textFill>
            <w14:solidFill>
              <w14:schemeClr w14:val="tx1"/>
            </w14:solidFill>
          </w14:textFill>
        </w:rPr>
        <w:t>等永久占地占用</w:t>
      </w:r>
      <w:r>
        <w:rPr>
          <w:rFonts w:hint="eastAsia" w:ascii="宋体" w:hAnsi="宋体" w:eastAsia="宋体" w:cs="宋体"/>
          <w:color w:val="000000" w:themeColor="text1"/>
          <w:sz w:val="24"/>
          <w:lang w:val="en-US" w:eastAsia="zh-CN"/>
          <w14:textFill>
            <w14:solidFill>
              <w14:schemeClr w14:val="tx1"/>
            </w14:solidFill>
          </w14:textFill>
        </w:rPr>
        <w:t>西山地下饮用水源地二级保护区；</w:t>
      </w:r>
      <w:r>
        <w:rPr>
          <w:rFonts w:hint="eastAsia" w:ascii="Times New Roman" w:hAnsi="Times New Roman" w:cs="Times New Roman" w:eastAsiaTheme="minorEastAsia"/>
          <w:color w:val="000000" w:themeColor="text1"/>
          <w:kern w:val="2"/>
          <w:sz w:val="24"/>
          <w:szCs w:val="20"/>
          <w:highlight w:val="none"/>
          <w:lang w:val="en-US" w:eastAsia="zh-CN" w:bidi="ar-SA"/>
          <w14:textFill>
            <w14:solidFill>
              <w14:schemeClr w14:val="tx1"/>
            </w14:solidFill>
          </w14:textFill>
        </w:rPr>
        <w:t>3</w:t>
      </w:r>
      <w:r>
        <w:rPr>
          <w:rFonts w:hint="default" w:ascii="Times New Roman" w:hAnsi="Times New Roman" w:cs="Times New Roman" w:eastAsiaTheme="minorEastAsia"/>
          <w:color w:val="000000" w:themeColor="text1"/>
          <w:kern w:val="2"/>
          <w:sz w:val="24"/>
          <w:szCs w:val="20"/>
          <w:highlight w:val="none"/>
          <w:lang w:val="en-US" w:eastAsia="zh-CN" w:bidi="ar-SA"/>
          <w14:textFill>
            <w14:solidFill>
              <w14:schemeClr w14:val="tx1"/>
            </w14:solidFill>
          </w14:textFill>
        </w:rPr>
        <w:t>台风机及箱变、部分集电线路杆塔</w:t>
      </w:r>
      <w:r>
        <w:rPr>
          <w:rFonts w:hint="eastAsia" w:ascii="Times New Roman" w:hAnsi="Times New Roman" w:cs="Times New Roman" w:eastAsiaTheme="minorEastAsia"/>
          <w:color w:val="000000" w:themeColor="text1"/>
          <w:kern w:val="2"/>
          <w:sz w:val="24"/>
          <w:szCs w:val="20"/>
          <w:highlight w:val="none"/>
          <w:lang w:val="en-US" w:eastAsia="zh-CN" w:bidi="ar-SA"/>
          <w14:textFill>
            <w14:solidFill>
              <w14:schemeClr w14:val="tx1"/>
            </w14:solidFill>
          </w14:textFill>
        </w:rPr>
        <w:t>、检修道路</w:t>
      </w:r>
      <w:r>
        <w:rPr>
          <w:rFonts w:hint="default" w:ascii="Times New Roman" w:hAnsi="Times New Roman" w:cs="Times New Roman" w:eastAsiaTheme="minorEastAsia"/>
          <w:color w:val="000000" w:themeColor="text1"/>
          <w:kern w:val="2"/>
          <w:sz w:val="24"/>
          <w:szCs w:val="20"/>
          <w:highlight w:val="none"/>
          <w:lang w:val="en-US" w:eastAsia="zh-CN" w:bidi="ar-SA"/>
          <w14:textFill>
            <w14:solidFill>
              <w14:schemeClr w14:val="tx1"/>
            </w14:solidFill>
          </w14:textFill>
        </w:rPr>
        <w:t>等永久占地占用</w:t>
      </w:r>
      <w:r>
        <w:rPr>
          <w:rFonts w:hint="eastAsia" w:ascii="宋体" w:hAnsi="宋体" w:eastAsia="宋体"/>
          <w:color w:val="000000" w:themeColor="text1"/>
          <w:sz w:val="24"/>
          <w:highlight w:val="none"/>
          <w14:textFill>
            <w14:solidFill>
              <w14:schemeClr w14:val="tx1"/>
            </w14:solidFill>
          </w14:textFill>
        </w:rPr>
        <w:t>甘河子（含铁路专供）</w:t>
      </w:r>
      <w:r>
        <w:rPr>
          <w:rFonts w:hint="eastAsia" w:ascii="宋体" w:hAnsi="宋体" w:eastAsia="宋体"/>
          <w:color w:val="000000" w:themeColor="text1"/>
          <w:sz w:val="24"/>
          <w:highlight w:val="none"/>
          <w:lang w:val="en-US" w:eastAsia="zh-CN"/>
          <w14:textFill>
            <w14:solidFill>
              <w14:schemeClr w14:val="tx1"/>
            </w14:solidFill>
          </w14:textFill>
        </w:rPr>
        <w:t>地下饮用</w:t>
      </w:r>
      <w:r>
        <w:rPr>
          <w:rFonts w:hint="eastAsia" w:ascii="宋体" w:hAnsi="宋体" w:eastAsia="宋体"/>
          <w:color w:val="000000" w:themeColor="text1"/>
          <w:sz w:val="24"/>
          <w:highlight w:val="none"/>
          <w14:textFill>
            <w14:solidFill>
              <w14:schemeClr w14:val="tx1"/>
            </w14:solidFill>
          </w14:textFill>
        </w:rPr>
        <w:t>水源地</w:t>
      </w:r>
      <w:r>
        <w:rPr>
          <w:rFonts w:hint="eastAsia" w:ascii="宋体" w:hAnsi="宋体" w:eastAsia="宋体"/>
          <w:color w:val="000000" w:themeColor="text1"/>
          <w:sz w:val="24"/>
          <w:highlight w:val="none"/>
          <w:lang w:val="en-US" w:eastAsia="zh-CN"/>
          <w14:textFill>
            <w14:solidFill>
              <w14:schemeClr w14:val="tx1"/>
            </w14:solidFill>
          </w14:textFill>
        </w:rPr>
        <w:t>二级保护区</w:t>
      </w:r>
      <w:r>
        <w:rPr>
          <w:rFonts w:hint="eastAsia" w:ascii="宋体" w:hAnsi="宋体" w:eastAsia="宋体"/>
          <w:color w:val="000000" w:themeColor="text1"/>
          <w:sz w:val="24"/>
          <w:highlight w:val="none"/>
          <w:lang w:eastAsia="zh-CN"/>
          <w14:textFill>
            <w14:solidFill>
              <w14:schemeClr w14:val="tx1"/>
            </w14:solidFill>
          </w14:textFill>
        </w:rPr>
        <w:t>；</w:t>
      </w:r>
      <w:r>
        <w:rPr>
          <w:rFonts w:hint="eastAsia" w:ascii="Times New Roman" w:hAnsi="Times New Roman" w:cs="Times New Roman" w:eastAsiaTheme="minorEastAsia"/>
          <w:color w:val="000000" w:themeColor="text1"/>
          <w:kern w:val="2"/>
          <w:sz w:val="24"/>
          <w:szCs w:val="20"/>
          <w:highlight w:val="none"/>
          <w:lang w:val="en-US" w:eastAsia="zh-CN" w:bidi="ar-SA"/>
          <w14:textFill>
            <w14:solidFill>
              <w14:schemeClr w14:val="tx1"/>
            </w14:solidFill>
          </w14:textFill>
        </w:rPr>
        <w:t>7</w:t>
      </w:r>
      <w:r>
        <w:rPr>
          <w:rFonts w:hint="default" w:ascii="Times New Roman" w:hAnsi="Times New Roman" w:cs="Times New Roman" w:eastAsiaTheme="minorEastAsia"/>
          <w:color w:val="000000" w:themeColor="text1"/>
          <w:kern w:val="2"/>
          <w:sz w:val="24"/>
          <w:szCs w:val="20"/>
          <w:highlight w:val="none"/>
          <w:lang w:val="en-US" w:eastAsia="zh-CN" w:bidi="ar-SA"/>
          <w14:textFill>
            <w14:solidFill>
              <w14:schemeClr w14:val="tx1"/>
            </w14:solidFill>
          </w14:textFill>
        </w:rPr>
        <w:t>台风机及箱变、部分集电线路杆塔</w:t>
      </w:r>
      <w:r>
        <w:rPr>
          <w:rFonts w:hint="eastAsia" w:ascii="Times New Roman" w:hAnsi="Times New Roman" w:cs="Times New Roman" w:eastAsiaTheme="minorEastAsia"/>
          <w:color w:val="000000" w:themeColor="text1"/>
          <w:kern w:val="2"/>
          <w:sz w:val="24"/>
          <w:szCs w:val="20"/>
          <w:highlight w:val="none"/>
          <w:lang w:val="en-US" w:eastAsia="zh-CN" w:bidi="ar-SA"/>
          <w14:textFill>
            <w14:solidFill>
              <w14:schemeClr w14:val="tx1"/>
            </w14:solidFill>
          </w14:textFill>
        </w:rPr>
        <w:t>、检修道路</w:t>
      </w:r>
      <w:r>
        <w:rPr>
          <w:rFonts w:hint="default" w:ascii="Times New Roman" w:hAnsi="Times New Roman" w:cs="Times New Roman" w:eastAsiaTheme="minorEastAsia"/>
          <w:color w:val="000000" w:themeColor="text1"/>
          <w:kern w:val="2"/>
          <w:sz w:val="24"/>
          <w:szCs w:val="20"/>
          <w:highlight w:val="none"/>
          <w:lang w:val="en-US" w:eastAsia="zh-CN" w:bidi="ar-SA"/>
          <w14:textFill>
            <w14:solidFill>
              <w14:schemeClr w14:val="tx1"/>
            </w14:solidFill>
          </w14:textFill>
        </w:rPr>
        <w:t>等永久占地占用</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乌拉泊、柴西、柴北、西山、甘河子（含铁路专供）准保护区。</w:t>
      </w:r>
    </w:p>
    <w:p w14:paraId="51BAA019">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jc w:val="left"/>
        <w:textAlignment w:val="auto"/>
        <w:rPr>
          <w:rFonts w:hint="default" w:ascii="Times New Roman" w:hAnsi="Times New Roman" w:cs="Times New Roman" w:eastAsiaTheme="minorEastAsia"/>
          <w:snapToGrid w:val="0"/>
          <w:color w:val="FF0000"/>
          <w:sz w:val="24"/>
          <w:highlight w:val="none"/>
          <w:lang w:val="en-US" w:eastAsia="zh-CN"/>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③本项目风机采用永磁风机、箱变采用干式变压器，</w:t>
      </w:r>
      <w:r>
        <w:rPr>
          <w:rFonts w:hint="eastAsia" w:cs="Times New Roman" w:eastAsiaTheme="minorEastAsia"/>
          <w:snapToGrid w:val="0"/>
          <w:color w:val="000000" w:themeColor="text1"/>
          <w:sz w:val="24"/>
          <w:highlight w:val="none"/>
          <w:lang w:val="en-US" w:eastAsia="zh-CN"/>
          <w14:textFill>
            <w14:solidFill>
              <w14:schemeClr w14:val="tx1"/>
            </w14:solidFill>
          </w14:textFill>
        </w:rPr>
        <w:t>正常工况下</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不会产生油品泄露突发环境事件。</w:t>
      </w:r>
      <w:r>
        <w:rPr>
          <w:rFonts w:hint="eastAsia" w:ascii="宋体" w:hAnsi="宋体" w:eastAsia="宋体"/>
          <w:sz w:val="24"/>
        </w:rPr>
        <w:t>风机运行期间，若发现风机缺油，缺油的风机需要定期更换润滑油，在更换矿物油过程中发生泄漏，或事故状态下风力发电机组中转动部件润滑油出现遗漏，废矿物油即产即</w:t>
      </w:r>
      <w:r>
        <w:rPr>
          <w:rFonts w:hint="eastAsia" w:ascii="宋体" w:hAnsi="宋体" w:eastAsia="宋体"/>
          <w:color w:val="000000" w:themeColor="text1"/>
          <w:sz w:val="24"/>
          <w14:textFill>
            <w14:solidFill>
              <w14:schemeClr w14:val="tx1"/>
            </w14:solidFill>
          </w14:textFill>
        </w:rPr>
        <w:t>清，交由有资质单位处置，不在场内暂存</w:t>
      </w:r>
      <w:r>
        <w:rPr>
          <w:rFonts w:hint="eastAsia" w:ascii="宋体" w:hAnsi="宋体" w:eastAsia="宋体"/>
          <w:color w:val="000000" w:themeColor="text1"/>
          <w:sz w:val="24"/>
          <w:lang w:eastAsia="zh-CN"/>
          <w14:textFill>
            <w14:solidFill>
              <w14:schemeClr w14:val="tx1"/>
            </w14:solidFill>
          </w14:textFill>
        </w:rPr>
        <w:t>。</w:t>
      </w:r>
      <w:r>
        <w:rPr>
          <w:rFonts w:hint="eastAsia" w:ascii="宋体" w:hAnsi="宋体" w:eastAsia="宋体"/>
          <w:color w:val="000000" w:themeColor="text1"/>
          <w:sz w:val="24"/>
          <w:lang w:val="en-US" w:eastAsia="zh-CN"/>
          <w14:textFill>
            <w14:solidFill>
              <w14:schemeClr w14:val="tx1"/>
            </w14:solidFill>
          </w14:textFill>
        </w:rPr>
        <w:t>废矿物油</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收集须满足《危险废物收集 贮存 运输技术规范》(HJ2025-2012)、《危险废物贮存污染控制标准》(GB18597-2023)的要求，转移过程中须避开水源保护区运输。禁止危险废物倾倒、堆放至</w:t>
      </w:r>
      <w:r>
        <w:rPr>
          <w:rFonts w:hint="eastAsia" w:ascii="宋体" w:hAnsi="宋体" w:eastAsia="宋体" w:cs="宋体"/>
          <w:color w:val="000000" w:themeColor="text1"/>
          <w:sz w:val="24"/>
          <w:lang w:val="en-US" w:eastAsia="zh-CN"/>
          <w14:textFill>
            <w14:solidFill>
              <w14:schemeClr w14:val="tx1"/>
            </w14:solidFill>
          </w14:textFill>
        </w:rPr>
        <w:t>西山地下饮用水源地二级保护区</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w:t>
      </w:r>
      <w:r>
        <w:rPr>
          <w:rFonts w:hint="eastAsia" w:ascii="宋体" w:hAnsi="宋体" w:eastAsia="宋体"/>
          <w:color w:val="000000" w:themeColor="text1"/>
          <w:sz w:val="24"/>
          <w:highlight w:val="none"/>
          <w14:textFill>
            <w14:solidFill>
              <w14:schemeClr w14:val="tx1"/>
            </w14:solidFill>
          </w14:textFill>
        </w:rPr>
        <w:t>甘河子（含铁路专供）</w:t>
      </w:r>
      <w:r>
        <w:rPr>
          <w:rFonts w:hint="eastAsia" w:ascii="宋体" w:hAnsi="宋体" w:eastAsia="宋体"/>
          <w:color w:val="000000" w:themeColor="text1"/>
          <w:sz w:val="24"/>
          <w:highlight w:val="none"/>
          <w:lang w:val="en-US" w:eastAsia="zh-CN"/>
          <w14:textFill>
            <w14:solidFill>
              <w14:schemeClr w14:val="tx1"/>
            </w14:solidFill>
          </w14:textFill>
        </w:rPr>
        <w:t>地下饮用</w:t>
      </w:r>
      <w:r>
        <w:rPr>
          <w:rFonts w:hint="eastAsia" w:ascii="宋体" w:hAnsi="宋体" w:eastAsia="宋体"/>
          <w:color w:val="000000" w:themeColor="text1"/>
          <w:sz w:val="24"/>
          <w:highlight w:val="none"/>
          <w14:textFill>
            <w14:solidFill>
              <w14:schemeClr w14:val="tx1"/>
            </w14:solidFill>
          </w14:textFill>
        </w:rPr>
        <w:t>水源地</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及乌拉泊、柴西、柴北、西山、甘河子（含铁路专供）准保护区范围内。</w:t>
      </w:r>
    </w:p>
    <w:p w14:paraId="01199114">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风电场区产生的报废零部件不在场区暂存，直接由生产厂家回收处理，不得随意自行处置。风电场区检修时产生的生活垃圾集中收集后，定期运送到周边垃圾中转站转运，统一处置</w:t>
      </w:r>
      <w:r>
        <w:rPr>
          <w:rFonts w:hint="eastAsia" w:cs="Times New Roman" w:eastAsiaTheme="minorEastAsia"/>
          <w:snapToGrid w:val="0"/>
          <w:color w:val="000000" w:themeColor="text1"/>
          <w:sz w:val="24"/>
          <w:highlight w:val="none"/>
          <w:lang w:val="en-US" w:eastAsia="zh-CN"/>
          <w14:textFill>
            <w14:solidFill>
              <w14:schemeClr w14:val="tx1"/>
            </w14:solidFill>
          </w14:textFill>
        </w:rPr>
        <w:t>，</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运营期各类固废均得到资源化、无害化处置，不产生二次污染。</w:t>
      </w:r>
    </w:p>
    <w:p w14:paraId="6338507B">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④本项目施工临建区域位于二级保护区以外。施工营地生活区设置移动环保厕所及1座100m</w:t>
      </w:r>
      <w:r>
        <w:rPr>
          <w:rFonts w:hint="default" w:ascii="Times New Roman" w:hAnsi="Times New Roman" w:cs="Times New Roman" w:eastAsiaTheme="minorEastAsia"/>
          <w:snapToGrid w:val="0"/>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防渗污水收集池，营地食堂及洗漱废水排入防渗污水收集池；粪便污水排入环保厕所；生活污水及粪便污水定期拉运至污水处理厂处理。施工期车辆冲洗废水集中收集至沉淀池处理后循环利用，不外排。本项目风机、箱变</w:t>
      </w:r>
      <w:r>
        <w:rPr>
          <w:rFonts w:hint="eastAsia" w:cs="Times New Roman" w:eastAsiaTheme="minorEastAsia"/>
          <w:snapToGrid w:val="0"/>
          <w:color w:val="000000" w:themeColor="text1"/>
          <w:sz w:val="24"/>
          <w:highlight w:val="none"/>
          <w:lang w:val="en-US" w:eastAsia="zh-CN"/>
          <w14:textFill>
            <w14:solidFill>
              <w14:schemeClr w14:val="tx1"/>
            </w14:solidFill>
          </w14:textFill>
        </w:rPr>
        <w:t>及集电</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线路塔基等基础采用混凝土直接浇筑的方式施工，浇筑前基础底部铺设防渗膜，可有效防止混凝土养护废水入渗，浇筑后表面洒水润湿进行养护，在养护过程中，养护水被混凝土吸收或自然蒸发，不会因养护水漫流对水源保护区地下水潜水水质造成影响。本项目施工期各类固废均得到资源化、无害化处置，不产生二次污染。</w:t>
      </w:r>
    </w:p>
    <w:p w14:paraId="469CF1C0">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⑤本环评已提出尽量少占用土地及施工后的生态恢复相关要求，同时要求建设单位需对开发活动严格控制，尽可能减少对生态系统的干扰；在项目实施过程中积极采取生态保护措施，加强对生态系统保护和恢复，高度注意保护植被，保护野生动物，保护地貌，维护自然生态环境，积极落实本环评提出的各项生态环境保护措施。</w:t>
      </w:r>
    </w:p>
    <w:p w14:paraId="2EF02E7A">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综上，本项目建设符合《新疆维吾尔自治区主体功能区规划》对于工程区块的定位要求及开发原则，与区域生态功能的保护是协调的。建设项目在新疆维吾尔自治区主体功能区规划图中的位置，见图3.3-2。</w:t>
      </w:r>
    </w:p>
    <w:p w14:paraId="6788A94A">
      <w:pPr>
        <w:bidi w:val="0"/>
        <w:rPr>
          <w:rFonts w:hint="default" w:ascii="Times New Roman" w:hAnsi="Times New Roman" w:cs="Times New Roman"/>
          <w:b/>
          <w:bCs/>
          <w:color w:val="000000" w:themeColor="text1"/>
          <w:sz w:val="24"/>
          <w:szCs w:val="24"/>
          <w:lang w:val="en-US" w:eastAsia="zh-CN"/>
          <w14:textFill>
            <w14:solidFill>
              <w14:schemeClr w14:val="tx1"/>
            </w14:solidFill>
          </w14:textFill>
        </w:rPr>
      </w:pPr>
      <w:bookmarkStart w:id="276" w:name="_Toc391020961"/>
      <w:bookmarkStart w:id="277" w:name="_Toc12035"/>
      <w:bookmarkStart w:id="278" w:name="_Toc15718"/>
      <w:bookmarkStart w:id="279" w:name="_Toc391021360"/>
      <w:bookmarkStart w:id="280" w:name="_Toc8608"/>
      <w:bookmarkStart w:id="281" w:name="_Toc391021186"/>
      <w:r>
        <w:rPr>
          <w:rFonts w:hint="default" w:ascii="Times New Roman" w:hAnsi="Times New Roman" w:cs="Times New Roman"/>
          <w:b/>
          <w:bCs/>
          <w:color w:val="000000" w:themeColor="text1"/>
          <w:sz w:val="24"/>
          <w:szCs w:val="24"/>
          <w:lang w:val="en-US" w:eastAsia="zh-CN"/>
          <w14:textFill>
            <w14:solidFill>
              <w14:schemeClr w14:val="tx1"/>
            </w14:solidFill>
          </w14:textFill>
        </w:rPr>
        <w:t>（2）与《新疆生态功能区划》相符性分析</w:t>
      </w:r>
      <w:bookmarkEnd w:id="276"/>
      <w:bookmarkEnd w:id="277"/>
      <w:bookmarkEnd w:id="278"/>
      <w:bookmarkEnd w:id="279"/>
      <w:bookmarkEnd w:id="280"/>
      <w:bookmarkEnd w:id="281"/>
    </w:p>
    <w:p w14:paraId="3F9E5665">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根据《新疆生态功能区划》，本项目所在区域位于准噶尔盆地温性荒漠与绿洲农业生态区，准噶尔盆地南部荒漠绿洲农业生态亚区，乌鲁木齐城市及城郊农业生态功能区(27)。该功能区主要的特征，见表3.3-2。</w:t>
      </w:r>
    </w:p>
    <w:p w14:paraId="0BDC4ED4">
      <w:pPr>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default" w:ascii="Times New Roman" w:hAnsi="Times New Roman" w:cs="Times New Roman" w:eastAsiaTheme="minorEastAsia"/>
          <w:b/>
          <w:color w:val="000000" w:themeColor="text1"/>
          <w:kern w:val="2"/>
          <w:sz w:val="24"/>
          <w:highlight w:val="none"/>
          <w:lang w:bidi="ar-SA"/>
          <w14:textFill>
            <w14:solidFill>
              <w14:schemeClr w14:val="tx1"/>
            </w14:solidFill>
          </w14:textFill>
        </w:rPr>
      </w:pPr>
      <w:r>
        <w:rPr>
          <w:rFonts w:hint="default" w:ascii="Times New Roman" w:hAnsi="Times New Roman" w:cs="Times New Roman" w:eastAsiaTheme="minorEastAsia"/>
          <w:b/>
          <w:color w:val="000000" w:themeColor="text1"/>
          <w:kern w:val="2"/>
          <w:sz w:val="24"/>
          <w:highlight w:val="none"/>
          <w:lang w:bidi="ar-SA"/>
          <w14:textFill>
            <w14:solidFill>
              <w14:schemeClr w14:val="tx1"/>
            </w14:solidFill>
          </w14:textFill>
        </w:rPr>
        <w:t>表3</w:t>
      </w:r>
      <w:r>
        <w:rPr>
          <w:rFonts w:hint="default" w:ascii="Times New Roman" w:hAnsi="Times New Roman" w:cs="Times New Roman" w:eastAsiaTheme="minorEastAsia"/>
          <w:b/>
          <w:color w:val="000000" w:themeColor="text1"/>
          <w:kern w:val="2"/>
          <w:sz w:val="24"/>
          <w:highlight w:val="none"/>
          <w:lang w:val="en-US" w:eastAsia="zh-CN" w:bidi="ar-SA"/>
          <w14:textFill>
            <w14:solidFill>
              <w14:schemeClr w14:val="tx1"/>
            </w14:solidFill>
          </w14:textFill>
        </w:rPr>
        <w:t xml:space="preserve">.3-2    </w:t>
      </w:r>
      <w:r>
        <w:rPr>
          <w:rFonts w:hint="default" w:ascii="Times New Roman" w:hAnsi="Times New Roman" w:cs="Times New Roman" w:eastAsiaTheme="minorEastAsia"/>
          <w:b/>
          <w:color w:val="000000" w:themeColor="text1"/>
          <w:kern w:val="2"/>
          <w:sz w:val="24"/>
          <w:highlight w:val="none"/>
          <w:lang w:bidi="ar-SA"/>
          <w14:textFill>
            <w14:solidFill>
              <w14:schemeClr w14:val="tx1"/>
            </w14:solidFill>
          </w14:textFill>
        </w:rPr>
        <w:t>本项目所属生态功能区主要特征</w:t>
      </w:r>
    </w:p>
    <w:tbl>
      <w:tblPr>
        <w:tblStyle w:val="75"/>
        <w:tblW w:w="91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91"/>
        <w:gridCol w:w="7181"/>
      </w:tblGrid>
      <w:tr w14:paraId="029E50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4" w:hRule="exact"/>
          <w:jc w:val="center"/>
        </w:trPr>
        <w:tc>
          <w:tcPr>
            <w:tcW w:w="1991" w:type="dxa"/>
            <w:tcBorders>
              <w:tl2br w:val="nil"/>
              <w:tr2bl w:val="nil"/>
            </w:tcBorders>
            <w:vAlign w:val="center"/>
          </w:tcPr>
          <w:p w14:paraId="79DE991F">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val="0"/>
                <w:bCs/>
                <w:snapToGrid w:val="0"/>
                <w:color w:val="000000" w:themeColor="text1"/>
                <w:kern w:val="0"/>
                <w:sz w:val="21"/>
                <w:szCs w:val="21"/>
                <w:highlight w:val="none"/>
                <w:lang w:bidi="ar-SA"/>
                <w14:textFill>
                  <w14:solidFill>
                    <w14:schemeClr w14:val="tx1"/>
                  </w14:solidFill>
                </w14:textFill>
              </w:rPr>
            </w:pPr>
            <w:r>
              <w:rPr>
                <w:rFonts w:hint="default" w:ascii="Times New Roman" w:hAnsi="Times New Roman" w:cs="Times New Roman" w:eastAsiaTheme="minorEastAsia"/>
                <w:b w:val="0"/>
                <w:bCs/>
                <w:snapToGrid w:val="0"/>
                <w:color w:val="000000" w:themeColor="text1"/>
                <w:kern w:val="0"/>
                <w:sz w:val="21"/>
                <w:szCs w:val="21"/>
                <w:highlight w:val="none"/>
                <w:lang w:bidi="ar-SA"/>
                <w14:textFill>
                  <w14:solidFill>
                    <w14:schemeClr w14:val="tx1"/>
                  </w14:solidFill>
                </w14:textFill>
              </w:rPr>
              <w:t>功能区</w:t>
            </w:r>
          </w:p>
        </w:tc>
        <w:tc>
          <w:tcPr>
            <w:tcW w:w="7181" w:type="dxa"/>
            <w:tcBorders>
              <w:tl2br w:val="nil"/>
              <w:tr2bl w:val="nil"/>
            </w:tcBorders>
            <w:vAlign w:val="center"/>
          </w:tcPr>
          <w:p w14:paraId="25727BBD">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val="0"/>
                <w:bCs/>
                <w:snapToGrid w:val="0"/>
                <w:color w:val="000000" w:themeColor="text1"/>
                <w:kern w:val="0"/>
                <w:sz w:val="21"/>
                <w:szCs w:val="21"/>
                <w:highlight w:val="none"/>
                <w:lang w:bidi="ar-SA"/>
                <w14:textFill>
                  <w14:solidFill>
                    <w14:schemeClr w14:val="tx1"/>
                  </w14:solidFill>
                </w14:textFill>
              </w:rPr>
            </w:pPr>
            <w:r>
              <w:rPr>
                <w:rFonts w:hint="default" w:ascii="Times New Roman" w:hAnsi="Times New Roman" w:cs="Times New Roman" w:eastAsiaTheme="minorEastAsia"/>
                <w:b w:val="0"/>
                <w:bCs/>
                <w:snapToGrid w:val="0"/>
                <w:color w:val="000000" w:themeColor="text1"/>
                <w:kern w:val="0"/>
                <w:sz w:val="21"/>
                <w:szCs w:val="21"/>
                <w:highlight w:val="none"/>
                <w:lang w:bidi="ar-SA"/>
                <w14:textFill>
                  <w14:solidFill>
                    <w14:schemeClr w14:val="tx1"/>
                  </w14:solidFill>
                </w14:textFill>
              </w:rPr>
              <w:t>Ⅱ.准噶尔盆地南部荒漠绿洲农业生态亚区 27乌鲁木齐城市及城郊农业生态功能区</w:t>
            </w:r>
          </w:p>
        </w:tc>
      </w:tr>
      <w:tr w14:paraId="654936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991" w:type="dxa"/>
            <w:tcBorders>
              <w:tl2br w:val="nil"/>
              <w:tr2bl w:val="nil"/>
            </w:tcBorders>
            <w:vAlign w:val="center"/>
          </w:tcPr>
          <w:p w14:paraId="457AA12F">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snapToGrid w:val="0"/>
                <w:color w:val="000000" w:themeColor="text1"/>
                <w:kern w:val="0"/>
                <w:sz w:val="21"/>
                <w:szCs w:val="21"/>
                <w:highlight w:val="none"/>
                <w:lang w:bidi="ar-SA"/>
                <w14:textFill>
                  <w14:solidFill>
                    <w14:schemeClr w14:val="tx1"/>
                  </w14:solidFill>
                </w14:textFill>
              </w:rPr>
            </w:pPr>
            <w:r>
              <w:rPr>
                <w:rFonts w:hint="default" w:ascii="Times New Roman" w:hAnsi="Times New Roman" w:cs="Times New Roman" w:eastAsiaTheme="minorEastAsia"/>
                <w:snapToGrid w:val="0"/>
                <w:color w:val="000000" w:themeColor="text1"/>
                <w:kern w:val="0"/>
                <w:sz w:val="21"/>
                <w:szCs w:val="21"/>
                <w:highlight w:val="none"/>
                <w:lang w:bidi="ar-SA"/>
                <w14:textFill>
                  <w14:solidFill>
                    <w14:schemeClr w14:val="tx1"/>
                  </w14:solidFill>
                </w14:textFill>
              </w:rPr>
              <w:t>主要生态服务功能</w:t>
            </w:r>
          </w:p>
        </w:tc>
        <w:tc>
          <w:tcPr>
            <w:tcW w:w="7181" w:type="dxa"/>
            <w:tcBorders>
              <w:tl2br w:val="nil"/>
              <w:tr2bl w:val="nil"/>
            </w:tcBorders>
            <w:vAlign w:val="center"/>
          </w:tcPr>
          <w:p w14:paraId="52A32CA6">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snapToGrid w:val="0"/>
                <w:color w:val="000000" w:themeColor="text1"/>
                <w:kern w:val="0"/>
                <w:sz w:val="21"/>
                <w:szCs w:val="21"/>
                <w:highlight w:val="none"/>
                <w:lang w:bidi="ar-SA"/>
                <w14:textFill>
                  <w14:solidFill>
                    <w14:schemeClr w14:val="tx1"/>
                  </w14:solidFill>
                </w14:textFill>
              </w:rPr>
            </w:pPr>
            <w:r>
              <w:rPr>
                <w:rFonts w:hint="default" w:ascii="Times New Roman" w:hAnsi="Times New Roman" w:cs="Times New Roman" w:eastAsiaTheme="minorEastAsia"/>
                <w:snapToGrid w:val="0"/>
                <w:color w:val="000000" w:themeColor="text1"/>
                <w:kern w:val="0"/>
                <w:sz w:val="21"/>
                <w:szCs w:val="21"/>
                <w:highlight w:val="none"/>
                <w:lang w:val="en-US" w:eastAsia="zh-CN" w:bidi="ar-SA"/>
                <w14:textFill>
                  <w14:solidFill>
                    <w14:schemeClr w14:val="tx1"/>
                  </w14:solidFill>
                </w14:textFill>
              </w:rPr>
              <w:t>人居环境、工农业产品生产、旅游</w:t>
            </w:r>
          </w:p>
          <w:p w14:paraId="310015CF">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snapToGrid w:val="0"/>
                <w:color w:val="000000" w:themeColor="text1"/>
                <w:kern w:val="0"/>
                <w:sz w:val="21"/>
                <w:szCs w:val="21"/>
                <w:highlight w:val="none"/>
                <w:lang w:bidi="ar-SA"/>
                <w14:textFill>
                  <w14:solidFill>
                    <w14:schemeClr w14:val="tx1"/>
                  </w14:solidFill>
                </w14:textFill>
              </w:rPr>
            </w:pPr>
          </w:p>
        </w:tc>
      </w:tr>
      <w:tr w14:paraId="27C916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991" w:type="dxa"/>
            <w:tcBorders>
              <w:tl2br w:val="nil"/>
              <w:tr2bl w:val="nil"/>
            </w:tcBorders>
            <w:vAlign w:val="center"/>
          </w:tcPr>
          <w:p w14:paraId="335F1C00">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snapToGrid w:val="0"/>
                <w:color w:val="000000" w:themeColor="text1"/>
                <w:kern w:val="0"/>
                <w:sz w:val="21"/>
                <w:szCs w:val="21"/>
                <w:highlight w:val="none"/>
                <w:lang w:bidi="ar-SA"/>
                <w14:textFill>
                  <w14:solidFill>
                    <w14:schemeClr w14:val="tx1"/>
                  </w14:solidFill>
                </w14:textFill>
              </w:rPr>
            </w:pPr>
            <w:r>
              <w:rPr>
                <w:rFonts w:hint="default" w:ascii="Times New Roman" w:hAnsi="Times New Roman" w:cs="Times New Roman" w:eastAsiaTheme="minorEastAsia"/>
                <w:snapToGrid w:val="0"/>
                <w:color w:val="000000" w:themeColor="text1"/>
                <w:kern w:val="0"/>
                <w:sz w:val="21"/>
                <w:szCs w:val="21"/>
                <w:highlight w:val="none"/>
                <w:lang w:bidi="ar-SA"/>
                <w14:textFill>
                  <w14:solidFill>
                    <w14:schemeClr w14:val="tx1"/>
                  </w14:solidFill>
                </w14:textFill>
              </w:rPr>
              <w:t>主要生态环境问题</w:t>
            </w:r>
          </w:p>
        </w:tc>
        <w:tc>
          <w:tcPr>
            <w:tcW w:w="7181" w:type="dxa"/>
            <w:tcBorders>
              <w:tl2br w:val="nil"/>
              <w:tr2bl w:val="nil"/>
            </w:tcBorders>
            <w:vAlign w:val="center"/>
          </w:tcPr>
          <w:p w14:paraId="712E3DCC">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snapToGrid w:val="0"/>
                <w:color w:val="000000" w:themeColor="text1"/>
                <w:kern w:val="0"/>
                <w:sz w:val="21"/>
                <w:szCs w:val="21"/>
                <w:highlight w:val="none"/>
                <w:lang w:bidi="ar-SA"/>
                <w14:textFill>
                  <w14:solidFill>
                    <w14:schemeClr w14:val="tx1"/>
                  </w14:solidFill>
                </w14:textFill>
              </w:rPr>
            </w:pPr>
            <w:r>
              <w:rPr>
                <w:rFonts w:hint="default" w:ascii="Times New Roman" w:hAnsi="Times New Roman" w:cs="Times New Roman" w:eastAsiaTheme="minorEastAsia"/>
                <w:snapToGrid w:val="0"/>
                <w:color w:val="000000" w:themeColor="text1"/>
                <w:kern w:val="0"/>
                <w:sz w:val="21"/>
                <w:szCs w:val="21"/>
                <w:highlight w:val="none"/>
                <w:lang w:bidi="ar-SA"/>
                <w14:textFill>
                  <w14:solidFill>
                    <w14:schemeClr w14:val="tx1"/>
                  </w14:solidFill>
                </w14:textFill>
              </w:rPr>
              <w:t>大气污染严重、水质污染、城市绿化面积不足、供水紧缺、湿地萎缩、土壤质量下降</w:t>
            </w:r>
          </w:p>
        </w:tc>
      </w:tr>
      <w:tr w14:paraId="2BDE02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991" w:type="dxa"/>
            <w:tcBorders>
              <w:tl2br w:val="nil"/>
              <w:tr2bl w:val="nil"/>
            </w:tcBorders>
            <w:vAlign w:val="center"/>
          </w:tcPr>
          <w:p w14:paraId="40939B83">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snapToGrid w:val="0"/>
                <w:color w:val="000000" w:themeColor="text1"/>
                <w:kern w:val="0"/>
                <w:sz w:val="21"/>
                <w:szCs w:val="21"/>
                <w:highlight w:val="none"/>
                <w:lang w:bidi="ar-SA"/>
                <w14:textFill>
                  <w14:solidFill>
                    <w14:schemeClr w14:val="tx1"/>
                  </w14:solidFill>
                </w14:textFill>
              </w:rPr>
            </w:pPr>
            <w:r>
              <w:rPr>
                <w:rFonts w:hint="default" w:ascii="Times New Roman" w:hAnsi="Times New Roman" w:cs="Times New Roman" w:eastAsiaTheme="minorEastAsia"/>
                <w:snapToGrid w:val="0"/>
                <w:color w:val="000000" w:themeColor="text1"/>
                <w:kern w:val="0"/>
                <w:sz w:val="21"/>
                <w:szCs w:val="21"/>
                <w:highlight w:val="none"/>
                <w:lang w:bidi="ar-SA"/>
                <w14:textFill>
                  <w14:solidFill>
                    <w14:schemeClr w14:val="tx1"/>
                  </w14:solidFill>
                </w14:textFill>
              </w:rPr>
              <w:t>主要生态敏感因子、敏感程度</w:t>
            </w:r>
          </w:p>
        </w:tc>
        <w:tc>
          <w:tcPr>
            <w:tcW w:w="7181" w:type="dxa"/>
            <w:tcBorders>
              <w:tl2br w:val="nil"/>
              <w:tr2bl w:val="nil"/>
            </w:tcBorders>
            <w:vAlign w:val="center"/>
          </w:tcPr>
          <w:p w14:paraId="575A2EF7">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snapToGrid w:val="0"/>
                <w:color w:val="000000" w:themeColor="text1"/>
                <w:kern w:val="0"/>
                <w:sz w:val="21"/>
                <w:szCs w:val="21"/>
                <w:highlight w:val="none"/>
                <w:lang w:bidi="ar-SA"/>
                <w14:textFill>
                  <w14:solidFill>
                    <w14:schemeClr w14:val="tx1"/>
                  </w14:solidFill>
                </w14:textFill>
              </w:rPr>
            </w:pPr>
            <w:r>
              <w:rPr>
                <w:rFonts w:hint="default" w:ascii="Times New Roman" w:hAnsi="Times New Roman" w:cs="Times New Roman" w:eastAsiaTheme="minorEastAsia"/>
                <w:snapToGrid w:val="0"/>
                <w:color w:val="000000" w:themeColor="text1"/>
                <w:kern w:val="0"/>
                <w:sz w:val="21"/>
                <w:szCs w:val="21"/>
                <w:highlight w:val="none"/>
                <w:lang w:bidi="ar-SA"/>
                <w14:textFill>
                  <w14:solidFill>
                    <w14:schemeClr w14:val="tx1"/>
                  </w14:solidFill>
                </w14:textFill>
              </w:rPr>
              <w:t>生物多样性及其生境中度敏感</w:t>
            </w:r>
          </w:p>
        </w:tc>
      </w:tr>
      <w:tr w14:paraId="5A42E6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exact"/>
          <w:jc w:val="center"/>
        </w:trPr>
        <w:tc>
          <w:tcPr>
            <w:tcW w:w="1991" w:type="dxa"/>
            <w:tcBorders>
              <w:tl2br w:val="nil"/>
              <w:tr2bl w:val="nil"/>
            </w:tcBorders>
            <w:vAlign w:val="center"/>
          </w:tcPr>
          <w:p w14:paraId="38779EB7">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snapToGrid w:val="0"/>
                <w:color w:val="000000" w:themeColor="text1"/>
                <w:kern w:val="0"/>
                <w:sz w:val="21"/>
                <w:szCs w:val="21"/>
                <w:highlight w:val="none"/>
                <w:lang w:bidi="ar-SA"/>
                <w14:textFill>
                  <w14:solidFill>
                    <w14:schemeClr w14:val="tx1"/>
                  </w14:solidFill>
                </w14:textFill>
              </w:rPr>
            </w:pPr>
            <w:r>
              <w:rPr>
                <w:rFonts w:hint="default" w:ascii="Times New Roman" w:hAnsi="Times New Roman" w:cs="Times New Roman" w:eastAsiaTheme="minorEastAsia"/>
                <w:snapToGrid w:val="0"/>
                <w:color w:val="000000" w:themeColor="text1"/>
                <w:kern w:val="0"/>
                <w:sz w:val="21"/>
                <w:szCs w:val="21"/>
                <w:highlight w:val="none"/>
                <w:lang w:bidi="ar-SA"/>
                <w14:textFill>
                  <w14:solidFill>
                    <w14:schemeClr w14:val="tx1"/>
                  </w14:solidFill>
                </w14:textFill>
              </w:rPr>
              <w:t>主要保护目标</w:t>
            </w:r>
          </w:p>
        </w:tc>
        <w:tc>
          <w:tcPr>
            <w:tcW w:w="7181" w:type="dxa"/>
            <w:tcBorders>
              <w:tl2br w:val="nil"/>
              <w:tr2bl w:val="nil"/>
            </w:tcBorders>
            <w:vAlign w:val="center"/>
          </w:tcPr>
          <w:p w14:paraId="3D8035F7">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snapToGrid w:val="0"/>
                <w:color w:val="000000" w:themeColor="text1"/>
                <w:kern w:val="0"/>
                <w:sz w:val="21"/>
                <w:szCs w:val="21"/>
                <w:highlight w:val="none"/>
                <w:lang w:bidi="ar-SA"/>
                <w14:textFill>
                  <w14:solidFill>
                    <w14:schemeClr w14:val="tx1"/>
                  </w14:solidFill>
                </w14:textFill>
              </w:rPr>
            </w:pPr>
            <w:r>
              <w:rPr>
                <w:rFonts w:hint="default" w:ascii="Times New Roman" w:hAnsi="Times New Roman" w:cs="Times New Roman" w:eastAsiaTheme="minorEastAsia"/>
                <w:snapToGrid w:val="0"/>
                <w:color w:val="000000" w:themeColor="text1"/>
                <w:kern w:val="0"/>
                <w:sz w:val="21"/>
                <w:szCs w:val="21"/>
                <w:highlight w:val="none"/>
                <w:lang w:bidi="ar-SA"/>
                <w14:textFill>
                  <w14:solidFill>
                    <w14:schemeClr w14:val="tx1"/>
                  </w14:solidFill>
                </w14:textFill>
              </w:rPr>
              <w:t>保护水源地、保护城市大气和水环境质量、保护城市绿地及景观多样性</w:t>
            </w:r>
          </w:p>
        </w:tc>
      </w:tr>
      <w:tr w14:paraId="311D82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991" w:type="dxa"/>
            <w:tcBorders>
              <w:tl2br w:val="nil"/>
              <w:tr2bl w:val="nil"/>
            </w:tcBorders>
            <w:vAlign w:val="center"/>
          </w:tcPr>
          <w:p w14:paraId="20FEA555">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snapToGrid w:val="0"/>
                <w:color w:val="000000" w:themeColor="text1"/>
                <w:kern w:val="0"/>
                <w:sz w:val="21"/>
                <w:szCs w:val="21"/>
                <w:highlight w:val="none"/>
                <w:lang w:bidi="ar-SA"/>
                <w14:textFill>
                  <w14:solidFill>
                    <w14:schemeClr w14:val="tx1"/>
                  </w14:solidFill>
                </w14:textFill>
              </w:rPr>
            </w:pPr>
            <w:r>
              <w:rPr>
                <w:rFonts w:hint="default" w:ascii="Times New Roman" w:hAnsi="Times New Roman" w:cs="Times New Roman" w:eastAsiaTheme="minorEastAsia"/>
                <w:snapToGrid w:val="0"/>
                <w:color w:val="000000" w:themeColor="text1"/>
                <w:kern w:val="0"/>
                <w:sz w:val="21"/>
                <w:szCs w:val="21"/>
                <w:highlight w:val="none"/>
                <w:lang w:bidi="ar-SA"/>
                <w14:textFill>
                  <w14:solidFill>
                    <w14:schemeClr w14:val="tx1"/>
                  </w14:solidFill>
                </w14:textFill>
              </w:rPr>
              <w:t>主要保护措施</w:t>
            </w:r>
          </w:p>
        </w:tc>
        <w:tc>
          <w:tcPr>
            <w:tcW w:w="7181" w:type="dxa"/>
            <w:tcBorders>
              <w:tl2br w:val="nil"/>
              <w:tr2bl w:val="nil"/>
            </w:tcBorders>
            <w:vAlign w:val="center"/>
          </w:tcPr>
          <w:p w14:paraId="635DF5BA">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snapToGrid w:val="0"/>
                <w:color w:val="000000" w:themeColor="text1"/>
                <w:kern w:val="0"/>
                <w:sz w:val="21"/>
                <w:szCs w:val="21"/>
                <w:highlight w:val="none"/>
                <w:lang w:eastAsia="zh-CN" w:bidi="ar-SA"/>
                <w14:textFill>
                  <w14:solidFill>
                    <w14:schemeClr w14:val="tx1"/>
                  </w14:solidFill>
                </w14:textFill>
              </w:rPr>
            </w:pPr>
            <w:r>
              <w:rPr>
                <w:rFonts w:hint="default" w:ascii="Times New Roman" w:hAnsi="Times New Roman" w:cs="Times New Roman" w:eastAsiaTheme="minorEastAsia"/>
                <w:snapToGrid w:val="0"/>
                <w:color w:val="000000" w:themeColor="text1"/>
                <w:kern w:val="0"/>
                <w:sz w:val="21"/>
                <w:szCs w:val="21"/>
                <w:highlight w:val="none"/>
                <w:lang w:bidi="ar-SA"/>
                <w14:textFill>
                  <w14:solidFill>
                    <w14:schemeClr w14:val="tx1"/>
                  </w14:solidFill>
                </w14:textFill>
              </w:rPr>
              <w:t>保护水源地、保护城市大气和水环境质量、保护城市绿地及景观多样性</w:t>
            </w:r>
          </w:p>
        </w:tc>
      </w:tr>
      <w:tr w14:paraId="781093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91" w:type="dxa"/>
            <w:tcBorders>
              <w:tl2br w:val="nil"/>
              <w:tr2bl w:val="nil"/>
            </w:tcBorders>
            <w:vAlign w:val="center"/>
          </w:tcPr>
          <w:p w14:paraId="3BC9538B">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snapToGrid w:val="0"/>
                <w:color w:val="000000" w:themeColor="text1"/>
                <w:kern w:val="0"/>
                <w:sz w:val="21"/>
                <w:szCs w:val="21"/>
                <w:highlight w:val="none"/>
                <w:lang w:bidi="ar-SA"/>
                <w14:textFill>
                  <w14:solidFill>
                    <w14:schemeClr w14:val="tx1"/>
                  </w14:solidFill>
                </w14:textFill>
              </w:rPr>
            </w:pPr>
            <w:r>
              <w:rPr>
                <w:rFonts w:hint="default" w:ascii="Times New Roman" w:hAnsi="Times New Roman" w:cs="Times New Roman" w:eastAsiaTheme="minorEastAsia"/>
                <w:snapToGrid w:val="0"/>
                <w:color w:val="000000" w:themeColor="text1"/>
                <w:kern w:val="0"/>
                <w:sz w:val="21"/>
                <w:szCs w:val="21"/>
                <w:highlight w:val="none"/>
                <w:lang w:bidi="ar-SA"/>
                <w14:textFill>
                  <w14:solidFill>
                    <w14:schemeClr w14:val="tx1"/>
                  </w14:solidFill>
                </w14:textFill>
              </w:rPr>
              <w:t>适宜发展方向</w:t>
            </w:r>
          </w:p>
        </w:tc>
        <w:tc>
          <w:tcPr>
            <w:tcW w:w="7181" w:type="dxa"/>
            <w:tcBorders>
              <w:tl2br w:val="nil"/>
              <w:tr2bl w:val="nil"/>
            </w:tcBorders>
            <w:vAlign w:val="center"/>
          </w:tcPr>
          <w:p w14:paraId="24EA783B">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snapToGrid w:val="0"/>
                <w:color w:val="000000" w:themeColor="text1"/>
                <w:kern w:val="0"/>
                <w:sz w:val="21"/>
                <w:szCs w:val="21"/>
                <w:highlight w:val="none"/>
                <w:lang w:val="en-US" w:bidi="ar-SA"/>
                <w14:textFill>
                  <w14:solidFill>
                    <w14:schemeClr w14:val="tx1"/>
                  </w14:solidFill>
                </w14:textFill>
              </w:rPr>
            </w:pPr>
            <w:r>
              <w:rPr>
                <w:rFonts w:hint="default" w:ascii="Times New Roman" w:hAnsi="Times New Roman" w:cs="Times New Roman" w:eastAsiaTheme="minorEastAsia"/>
                <w:snapToGrid w:val="0"/>
                <w:color w:val="000000" w:themeColor="text1"/>
                <w:kern w:val="0"/>
                <w:sz w:val="21"/>
                <w:szCs w:val="21"/>
                <w:highlight w:val="none"/>
                <w:lang w:val="en-US" w:eastAsia="zh-CN" w:bidi="ar-SA"/>
                <w14:textFill>
                  <w14:solidFill>
                    <w14:schemeClr w14:val="tx1"/>
                  </w14:solidFill>
                </w14:textFill>
              </w:rPr>
              <w:t>加强城市生态建设，发展成中国西部文化、商贸、旅游国际化大都市，发展城郊农业及养殖业</w:t>
            </w:r>
          </w:p>
        </w:tc>
      </w:tr>
    </w:tbl>
    <w:p w14:paraId="75B9CDBB">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p>
    <w:p w14:paraId="11D3B1C6">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本项目属于风电项目，项目区地势较开阔，无泥石流及滑坡等问题，土地利用类型为</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天然牧草地</w:t>
      </w:r>
      <w:r>
        <w:rPr>
          <w:rFonts w:hint="eastAsia" w:cs="Times New Roman" w:eastAsiaTheme="minorEastAsia"/>
          <w:color w:val="000000" w:themeColor="text1"/>
          <w:sz w:val="24"/>
          <w:highlight w:val="none"/>
          <w:lang w:val="en-US" w:eastAsia="zh-CN"/>
          <w14:textFill>
            <w14:solidFill>
              <w14:schemeClr w14:val="tx1"/>
            </w14:solidFill>
          </w14:textFill>
        </w:rPr>
        <w:t>、其他草地、水浇地、其他林地、采矿用地</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地表多砾幕覆盖，零星生长盐穗木、合头草、蒿叶猪毛菜、木本猪毛菜、梭梭柴等荒漠植物，植被盖度10%。由于本项目大部分建设区域处在人类活动较多的地区，故大型野生动物少见，只偶见一些小的动物和飞禽，如鼠、蜥蜴、麻雀等动物。本项目所在区域无国家及自治区级野生保护动物，无国家及自治区保护的珍稀、濒危物种分布。本项目在新疆生态功能区划图中的位置，见图3.3-3。</w:t>
      </w:r>
    </w:p>
    <w:p w14:paraId="77C0D155">
      <w:pPr>
        <w:bidi w:val="0"/>
        <w:rPr>
          <w:rFonts w:hint="default" w:ascii="Times New Roman" w:hAnsi="Times New Roman" w:cs="Times New Roman"/>
          <w:b/>
          <w:bCs/>
          <w:color w:val="000000" w:themeColor="text1"/>
          <w:lang w:val="en-US" w:eastAsia="zh-CN"/>
          <w14:textFill>
            <w14:solidFill>
              <w14:schemeClr w14:val="tx1"/>
            </w14:solidFill>
          </w14:textFill>
        </w:rPr>
      </w:pPr>
      <w:bookmarkStart w:id="282" w:name="_Toc16249"/>
    </w:p>
    <w:p w14:paraId="4E541BF3">
      <w:pPr>
        <w:bidi w:val="0"/>
        <w:rPr>
          <w:rFonts w:hint="default" w:ascii="Times New Roman" w:hAnsi="Times New Roman" w:cs="Times New Roman"/>
          <w:b/>
          <w:bCs/>
          <w:color w:val="FF0000"/>
          <w:lang w:val="en-US" w:eastAsia="zh-CN"/>
        </w:rPr>
      </w:pPr>
    </w:p>
    <w:p w14:paraId="47B1D9EF">
      <w:pPr>
        <w:bidi w:val="0"/>
        <w:rPr>
          <w:rFonts w:hint="default" w:ascii="Times New Roman" w:hAnsi="Times New Roman" w:cs="Times New Roman"/>
          <w:b/>
          <w:bCs/>
          <w:color w:val="FF0000"/>
          <w:lang w:val="en-US" w:eastAsia="zh-CN"/>
        </w:rPr>
      </w:pPr>
    </w:p>
    <w:bookmarkEnd w:id="282"/>
    <w:p w14:paraId="3676C746">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FF0000"/>
          <w:sz w:val="24"/>
          <w:highlight w:val="none"/>
          <w:lang w:val="en-US" w:eastAsia="zh-CN"/>
        </w:rPr>
        <w:sectPr>
          <w:footerReference r:id="rId12" w:type="default"/>
          <w:pgSz w:w="11906" w:h="16838"/>
          <w:pgMar w:top="1418" w:right="1361" w:bottom="1418" w:left="1587" w:header="1134" w:footer="992" w:gutter="0"/>
          <w:pgBorders>
            <w:top w:val="none" w:sz="0" w:space="0"/>
            <w:left w:val="none" w:sz="0" w:space="0"/>
            <w:bottom w:val="none" w:sz="0" w:space="0"/>
            <w:right w:val="none" w:sz="0" w:space="0"/>
          </w:pgBorders>
          <w:pgNumType w:fmt="decimal"/>
          <w:cols w:space="720" w:num="1"/>
          <w:docGrid w:type="linesAndChars" w:linePitch="312" w:charSpace="0"/>
        </w:sectPr>
      </w:pPr>
    </w:p>
    <w:p w14:paraId="28147D51">
      <w:pPr>
        <w:pStyle w:val="8"/>
        <w:ind w:left="0" w:leftChars="0" w:firstLine="0" w:firstLineChars="0"/>
        <w:jc w:val="center"/>
        <w:rPr>
          <w:rFonts w:hint="default" w:ascii="Times New Roman" w:hAnsi="Times New Roman" w:cs="Times New Roman" w:eastAsiaTheme="minorEastAsia"/>
          <w:b/>
          <w:color w:val="FF0000"/>
          <w:sz w:val="21"/>
          <w:szCs w:val="21"/>
          <w:highlight w:val="none"/>
        </w:rPr>
      </w:pPr>
      <w:r>
        <w:rPr>
          <w:rFonts w:hint="default" w:ascii="Times New Roman" w:hAnsi="Times New Roman" w:cs="Times New Roman" w:eastAsiaTheme="minorEastAsia"/>
          <w:color w:val="FF0000"/>
          <w:sz w:val="21"/>
          <w:highlight w:val="none"/>
        </w:rPr>
        <mc:AlternateContent>
          <mc:Choice Requires="wps">
            <w:drawing>
              <wp:anchor distT="0" distB="0" distL="114300" distR="114300" simplePos="0" relativeHeight="251670528" behindDoc="0" locked="0" layoutInCell="1" allowOverlap="1">
                <wp:simplePos x="0" y="0"/>
                <wp:positionH relativeFrom="column">
                  <wp:posOffset>4613275</wp:posOffset>
                </wp:positionH>
                <wp:positionV relativeFrom="paragraph">
                  <wp:posOffset>1817370</wp:posOffset>
                </wp:positionV>
                <wp:extent cx="75565" cy="75565"/>
                <wp:effectExtent l="4445" t="4445" r="15240" b="15240"/>
                <wp:wrapNone/>
                <wp:docPr id="158" name="椭圆 158"/>
                <wp:cNvGraphicFramePr/>
                <a:graphic xmlns:a="http://schemas.openxmlformats.org/drawingml/2006/main">
                  <a:graphicData uri="http://schemas.microsoft.com/office/word/2010/wordprocessingShape">
                    <wps:wsp>
                      <wps:cNvSpPr/>
                      <wps:spPr>
                        <a:xfrm>
                          <a:off x="0" y="0"/>
                          <a:ext cx="75565" cy="75565"/>
                        </a:xfrm>
                        <a:prstGeom prst="ellipse">
                          <a:avLst/>
                        </a:prstGeom>
                        <a:solidFill>
                          <a:srgbClr val="FF0000"/>
                        </a:solidFill>
                        <a:ln w="3175">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63.25pt;margin-top:143.1pt;height:5.95pt;width:5.95pt;z-index:251670528;v-text-anchor:middle;mso-width-relative:page;mso-height-relative:page;" fillcolor="#FF0000" filled="t" stroked="t" coordsize="21600,21600" o:gfxdata="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ncnb72wAAAAsBAAAPAAAAAAAAAAEAIAAAACIAAABkcnMvZG93bnJldi54bWxQSwEC&#10;FAAUAAAACACHTuJANzKMK2MCAADgBAAADgAAAAAAAAABACAAAAAqAQAAZHJzL2Uyb0RvYy54bWxQ&#10;SwUGAAAAAAYABgBZAQAA/wUAAAAA&#10;">
                <v:fill on="t" focussize="0,0"/>
                <v:stroke weight="0.25pt" color="#000000 [3213]" joinstyle="round"/>
                <v:imagedata o:title=""/>
                <o:lock v:ext="edit" aspectratio="f"/>
              </v:shape>
            </w:pict>
          </mc:Fallback>
        </mc:AlternateContent>
      </w:r>
      <w:r>
        <w:rPr>
          <w:rFonts w:hint="default" w:ascii="Times New Roman" w:hAnsi="Times New Roman" w:cs="Times New Roman" w:eastAsiaTheme="minorEastAsia"/>
          <w:color w:val="FF0000"/>
          <w:sz w:val="21"/>
          <w:highlight w:val="none"/>
        </w:rPr>
        <mc:AlternateContent>
          <mc:Choice Requires="wps">
            <w:drawing>
              <wp:anchor distT="0" distB="0" distL="114300" distR="114300" simplePos="0" relativeHeight="251671552" behindDoc="0" locked="0" layoutInCell="1" allowOverlap="1">
                <wp:simplePos x="0" y="0"/>
                <wp:positionH relativeFrom="column">
                  <wp:posOffset>5262880</wp:posOffset>
                </wp:positionH>
                <wp:positionV relativeFrom="paragraph">
                  <wp:posOffset>894715</wp:posOffset>
                </wp:positionV>
                <wp:extent cx="742315" cy="390525"/>
                <wp:effectExtent l="623570" t="12700" r="24765" b="587375"/>
                <wp:wrapNone/>
                <wp:docPr id="157" name="圆角矩形标注 157"/>
                <wp:cNvGraphicFramePr/>
                <a:graphic xmlns:a="http://schemas.openxmlformats.org/drawingml/2006/main">
                  <a:graphicData uri="http://schemas.microsoft.com/office/word/2010/wordprocessingShape">
                    <wps:wsp>
                      <wps:cNvSpPr/>
                      <wps:spPr>
                        <a:xfrm>
                          <a:off x="0" y="0"/>
                          <a:ext cx="742315" cy="390525"/>
                        </a:xfrm>
                        <a:prstGeom prst="wedgeRoundRectCallout">
                          <a:avLst>
                            <a:gd name="adj1" fmla="val -132292"/>
                            <a:gd name="adj2" fmla="val 194390"/>
                            <a:gd name="adj3" fmla="val 16667"/>
                          </a:avLst>
                        </a:prstGeom>
                      </wps:spPr>
                      <wps:style>
                        <a:lnRef idx="2">
                          <a:schemeClr val="accent1">
                            <a:lumMod val="75000"/>
                          </a:schemeClr>
                        </a:lnRef>
                        <a:fillRef idx="1">
                          <a:schemeClr val="accent1"/>
                        </a:fillRef>
                        <a:effectRef idx="0">
                          <a:srgbClr val="FFFFFF"/>
                        </a:effectRef>
                        <a:fontRef idx="minor">
                          <a:schemeClr val="lt1"/>
                        </a:fontRef>
                      </wps:style>
                      <wps:txbx>
                        <w:txbxContent>
                          <w:p w14:paraId="003BAB89">
                            <w:pPr>
                              <w:spacing w:line="240" w:lineRule="auto"/>
                              <w:ind w:left="0" w:leftChars="0" w:firstLine="0" w:firstLineChars="0"/>
                              <w:jc w:val="both"/>
                              <w:rPr>
                                <w:rFonts w:hint="eastAsia" w:eastAsia="宋体"/>
                                <w:lang w:val="en-US" w:eastAsia="zh-CN"/>
                              </w:rPr>
                            </w:pPr>
                            <w:r>
                              <w:rPr>
                                <w:rFonts w:hint="eastAsia"/>
                                <w:sz w:val="18"/>
                                <w:szCs w:val="18"/>
                                <w:lang w:val="en-US" w:eastAsia="zh-CN"/>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414.4pt;margin-top:70.45pt;height:30.75pt;width:58.45pt;z-index:251671552;v-text-anchor:middle;mso-width-relative:page;mso-height-relative:page;" fillcolor="#4F81BD [3204]" filled="t" stroked="t" coordsize="21600,21600" o:gfxdata="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NDi/NdgAAAALAQAADwAAAAAAAAABACAAAAAiAAAAZHJzL2Rvd25yZXYueG1sUEsBAhQAFAAA&#10;AAgAh07iQHggzA7TAgAAogUAAA4AAAAAAAAAAQAgAAAAJwEAAGRycy9lMm9Eb2MueG1sUEsFBgAA&#10;AAAGAAYAWQEAAGwGAAAAAA==&#10;" adj="-17775,52788,14400">
                <v:fill on="t" focussize="0,0"/>
                <v:stroke weight="2pt" color="#376092 [2404]" joinstyle="round"/>
                <v:imagedata o:title=""/>
                <o:lock v:ext="edit" aspectratio="f"/>
                <v:textbox>
                  <w:txbxContent>
                    <w:p w14:paraId="003BAB89">
                      <w:pPr>
                        <w:spacing w:line="240" w:lineRule="auto"/>
                        <w:ind w:left="0" w:leftChars="0" w:firstLine="0" w:firstLineChars="0"/>
                        <w:jc w:val="both"/>
                        <w:rPr>
                          <w:rFonts w:hint="eastAsia" w:eastAsia="宋体"/>
                          <w:lang w:val="en-US" w:eastAsia="zh-CN"/>
                        </w:rPr>
                      </w:pPr>
                      <w:r>
                        <w:rPr>
                          <w:rFonts w:hint="eastAsia"/>
                          <w:sz w:val="18"/>
                          <w:szCs w:val="18"/>
                          <w:lang w:val="en-US" w:eastAsia="zh-CN"/>
                        </w:rPr>
                        <w:t>本项目</w:t>
                      </w:r>
                    </w:p>
                  </w:txbxContent>
                </v:textbox>
              </v:shape>
            </w:pict>
          </mc:Fallback>
        </mc:AlternateContent>
      </w:r>
      <w:r>
        <w:rPr>
          <w:rFonts w:hint="default" w:ascii="Times New Roman" w:hAnsi="Times New Roman" w:cs="Times New Roman" w:eastAsiaTheme="minorEastAsia"/>
          <w:b/>
          <w:color w:val="FF0000"/>
          <w:sz w:val="21"/>
          <w:szCs w:val="21"/>
          <w:highlight w:val="none"/>
        </w:rPr>
        <w:drawing>
          <wp:inline distT="0" distB="0" distL="114300" distR="114300">
            <wp:extent cx="7541895" cy="4894580"/>
            <wp:effectExtent l="19050" t="19050" r="28575" b="24130"/>
            <wp:docPr id="97" name="图片 353" descr="12新疆主体功能区划分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353" descr="12新疆主体功能区划分总图"/>
                    <pic:cNvPicPr>
                      <a:picLocks noChangeAspect="1"/>
                    </pic:cNvPicPr>
                  </pic:nvPicPr>
                  <pic:blipFill>
                    <a:blip r:embed="rId30"/>
                    <a:stretch>
                      <a:fillRect/>
                    </a:stretch>
                  </pic:blipFill>
                  <pic:spPr>
                    <a:xfrm>
                      <a:off x="0" y="0"/>
                      <a:ext cx="7541895" cy="4894580"/>
                    </a:xfrm>
                    <a:prstGeom prst="rect">
                      <a:avLst/>
                    </a:prstGeom>
                    <a:noFill/>
                    <a:ln w="19050" cap="flat" cmpd="sng">
                      <a:solidFill>
                        <a:schemeClr val="tx1"/>
                      </a:solidFill>
                      <a:prstDash val="solid"/>
                      <a:miter/>
                      <a:headEnd type="none" w="med" len="med"/>
                      <a:tailEnd type="none" w="med" len="med"/>
                    </a:ln>
                  </pic:spPr>
                </pic:pic>
              </a:graphicData>
            </a:graphic>
          </wp:inline>
        </w:drawing>
      </w:r>
    </w:p>
    <w:p w14:paraId="1CCB6FCD">
      <w:pPr>
        <w:pStyle w:val="8"/>
        <w:ind w:left="0" w:leftChars="0" w:firstLine="0" w:firstLineChars="0"/>
        <w:jc w:val="center"/>
        <w:rPr>
          <w:rFonts w:hint="default" w:ascii="Times New Roman" w:hAnsi="Times New Roman" w:cs="Times New Roman" w:eastAsiaTheme="minorEastAsia"/>
          <w:color w:val="FF0000"/>
          <w:sz w:val="21"/>
          <w:szCs w:val="21"/>
          <w:highlight w:val="none"/>
        </w:rPr>
      </w:pPr>
      <w:r>
        <w:rPr>
          <w:rFonts w:hint="default" w:ascii="Times New Roman" w:hAnsi="Times New Roman" w:cs="Times New Roman" w:eastAsiaTheme="minorEastAsia"/>
          <w:b/>
          <w:snapToGrid w:val="0"/>
          <w:color w:val="000000" w:themeColor="text1"/>
          <w:kern w:val="0"/>
          <w:sz w:val="24"/>
          <w:highlight w:val="none"/>
          <w:lang w:val="en-US" w:eastAsia="zh-CN"/>
          <w14:textFill>
            <w14:solidFill>
              <w14:schemeClr w14:val="tx1"/>
            </w14:solidFill>
          </w14:textFill>
        </w:rPr>
        <w:t>图3.3-2    本项目在主体功能区划中的位置</w:t>
      </w:r>
      <w:r>
        <w:rPr>
          <w:rFonts w:hint="default" w:ascii="Times New Roman" w:hAnsi="Times New Roman" w:cs="Times New Roman" w:eastAsiaTheme="minorEastAsia"/>
          <w:color w:val="FF0000"/>
          <w:sz w:val="21"/>
          <w:highlight w:val="none"/>
        </w:rPr>
        <mc:AlternateContent>
          <mc:Choice Requires="wps">
            <w:drawing>
              <wp:anchor distT="0" distB="0" distL="114300" distR="114300" simplePos="0" relativeHeight="251669504" behindDoc="0" locked="0" layoutInCell="1" allowOverlap="1">
                <wp:simplePos x="0" y="0"/>
                <wp:positionH relativeFrom="column">
                  <wp:posOffset>5024755</wp:posOffset>
                </wp:positionH>
                <wp:positionV relativeFrom="paragraph">
                  <wp:posOffset>1085850</wp:posOffset>
                </wp:positionV>
                <wp:extent cx="742315" cy="390525"/>
                <wp:effectExtent l="623570" t="12700" r="24765" b="587375"/>
                <wp:wrapNone/>
                <wp:docPr id="156" name="圆角矩形标注 156"/>
                <wp:cNvGraphicFramePr/>
                <a:graphic xmlns:a="http://schemas.openxmlformats.org/drawingml/2006/main">
                  <a:graphicData uri="http://schemas.microsoft.com/office/word/2010/wordprocessingShape">
                    <wps:wsp>
                      <wps:cNvSpPr/>
                      <wps:spPr>
                        <a:xfrm>
                          <a:off x="6115685" y="1986280"/>
                          <a:ext cx="742315" cy="390525"/>
                        </a:xfrm>
                        <a:prstGeom prst="wedgeRoundRectCallout">
                          <a:avLst>
                            <a:gd name="adj1" fmla="val -132292"/>
                            <a:gd name="adj2" fmla="val 194390"/>
                            <a:gd name="adj3" fmla="val 16667"/>
                          </a:avLst>
                        </a:prstGeom>
                      </wps:spPr>
                      <wps:style>
                        <a:lnRef idx="2">
                          <a:schemeClr val="accent1">
                            <a:lumMod val="75000"/>
                          </a:schemeClr>
                        </a:lnRef>
                        <a:fillRef idx="1">
                          <a:schemeClr val="accent1"/>
                        </a:fillRef>
                        <a:effectRef idx="0">
                          <a:srgbClr val="FFFFFF"/>
                        </a:effectRef>
                        <a:fontRef idx="minor">
                          <a:schemeClr val="lt1"/>
                        </a:fontRef>
                      </wps:style>
                      <wps:txbx>
                        <w:txbxContent>
                          <w:p w14:paraId="4266811F">
                            <w:pPr>
                              <w:spacing w:line="240" w:lineRule="auto"/>
                              <w:ind w:left="0" w:leftChars="0" w:firstLine="0" w:firstLineChars="0"/>
                              <w:jc w:val="both"/>
                              <w:rPr>
                                <w:rFonts w:hint="eastAsia" w:eastAsia="宋体"/>
                                <w:lang w:val="en-US" w:eastAsia="zh-CN"/>
                              </w:rPr>
                            </w:pPr>
                            <w:r>
                              <w:rPr>
                                <w:rFonts w:hint="eastAsia"/>
                                <w:sz w:val="18"/>
                                <w:szCs w:val="18"/>
                                <w:lang w:val="en-US" w:eastAsia="zh-CN"/>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395.65pt;margin-top:85.5pt;height:30.75pt;width:58.45pt;z-index:251669504;v-text-anchor:middle;mso-width-relative:page;mso-height-relative:page;" fillcolor="#4F81BD [3204]" filled="t" stroked="t" coordsize="21600,21600" o:gfxdata="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" adj="-17775,52788,14400">
                <v:fill on="t" focussize="0,0"/>
                <v:stroke weight="2pt" color="#376092 [2404]" joinstyle="round"/>
                <v:imagedata o:title=""/>
                <o:lock v:ext="edit" aspectratio="f"/>
                <v:textbox>
                  <w:txbxContent>
                    <w:p w14:paraId="4266811F">
                      <w:pPr>
                        <w:spacing w:line="240" w:lineRule="auto"/>
                        <w:ind w:left="0" w:leftChars="0" w:firstLine="0" w:firstLineChars="0"/>
                        <w:jc w:val="both"/>
                        <w:rPr>
                          <w:rFonts w:hint="eastAsia" w:eastAsia="宋体"/>
                          <w:lang w:val="en-US" w:eastAsia="zh-CN"/>
                        </w:rPr>
                      </w:pPr>
                      <w:r>
                        <w:rPr>
                          <w:rFonts w:hint="eastAsia"/>
                          <w:sz w:val="18"/>
                          <w:szCs w:val="18"/>
                          <w:lang w:val="en-US" w:eastAsia="zh-CN"/>
                        </w:rPr>
                        <w:t>本项目</w:t>
                      </w:r>
                    </w:p>
                  </w:txbxContent>
                </v:textbox>
              </v:shape>
            </w:pict>
          </mc:Fallback>
        </mc:AlternateContent>
      </w:r>
      <w:r>
        <w:rPr>
          <w:rFonts w:hint="default" w:ascii="Times New Roman" w:hAnsi="Times New Roman" w:cs="Times New Roman" w:eastAsiaTheme="minorEastAsia"/>
          <w:color w:val="FF0000"/>
          <w:sz w:val="21"/>
          <w:highlight w:val="none"/>
        </w:rPr>
        <mc:AlternateContent>
          <mc:Choice Requires="wps">
            <w:drawing>
              <wp:anchor distT="0" distB="0" distL="114300" distR="114300" simplePos="0" relativeHeight="251668480" behindDoc="0" locked="0" layoutInCell="1" allowOverlap="1">
                <wp:simplePos x="0" y="0"/>
                <wp:positionH relativeFrom="column">
                  <wp:posOffset>4378960</wp:posOffset>
                </wp:positionH>
                <wp:positionV relativeFrom="paragraph">
                  <wp:posOffset>2008505</wp:posOffset>
                </wp:positionV>
                <wp:extent cx="75565" cy="75565"/>
                <wp:effectExtent l="4445" t="4445" r="15240" b="15240"/>
                <wp:wrapNone/>
                <wp:docPr id="79" name="椭圆 79"/>
                <wp:cNvGraphicFramePr/>
                <a:graphic xmlns:a="http://schemas.openxmlformats.org/drawingml/2006/main">
                  <a:graphicData uri="http://schemas.microsoft.com/office/word/2010/wordprocessingShape">
                    <wps:wsp>
                      <wps:cNvSpPr/>
                      <wps:spPr>
                        <a:xfrm>
                          <a:off x="5283835" y="2922270"/>
                          <a:ext cx="75565" cy="75565"/>
                        </a:xfrm>
                        <a:prstGeom prst="ellipse">
                          <a:avLst/>
                        </a:prstGeom>
                        <a:solidFill>
                          <a:srgbClr val="FF0000"/>
                        </a:solidFill>
                        <a:ln w="3175">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44.8pt;margin-top:158.15pt;height:5.95pt;width:5.95pt;z-index:251668480;v-text-anchor:middle;mso-width-relative:page;mso-height-relative:page;" fillcolor="#FF0000" filled="t" stroked="t" coordsize="21600,21600" o:gfxdata="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NXWab2gAAAAsBAAAPAAAAAAAAAAEAIAAAACIAAABkcnMvZG93&#10;bnJldi54bWxQSwECFAAUAAAACACHTuJADc0y53ACAADqBAAADgAAAAAAAAABACAAAAApAQAAZHJz&#10;L2Uyb0RvYy54bWxQSwUGAAAAAAYABgBZAQAACwYAAAAA&#10;">
                <v:fill on="t" focussize="0,0"/>
                <v:stroke weight="0.25pt" color="#000000 [3213]" joinstyle="round"/>
                <v:imagedata o:title=""/>
                <o:lock v:ext="edit" aspectratio="f"/>
              </v:shape>
            </w:pict>
          </mc:Fallback>
        </mc:AlternateContent>
      </w:r>
      <w:r>
        <w:rPr>
          <w:rFonts w:hint="default" w:ascii="Times New Roman" w:hAnsi="Times New Roman" w:cs="Times New Roman" w:eastAsiaTheme="minorEastAsia"/>
          <w:color w:val="FF0000"/>
          <w:sz w:val="21"/>
          <w:szCs w:val="21"/>
          <w:highlight w:val="none"/>
        </w:rPr>
        <w:drawing>
          <wp:inline distT="0" distB="0" distL="114300" distR="114300">
            <wp:extent cx="7273290" cy="5069840"/>
            <wp:effectExtent l="9525" t="9525" r="13335" b="26035"/>
            <wp:docPr id="98" name="图片 354" descr="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354" descr="图3"/>
                    <pic:cNvPicPr>
                      <a:picLocks noChangeAspect="1"/>
                    </pic:cNvPicPr>
                  </pic:nvPicPr>
                  <pic:blipFill>
                    <a:blip r:embed="rId31"/>
                    <a:stretch>
                      <a:fillRect/>
                    </a:stretch>
                  </pic:blipFill>
                  <pic:spPr>
                    <a:xfrm>
                      <a:off x="0" y="0"/>
                      <a:ext cx="7273290" cy="5069840"/>
                    </a:xfrm>
                    <a:prstGeom prst="rect">
                      <a:avLst/>
                    </a:prstGeom>
                    <a:noFill/>
                    <a:ln w="9525" cap="flat" cmpd="sng">
                      <a:solidFill>
                        <a:srgbClr val="000000"/>
                      </a:solidFill>
                      <a:prstDash val="solid"/>
                      <a:miter/>
                      <a:headEnd type="none" w="med" len="med"/>
                      <a:tailEnd type="none" w="med" len="med"/>
                    </a:ln>
                  </pic:spPr>
                </pic:pic>
              </a:graphicData>
            </a:graphic>
          </wp:inline>
        </w:drawing>
      </w:r>
    </w:p>
    <w:p w14:paraId="41558BD1">
      <w:pPr>
        <w:pStyle w:val="8"/>
        <w:ind w:left="0" w:leftChars="0" w:firstLine="0" w:firstLineChars="0"/>
        <w:jc w:val="cente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sectPr>
          <w:pgSz w:w="16838" w:h="11906" w:orient="landscape"/>
          <w:pgMar w:top="1587" w:right="1418" w:bottom="1361" w:left="1418" w:header="1247" w:footer="992" w:gutter="0"/>
          <w:pgBorders>
            <w:top w:val="none" w:sz="0" w:space="0"/>
            <w:left w:val="none" w:sz="0" w:space="0"/>
            <w:bottom w:val="none" w:sz="0" w:space="0"/>
            <w:right w:val="none" w:sz="0" w:space="0"/>
          </w:pgBorders>
          <w:pgNumType w:fmt="decimal"/>
          <w:cols w:space="720" w:num="1"/>
          <w:docGrid w:type="linesAndChars" w:linePitch="312" w:charSpace="0"/>
        </w:sectPr>
      </w:pPr>
      <w:r>
        <w:rPr>
          <w:rFonts w:hint="default" w:ascii="Times New Roman" w:hAnsi="Times New Roman" w:cs="Times New Roman" w:eastAsiaTheme="minorEastAsia"/>
          <w:b/>
          <w:snapToGrid w:val="0"/>
          <w:color w:val="000000" w:themeColor="text1"/>
          <w:kern w:val="0"/>
          <w:sz w:val="24"/>
          <w:highlight w:val="none"/>
          <w:lang w:val="en-US" w:eastAsia="zh-CN"/>
          <w14:textFill>
            <w14:solidFill>
              <w14:schemeClr w14:val="tx1"/>
            </w14:solidFill>
          </w14:textFill>
        </w:rPr>
        <w:t>图3.3-3    本项目在生态功能区划中的位置</w:t>
      </w:r>
    </w:p>
    <w:p w14:paraId="1C1A7BD9">
      <w:pPr>
        <w:bidi w:val="0"/>
        <w:rPr>
          <w:rFonts w:hint="default" w:ascii="Times New Roman" w:hAnsi="Times New Roman" w:cs="Times New Roman"/>
          <w:b/>
          <w:bCs/>
          <w:color w:val="000000" w:themeColor="text1"/>
          <w:sz w:val="24"/>
          <w:szCs w:val="24"/>
          <w:lang w:val="en-US" w:eastAsia="zh-CN"/>
          <w14:textFill>
            <w14:solidFill>
              <w14:schemeClr w14:val="tx1"/>
            </w14:solidFill>
          </w14:textFill>
        </w:rPr>
      </w:pPr>
      <w:r>
        <w:rPr>
          <w:rFonts w:hint="default" w:ascii="Times New Roman" w:hAnsi="Times New Roman" w:cs="Times New Roman"/>
          <w:b/>
          <w:bCs/>
          <w:color w:val="000000" w:themeColor="text1"/>
          <w:sz w:val="24"/>
          <w:szCs w:val="24"/>
          <w:lang w:val="en-US" w:eastAsia="zh-CN"/>
          <w14:textFill>
            <w14:solidFill>
              <w14:schemeClr w14:val="tx1"/>
            </w14:solidFill>
          </w14:textFill>
        </w:rPr>
        <w:t>（4）与《新疆生态环境保护“十四五”规划》符合性</w:t>
      </w:r>
    </w:p>
    <w:p w14:paraId="5DC8F575">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根据《新疆生态环境保护“十四五”规划》第三章“坚持创新引领，推动绿色低碳发展”中的第三节“建设清洁低碳能源体系”，要求“大力发展清洁能源。进一步壮大清洁能源产业，着力转变能源生产和消费模式，推动化石能源转型升级。加快非化石能源发展，推进风电和太阳能发电基地建设，积极开发分布式太阳能发电和分散式风电，支持可再生能源与工业、建筑、交通、农业、生态等产业和设施协同发展，配套发展储能产业，推进抽水蓄能电站建设，加快新型储能示范推广应用。积极发展可再生能源微电网、局域网，提高可再生能源的推广和消纳能力。”</w:t>
      </w:r>
    </w:p>
    <w:p w14:paraId="21901187">
      <w:pPr>
        <w:keepNext w:val="0"/>
        <w:keepLines w:val="0"/>
        <w:pageBreakBefore w:val="0"/>
        <w:widowControl w:val="0"/>
        <w:kinsoku/>
        <w:wordWrap/>
        <w:overflowPunct/>
        <w:topLinePunct w:val="0"/>
        <w:autoSpaceDE/>
        <w:autoSpaceDN/>
        <w:bidi w:val="0"/>
        <w:adjustRightInd w:val="0"/>
        <w:snapToGrid w:val="0"/>
        <w:ind w:left="0" w:leftChars="0" w:firstLine="480" w:firstLineChars="200"/>
        <w:textAlignment w:val="auto"/>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本项目属于风电项目，符合“大力发展清洁能源。进一步壮大清洁能源产业，着力转变能源生产和消费模式，推动化石能源转型升级。加快非化石能源发展，推进风电和太阳能发电基地建设，积极开发分布式太阳能发电和分散式风电，支持可再生能源与工业、建筑、交通、农业、生态等产业和设施协同发展，配套发展储能产业，推进抽水蓄能电站建设，加快新型储能示范推广应用。积极发展可再生能源微电网、局域网，提高可再生能源的推广和消纳能力。”的要求。</w:t>
      </w:r>
    </w:p>
    <w:p w14:paraId="12307CCE">
      <w:pPr>
        <w:bidi w:val="0"/>
        <w:rPr>
          <w:rFonts w:hint="default" w:ascii="Times New Roman" w:hAnsi="Times New Roman" w:cs="Times New Roman"/>
          <w:b/>
          <w:bCs/>
          <w:color w:val="000000" w:themeColor="text1"/>
          <w:sz w:val="24"/>
          <w:szCs w:val="24"/>
          <w:lang w:val="en-US" w:eastAsia="zh-CN"/>
          <w14:textFill>
            <w14:solidFill>
              <w14:schemeClr w14:val="tx1"/>
            </w14:solidFill>
          </w14:textFill>
        </w:rPr>
      </w:pPr>
      <w:r>
        <w:rPr>
          <w:rFonts w:hint="default" w:ascii="Times New Roman" w:hAnsi="Times New Roman" w:cs="Times New Roman"/>
          <w:b/>
          <w:bCs/>
          <w:color w:val="000000" w:themeColor="text1"/>
          <w:sz w:val="24"/>
          <w:szCs w:val="24"/>
          <w:lang w:val="en-US" w:eastAsia="zh-CN"/>
          <w14:textFill>
            <w14:solidFill>
              <w14:schemeClr w14:val="tx1"/>
            </w14:solidFill>
          </w14:textFill>
        </w:rPr>
        <w:t>（5）与《乌鲁木齐市生态环境保护“十四五”规划》符合性</w:t>
      </w:r>
    </w:p>
    <w:p w14:paraId="37A7CA31">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根据《乌鲁木齐</w:t>
      </w: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市</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生态环境保护“十四五”规划》第四章“重大工程”中的第一节“绿色低碳及应对气候变化重点工程 发展新能源和可再生能源”，要求“加快推进风电、光伏发电项目建设，稳步推进乌鲁木齐清洁能源示范基地建设工作；调整能源结构，推进储能产业、风电制氢试点，有序开展抽水蓄能设施建设，推动优质能源供应和消费结构多元化，降低煤炭在我市一次能源消费占比；进一步提高清洁能源供给能力，不断提升可再生能源消费比重。”</w:t>
      </w:r>
    </w:p>
    <w:p w14:paraId="53A311E9">
      <w:pPr>
        <w:keepNext w:val="0"/>
        <w:keepLines w:val="0"/>
        <w:pageBreakBefore w:val="0"/>
        <w:widowControl w:val="0"/>
        <w:kinsoku/>
        <w:wordWrap/>
        <w:overflowPunct/>
        <w:topLinePunct w:val="0"/>
        <w:autoSpaceDE/>
        <w:autoSpaceDN/>
        <w:bidi w:val="0"/>
        <w:adjustRightInd w:val="0"/>
        <w:snapToGrid w:val="0"/>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本项目属于风电项目，符合规划中“加快推进风电、光伏发电项目建设”的要求。</w:t>
      </w:r>
    </w:p>
    <w:p w14:paraId="41C80C33">
      <w:pPr>
        <w:pStyle w:val="12"/>
        <w:keepNext/>
        <w:keepLines/>
        <w:pageBreakBefore w:val="0"/>
        <w:widowControl w:val="0"/>
        <w:numPr>
          <w:ilvl w:val="0"/>
          <w:numId w:val="0"/>
        </w:numPr>
        <w:tabs>
          <w:tab w:val="left" w:pos="1050"/>
        </w:tabs>
        <w:kinsoku/>
        <w:wordWrap/>
        <w:overflowPunct/>
        <w:topLinePunct w:val="0"/>
        <w:autoSpaceDE/>
        <w:autoSpaceDN/>
        <w:bidi w:val="0"/>
        <w:adjustRightInd/>
        <w:snapToGrid/>
        <w:spacing w:before="0" w:beforeLines="0" w:after="0" w:afterLines="0" w:line="360" w:lineRule="auto"/>
        <w:ind w:left="0" w:leftChars="0"/>
        <w:textAlignment w:val="auto"/>
        <w:outlineLvl w:val="3"/>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t>3.3.2.3 与国土空间规划符合性分析</w:t>
      </w:r>
    </w:p>
    <w:p w14:paraId="637FA032">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新疆维吾尔自治区国土空间规划（2021-2035年）》指出，以“三区三线”为基础，构建国土空间开发保护新格局，立足资源环境承载能力，发挥各地区比较优势，深化对外开放，强化对内联动，统筹划定落实“三区三线”，优化细化主体功能区，形成主体功能明显、优势互补、高质量发展的国土空间开发保护新格局。严守安全发展的空间基础：将耕地和永久基本农田、生态保护红线、城镇开发边界三条控制线作为构建国土空间开发保护总体格局的基础，按照耕地和永久基本农田、生态保护红线、城镇开发边界优先序，统筹划定三条控制线，制定分类管控机制，统筹优化国土空间的布局结构。</w:t>
      </w:r>
    </w:p>
    <w:p w14:paraId="2EC75A1A">
      <w:pPr>
        <w:keepNext w:val="0"/>
        <w:keepLines w:val="0"/>
        <w:pageBreakBefore w:val="0"/>
        <w:widowControl w:val="0"/>
        <w:numPr>
          <w:ilvl w:val="0"/>
          <w:numId w:val="0"/>
        </w:numPr>
        <w:tabs>
          <w:tab w:val="left" w:pos="1260"/>
        </w:tabs>
        <w:kinsoku/>
        <w:wordWrap/>
        <w:overflowPunct/>
        <w:topLinePunct w:val="0"/>
        <w:autoSpaceDE/>
        <w:autoSpaceDN/>
        <w:bidi w:val="0"/>
        <w:adjustRightInd/>
        <w:snapToGrid/>
        <w:spacing w:line="360" w:lineRule="auto"/>
        <w:ind w:left="0" w:leftChars="0" w:firstLine="480" w:firstLineChars="200"/>
        <w:textAlignment w:val="auto"/>
        <w:outlineLvl w:val="9"/>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本项目</w:t>
      </w:r>
      <w:r>
        <w:rPr>
          <w:rFonts w:hint="eastAsia" w:cs="Times New Roman" w:eastAsiaTheme="minorEastAsia"/>
          <w:snapToGrid w:val="0"/>
          <w:color w:val="000000" w:themeColor="text1"/>
          <w:sz w:val="24"/>
          <w:highlight w:val="none"/>
          <w:lang w:val="en-US" w:eastAsia="zh-CN"/>
          <w14:textFill>
            <w14:solidFill>
              <w14:schemeClr w14:val="tx1"/>
            </w14:solidFill>
          </w14:textFill>
        </w:rPr>
        <w:t>有</w:t>
      </w:r>
      <w:r>
        <w:rPr>
          <w:rFonts w:hint="eastAsia" w:cs="Times New Roman" w:eastAsiaTheme="minorEastAsia"/>
          <w:color w:val="000000" w:themeColor="text1"/>
          <w:kern w:val="2"/>
          <w:sz w:val="24"/>
          <w:szCs w:val="20"/>
          <w:highlight w:val="none"/>
          <w:lang w:val="en-US" w:eastAsia="zh-CN" w:bidi="ar-SA"/>
          <w14:textFill>
            <w14:solidFill>
              <w14:schemeClr w14:val="tx1"/>
            </w14:solidFill>
          </w14:textFill>
        </w:rPr>
        <w:t>3</w:t>
      </w:r>
      <w:r>
        <w:rPr>
          <w:rFonts w:hint="default" w:ascii="Times New Roman" w:hAnsi="Times New Roman" w:cs="Times New Roman" w:eastAsiaTheme="minorEastAsia"/>
          <w:color w:val="000000" w:themeColor="text1"/>
          <w:kern w:val="2"/>
          <w:sz w:val="24"/>
          <w:szCs w:val="20"/>
          <w:highlight w:val="none"/>
          <w:lang w:val="en-US" w:eastAsia="zh-CN" w:bidi="ar-SA"/>
          <w14:textFill>
            <w14:solidFill>
              <w14:schemeClr w14:val="tx1"/>
            </w14:solidFill>
          </w14:textFill>
        </w:rPr>
        <w:t>台风机及箱变、部分集电线路杆塔</w:t>
      </w:r>
      <w:r>
        <w:rPr>
          <w:rFonts w:hint="eastAsia" w:cs="Times New Roman" w:eastAsiaTheme="minorEastAsia"/>
          <w:color w:val="000000" w:themeColor="text1"/>
          <w:kern w:val="2"/>
          <w:sz w:val="24"/>
          <w:szCs w:val="20"/>
          <w:highlight w:val="none"/>
          <w:lang w:val="en-US" w:eastAsia="zh-CN" w:bidi="ar-SA"/>
          <w14:textFill>
            <w14:solidFill>
              <w14:schemeClr w14:val="tx1"/>
            </w14:solidFill>
          </w14:textFill>
        </w:rPr>
        <w:t>、检修道路</w:t>
      </w:r>
      <w:r>
        <w:rPr>
          <w:rFonts w:hint="default" w:ascii="Times New Roman" w:hAnsi="Times New Roman" w:cs="Times New Roman" w:eastAsiaTheme="minorEastAsia"/>
          <w:color w:val="000000" w:themeColor="text1"/>
          <w:kern w:val="2"/>
          <w:sz w:val="24"/>
          <w:szCs w:val="20"/>
          <w:highlight w:val="none"/>
          <w:lang w:val="en-US" w:eastAsia="zh-CN" w:bidi="ar-SA"/>
          <w14:textFill>
            <w14:solidFill>
              <w14:schemeClr w14:val="tx1"/>
            </w14:solidFill>
          </w14:textFill>
        </w:rPr>
        <w:t>等永久占地占用</w:t>
      </w:r>
      <w:r>
        <w:rPr>
          <w:rFonts w:hint="eastAsia" w:ascii="宋体" w:hAnsi="宋体" w:eastAsia="宋体" w:cs="宋体"/>
          <w:color w:val="000000" w:themeColor="text1"/>
          <w:sz w:val="24"/>
          <w:lang w:val="en-US" w:eastAsia="zh-CN"/>
          <w14:textFill>
            <w14:solidFill>
              <w14:schemeClr w14:val="tx1"/>
            </w14:solidFill>
          </w14:textFill>
        </w:rPr>
        <w:t>西山地下饮用水源地二级保护区；</w:t>
      </w:r>
      <w:r>
        <w:rPr>
          <w:rFonts w:hint="eastAsia" w:ascii="Times New Roman" w:hAnsi="Times New Roman" w:cs="Times New Roman" w:eastAsiaTheme="minorEastAsia"/>
          <w:color w:val="000000" w:themeColor="text1"/>
          <w:kern w:val="2"/>
          <w:sz w:val="24"/>
          <w:szCs w:val="20"/>
          <w:highlight w:val="none"/>
          <w:lang w:val="en-US" w:eastAsia="zh-CN" w:bidi="ar-SA"/>
          <w14:textFill>
            <w14:solidFill>
              <w14:schemeClr w14:val="tx1"/>
            </w14:solidFill>
          </w14:textFill>
        </w:rPr>
        <w:t>3</w:t>
      </w:r>
      <w:r>
        <w:rPr>
          <w:rFonts w:hint="default" w:ascii="Times New Roman" w:hAnsi="Times New Roman" w:cs="Times New Roman" w:eastAsiaTheme="minorEastAsia"/>
          <w:color w:val="000000" w:themeColor="text1"/>
          <w:kern w:val="2"/>
          <w:sz w:val="24"/>
          <w:szCs w:val="20"/>
          <w:highlight w:val="none"/>
          <w:lang w:val="en-US" w:eastAsia="zh-CN" w:bidi="ar-SA"/>
          <w14:textFill>
            <w14:solidFill>
              <w14:schemeClr w14:val="tx1"/>
            </w14:solidFill>
          </w14:textFill>
        </w:rPr>
        <w:t>台风机及箱变、部分集电线路杆塔</w:t>
      </w:r>
      <w:r>
        <w:rPr>
          <w:rFonts w:hint="eastAsia" w:ascii="Times New Roman" w:hAnsi="Times New Roman" w:cs="Times New Roman" w:eastAsiaTheme="minorEastAsia"/>
          <w:color w:val="000000" w:themeColor="text1"/>
          <w:kern w:val="2"/>
          <w:sz w:val="24"/>
          <w:szCs w:val="20"/>
          <w:highlight w:val="none"/>
          <w:lang w:val="en-US" w:eastAsia="zh-CN" w:bidi="ar-SA"/>
          <w14:textFill>
            <w14:solidFill>
              <w14:schemeClr w14:val="tx1"/>
            </w14:solidFill>
          </w14:textFill>
        </w:rPr>
        <w:t>、检修道路</w:t>
      </w:r>
      <w:r>
        <w:rPr>
          <w:rFonts w:hint="default" w:ascii="Times New Roman" w:hAnsi="Times New Roman" w:cs="Times New Roman" w:eastAsiaTheme="minorEastAsia"/>
          <w:color w:val="000000" w:themeColor="text1"/>
          <w:kern w:val="2"/>
          <w:sz w:val="24"/>
          <w:szCs w:val="20"/>
          <w:highlight w:val="none"/>
          <w:lang w:val="en-US" w:eastAsia="zh-CN" w:bidi="ar-SA"/>
          <w14:textFill>
            <w14:solidFill>
              <w14:schemeClr w14:val="tx1"/>
            </w14:solidFill>
          </w14:textFill>
        </w:rPr>
        <w:t>等永久占地占用</w:t>
      </w:r>
      <w:r>
        <w:rPr>
          <w:rFonts w:hint="eastAsia" w:ascii="宋体" w:hAnsi="宋体" w:eastAsia="宋体"/>
          <w:color w:val="000000" w:themeColor="text1"/>
          <w:sz w:val="24"/>
          <w:highlight w:val="none"/>
          <w14:textFill>
            <w14:solidFill>
              <w14:schemeClr w14:val="tx1"/>
            </w14:solidFill>
          </w14:textFill>
        </w:rPr>
        <w:t>甘河子（含铁路专供）</w:t>
      </w:r>
      <w:r>
        <w:rPr>
          <w:rFonts w:hint="eastAsia" w:ascii="宋体" w:hAnsi="宋体" w:eastAsia="宋体"/>
          <w:color w:val="000000" w:themeColor="text1"/>
          <w:sz w:val="24"/>
          <w:highlight w:val="none"/>
          <w:lang w:val="en-US" w:eastAsia="zh-CN"/>
          <w14:textFill>
            <w14:solidFill>
              <w14:schemeClr w14:val="tx1"/>
            </w14:solidFill>
          </w14:textFill>
        </w:rPr>
        <w:t>地下饮用</w:t>
      </w:r>
      <w:r>
        <w:rPr>
          <w:rFonts w:hint="eastAsia" w:ascii="宋体" w:hAnsi="宋体" w:eastAsia="宋体"/>
          <w:color w:val="000000" w:themeColor="text1"/>
          <w:sz w:val="24"/>
          <w:highlight w:val="none"/>
          <w14:textFill>
            <w14:solidFill>
              <w14:schemeClr w14:val="tx1"/>
            </w14:solidFill>
          </w14:textFill>
        </w:rPr>
        <w:t>水源地</w:t>
      </w:r>
      <w:r>
        <w:rPr>
          <w:rFonts w:hint="eastAsia" w:ascii="宋体" w:hAnsi="宋体" w:eastAsia="宋体"/>
          <w:color w:val="000000" w:themeColor="text1"/>
          <w:sz w:val="24"/>
          <w:highlight w:val="none"/>
          <w:lang w:val="en-US" w:eastAsia="zh-CN"/>
          <w14:textFill>
            <w14:solidFill>
              <w14:schemeClr w14:val="tx1"/>
            </w14:solidFill>
          </w14:textFill>
        </w:rPr>
        <w:t>二级保护区</w:t>
      </w:r>
      <w:r>
        <w:rPr>
          <w:rFonts w:hint="eastAsia" w:ascii="宋体" w:hAnsi="宋体" w:eastAsia="宋体"/>
          <w:color w:val="000000" w:themeColor="text1"/>
          <w:sz w:val="24"/>
          <w:highlight w:val="none"/>
          <w:lang w:eastAsia="zh-CN"/>
          <w14:textFill>
            <w14:solidFill>
              <w14:schemeClr w14:val="tx1"/>
            </w14:solidFill>
          </w14:textFill>
        </w:rPr>
        <w:t>；</w:t>
      </w:r>
      <w:r>
        <w:rPr>
          <w:rFonts w:hint="eastAsia" w:ascii="Times New Roman" w:hAnsi="Times New Roman" w:cs="Times New Roman" w:eastAsiaTheme="minorEastAsia"/>
          <w:color w:val="000000" w:themeColor="text1"/>
          <w:kern w:val="2"/>
          <w:sz w:val="24"/>
          <w:szCs w:val="20"/>
          <w:highlight w:val="none"/>
          <w:lang w:val="en-US" w:eastAsia="zh-CN" w:bidi="ar-SA"/>
          <w14:textFill>
            <w14:solidFill>
              <w14:schemeClr w14:val="tx1"/>
            </w14:solidFill>
          </w14:textFill>
        </w:rPr>
        <w:t>7</w:t>
      </w:r>
      <w:r>
        <w:rPr>
          <w:rFonts w:hint="default" w:ascii="Times New Roman" w:hAnsi="Times New Roman" w:cs="Times New Roman" w:eastAsiaTheme="minorEastAsia"/>
          <w:color w:val="000000" w:themeColor="text1"/>
          <w:kern w:val="2"/>
          <w:sz w:val="24"/>
          <w:szCs w:val="20"/>
          <w:highlight w:val="none"/>
          <w:lang w:val="en-US" w:eastAsia="zh-CN" w:bidi="ar-SA"/>
          <w14:textFill>
            <w14:solidFill>
              <w14:schemeClr w14:val="tx1"/>
            </w14:solidFill>
          </w14:textFill>
        </w:rPr>
        <w:t>台风机及箱变、部分集电线路杆塔</w:t>
      </w:r>
      <w:r>
        <w:rPr>
          <w:rFonts w:hint="eastAsia" w:ascii="Times New Roman" w:hAnsi="Times New Roman" w:cs="Times New Roman" w:eastAsiaTheme="minorEastAsia"/>
          <w:color w:val="000000" w:themeColor="text1"/>
          <w:kern w:val="2"/>
          <w:sz w:val="24"/>
          <w:szCs w:val="20"/>
          <w:highlight w:val="none"/>
          <w:lang w:val="en-US" w:eastAsia="zh-CN" w:bidi="ar-SA"/>
          <w14:textFill>
            <w14:solidFill>
              <w14:schemeClr w14:val="tx1"/>
            </w14:solidFill>
          </w14:textFill>
        </w:rPr>
        <w:t>、检修道路</w:t>
      </w:r>
      <w:r>
        <w:rPr>
          <w:rFonts w:hint="default" w:ascii="Times New Roman" w:hAnsi="Times New Roman" w:cs="Times New Roman" w:eastAsiaTheme="minorEastAsia"/>
          <w:color w:val="000000" w:themeColor="text1"/>
          <w:kern w:val="2"/>
          <w:sz w:val="24"/>
          <w:szCs w:val="20"/>
          <w:highlight w:val="none"/>
          <w:lang w:val="en-US" w:eastAsia="zh-CN" w:bidi="ar-SA"/>
          <w14:textFill>
            <w14:solidFill>
              <w14:schemeClr w14:val="tx1"/>
            </w14:solidFill>
          </w14:textFill>
        </w:rPr>
        <w:t>等永久占地占用</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乌拉泊、柴西、柴北、西山、甘河子（含铁路专供）准保护区。风机的建设属风力发电项目，风电场选址及污染防治措施符合</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《中华人民共和国水污染防治法》《饮用水水源保护区污染防治管理规定》(2010年修正本)《集中式饮用水水源环境保护指南(试行)》的通知(环办〔2012〕50号)等水源保护区的相关要求</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。因此，本项目建设符合《新疆维吾尔自治区国土空间规划（2021-2035年）》严守安全发展的空间基础的要求。</w:t>
      </w:r>
    </w:p>
    <w:p w14:paraId="72656A84">
      <w:pPr>
        <w:pStyle w:val="11"/>
        <w:keepNext/>
        <w:keepLines/>
        <w:pageBreakBefore w:val="0"/>
        <w:widowControl w:val="0"/>
        <w:kinsoku/>
        <w:wordWrap/>
        <w:overflowPunct/>
        <w:topLinePunct w:val="0"/>
        <w:autoSpaceDE/>
        <w:autoSpaceDN/>
        <w:bidi w:val="0"/>
        <w:adjustRightInd/>
        <w:snapToGrid/>
        <w:ind w:left="0"/>
        <w:textAlignment w:val="auto"/>
        <w:outlineLvl w:val="2"/>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3.3.3 与法律法规及政策符合性分析</w:t>
      </w:r>
    </w:p>
    <w:p w14:paraId="05878144">
      <w:pPr>
        <w:pStyle w:val="12"/>
        <w:keepNext/>
        <w:keepLines/>
        <w:pageBreakBefore w:val="0"/>
        <w:widowControl w:val="0"/>
        <w:numPr>
          <w:ilvl w:val="0"/>
          <w:numId w:val="0"/>
        </w:numPr>
        <w:tabs>
          <w:tab w:val="left" w:pos="1050"/>
        </w:tabs>
        <w:kinsoku/>
        <w:wordWrap/>
        <w:overflowPunct/>
        <w:topLinePunct w:val="0"/>
        <w:autoSpaceDE/>
        <w:autoSpaceDN/>
        <w:bidi w:val="0"/>
        <w:adjustRightInd/>
        <w:snapToGrid/>
        <w:spacing w:before="0" w:beforeLines="0" w:after="0" w:afterLines="0" w:line="360" w:lineRule="auto"/>
        <w:ind w:left="0" w:leftChars="0"/>
        <w:textAlignment w:val="auto"/>
        <w:outlineLvl w:val="3"/>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t>3.3.3.1 与水源地法律法规及政策分析</w:t>
      </w:r>
    </w:p>
    <w:p w14:paraId="64E3720A">
      <w:pPr>
        <w:bidi w:val="0"/>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t>（1）与《中华人民共和国水污染防治法》符合性分析</w:t>
      </w:r>
    </w:p>
    <w:p w14:paraId="5BD77493">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本项目与《中华人民共和国水污染防治法》(2017年6月27日第二次修正)符合性分析如下：</w:t>
      </w:r>
    </w:p>
    <w:p w14:paraId="1BD5AE7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b/>
          <w:color w:val="000000" w:themeColor="text1"/>
          <w:sz w:val="24"/>
          <w:highlight w:val="none"/>
          <w:lang w:val="en-US" w:eastAsia="zh-CN"/>
          <w14:textFill>
            <w14:solidFill>
              <w14:schemeClr w14:val="tx1"/>
            </w14:solidFill>
          </w14:textFill>
        </w:rPr>
        <w:t>表3.3-3    本项目与《中华人民共和国水污染防治法》相符性分析一览表</w:t>
      </w:r>
    </w:p>
    <w:tbl>
      <w:tblPr>
        <w:tblStyle w:val="76"/>
        <w:tblW w:w="917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93"/>
        <w:gridCol w:w="3906"/>
        <w:gridCol w:w="3784"/>
        <w:gridCol w:w="687"/>
      </w:tblGrid>
      <w:tr w14:paraId="7D59E6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tblHeader/>
        </w:trPr>
        <w:tc>
          <w:tcPr>
            <w:tcW w:w="793" w:type="dxa"/>
            <w:tcBorders>
              <w:tl2br w:val="nil"/>
              <w:tr2bl w:val="nil"/>
            </w:tcBorders>
            <w:vAlign w:val="center"/>
          </w:tcPr>
          <w:p w14:paraId="160D4DD5">
            <w:pPr>
              <w:keepNext w:val="0"/>
              <w:keepLines w:val="0"/>
              <w:pageBreakBefore w:val="0"/>
              <w:kinsoku/>
              <w:wordWrap w:val="0"/>
              <w:overflowPunct/>
              <w:topLinePunct/>
              <w:autoSpaceDE/>
              <w:autoSpaceDN/>
              <w:bidi w:val="0"/>
              <w:adjustRightInd/>
              <w:snapToGrid/>
              <w:spacing w:line="240" w:lineRule="auto"/>
              <w:ind w:left="0" w:leftChars="0" w:right="0"/>
              <w:jc w:val="center"/>
              <w:textAlignment w:val="auto"/>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t>文件名称</w:t>
            </w:r>
          </w:p>
        </w:tc>
        <w:tc>
          <w:tcPr>
            <w:tcW w:w="3906" w:type="dxa"/>
            <w:tcBorders>
              <w:tl2br w:val="nil"/>
              <w:tr2bl w:val="nil"/>
            </w:tcBorders>
            <w:vAlign w:val="center"/>
          </w:tcPr>
          <w:p w14:paraId="2268D0B0">
            <w:pPr>
              <w:keepNext w:val="0"/>
              <w:keepLines w:val="0"/>
              <w:pageBreakBefore w:val="0"/>
              <w:kinsoku/>
              <w:wordWrap w:val="0"/>
              <w:overflowPunct/>
              <w:topLinePunct/>
              <w:autoSpaceDE/>
              <w:autoSpaceDN/>
              <w:bidi w:val="0"/>
              <w:adjustRightInd/>
              <w:snapToGrid/>
              <w:spacing w:line="240" w:lineRule="auto"/>
              <w:ind w:left="0" w:leftChars="0" w:right="0"/>
              <w:jc w:val="center"/>
              <w:textAlignment w:val="auto"/>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t>有关要求</w:t>
            </w:r>
          </w:p>
        </w:tc>
        <w:tc>
          <w:tcPr>
            <w:tcW w:w="3784" w:type="dxa"/>
            <w:tcBorders>
              <w:tl2br w:val="nil"/>
              <w:tr2bl w:val="nil"/>
            </w:tcBorders>
            <w:vAlign w:val="center"/>
          </w:tcPr>
          <w:p w14:paraId="21002940">
            <w:pPr>
              <w:keepNext w:val="0"/>
              <w:keepLines w:val="0"/>
              <w:pageBreakBefore w:val="0"/>
              <w:kinsoku/>
              <w:wordWrap w:val="0"/>
              <w:overflowPunct/>
              <w:topLinePunct/>
              <w:autoSpaceDE/>
              <w:autoSpaceDN/>
              <w:bidi w:val="0"/>
              <w:adjustRightInd/>
              <w:snapToGrid/>
              <w:spacing w:line="240" w:lineRule="auto"/>
              <w:ind w:left="0" w:leftChars="0" w:right="0"/>
              <w:jc w:val="center"/>
              <w:textAlignment w:val="auto"/>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t>本项目</w:t>
            </w:r>
          </w:p>
        </w:tc>
        <w:tc>
          <w:tcPr>
            <w:tcW w:w="687" w:type="dxa"/>
            <w:tcBorders>
              <w:tl2br w:val="nil"/>
              <w:tr2bl w:val="nil"/>
            </w:tcBorders>
            <w:vAlign w:val="center"/>
          </w:tcPr>
          <w:p w14:paraId="59216B5E">
            <w:pPr>
              <w:keepNext w:val="0"/>
              <w:keepLines w:val="0"/>
              <w:pageBreakBefore w:val="0"/>
              <w:kinsoku/>
              <w:wordWrap w:val="0"/>
              <w:overflowPunct/>
              <w:topLinePunct/>
              <w:autoSpaceDE/>
              <w:autoSpaceDN/>
              <w:bidi w:val="0"/>
              <w:adjustRightInd/>
              <w:snapToGrid/>
              <w:spacing w:line="240" w:lineRule="auto"/>
              <w:ind w:left="0" w:leftChars="0" w:right="0"/>
              <w:jc w:val="center"/>
              <w:textAlignment w:val="auto"/>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t>符合性</w:t>
            </w:r>
          </w:p>
        </w:tc>
      </w:tr>
      <w:tr w14:paraId="61C4F1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93" w:type="dxa"/>
            <w:vMerge w:val="restart"/>
            <w:tcBorders>
              <w:tl2br w:val="nil"/>
              <w:tr2bl w:val="nil"/>
            </w:tcBorders>
            <w:vAlign w:val="center"/>
          </w:tcPr>
          <w:p w14:paraId="5EB830F6">
            <w:pPr>
              <w:keepNext w:val="0"/>
              <w:keepLines w:val="0"/>
              <w:pageBreakBefore w:val="0"/>
              <w:kinsoku/>
              <w:wordWrap w:val="0"/>
              <w:overflowPunct/>
              <w:topLinePunct/>
              <w:autoSpaceDE/>
              <w:autoSpaceDN/>
              <w:bidi w:val="0"/>
              <w:adjustRightInd/>
              <w:snapToGrid/>
              <w:spacing w:line="240" w:lineRule="auto"/>
              <w:ind w:left="0" w:leftChars="0" w:right="0"/>
              <w:jc w:val="both"/>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《中华人民共和国水污染防治法》规定</w:t>
            </w:r>
            <w:r>
              <w:rPr>
                <w:rFonts w:hint="default" w:ascii="Times New Roman" w:hAnsi="Times New Roman" w:cs="Times New Roman" w:eastAsiaTheme="minorEastAsia"/>
                <w:color w:val="000000" w:themeColor="text1"/>
                <w:kern w:val="2"/>
                <w:sz w:val="21"/>
                <w:szCs w:val="21"/>
                <w:highlight w:val="none"/>
                <w:lang w:eastAsia="zh-CN" w:bidi="ar-SA"/>
                <w14:textFill>
                  <w14:solidFill>
                    <w14:schemeClr w14:val="tx1"/>
                  </w14:solidFill>
                </w14:textFill>
              </w:rPr>
              <w:t>(</w:t>
            </w: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2017年6月27日第二次修正)</w:t>
            </w:r>
          </w:p>
        </w:tc>
        <w:tc>
          <w:tcPr>
            <w:tcW w:w="3906" w:type="dxa"/>
            <w:tcBorders>
              <w:tl2br w:val="nil"/>
              <w:tr2bl w:val="nil"/>
            </w:tcBorders>
            <w:vAlign w:val="center"/>
          </w:tcPr>
          <w:p w14:paraId="61DE2832">
            <w:pPr>
              <w:keepNext w:val="0"/>
              <w:keepLines w:val="0"/>
              <w:pageBreakBefore w:val="0"/>
              <w:kinsoku/>
              <w:wordWrap w:val="0"/>
              <w:overflowPunct/>
              <w:topLinePunct/>
              <w:autoSpaceDE/>
              <w:autoSpaceDN/>
              <w:bidi w:val="0"/>
              <w:adjustRightInd/>
              <w:snapToGrid/>
              <w:spacing w:line="240" w:lineRule="auto"/>
              <w:ind w:left="0" w:leftChars="0" w:right="0"/>
              <w:jc w:val="both"/>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第</w:t>
            </w: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65</w:t>
            </w: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条规定：“禁止在饮用水水源一级保护区内新建、改建、扩建与供水设施和保护水源无关的建设项目；已建成的与供水设施和保护水源无关的建设项目，由县级以上人民政府责令拆除或者关闭。”</w:t>
            </w:r>
          </w:p>
        </w:tc>
        <w:tc>
          <w:tcPr>
            <w:tcW w:w="3784" w:type="dxa"/>
            <w:tcBorders>
              <w:tl2br w:val="nil"/>
              <w:tr2bl w:val="nil"/>
            </w:tcBorders>
            <w:vAlign w:val="center"/>
          </w:tcPr>
          <w:p w14:paraId="74969B05">
            <w:pPr>
              <w:keepNext w:val="0"/>
              <w:keepLines w:val="0"/>
              <w:pageBreakBefore w:val="0"/>
              <w:kinsoku/>
              <w:wordWrap w:val="0"/>
              <w:overflowPunct/>
              <w:topLinePunct/>
              <w:autoSpaceDE/>
              <w:autoSpaceDN/>
              <w:bidi w:val="0"/>
              <w:adjustRightInd/>
              <w:snapToGrid/>
              <w:spacing w:line="240" w:lineRule="auto"/>
              <w:ind w:left="0" w:leftChars="0" w:right="0"/>
              <w:jc w:val="both"/>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本项目不占用饮用水水源一级保护区</w:t>
            </w:r>
            <w:r>
              <w:rPr>
                <w:rFonts w:hint="default" w:ascii="Times New Roman" w:hAnsi="Times New Roman" w:cs="Times New Roman" w:eastAsiaTheme="minorEastAsia"/>
                <w:color w:val="000000" w:themeColor="text1"/>
                <w:kern w:val="2"/>
                <w:sz w:val="21"/>
                <w:szCs w:val="21"/>
                <w:highlight w:val="none"/>
                <w:lang w:eastAsia="zh-CN" w:bidi="ar-SA"/>
                <w14:textFill>
                  <w14:solidFill>
                    <w14:schemeClr w14:val="tx1"/>
                  </w14:solidFill>
                </w14:textFill>
              </w:rPr>
              <w:t>，</w:t>
            </w: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符合</w:t>
            </w: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第</w:t>
            </w: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65</w:t>
            </w: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条规定</w:t>
            </w:r>
            <w:r>
              <w:rPr>
                <w:rFonts w:hint="default" w:ascii="Times New Roman" w:hAnsi="Times New Roman" w:cs="Times New Roman" w:eastAsiaTheme="minorEastAsia"/>
                <w:color w:val="000000" w:themeColor="text1"/>
                <w:kern w:val="2"/>
                <w:sz w:val="21"/>
                <w:szCs w:val="21"/>
                <w:highlight w:val="none"/>
                <w:lang w:eastAsia="zh-CN" w:bidi="ar-SA"/>
                <w14:textFill>
                  <w14:solidFill>
                    <w14:schemeClr w14:val="tx1"/>
                  </w14:solidFill>
                </w14:textFill>
              </w:rPr>
              <w:t>。</w:t>
            </w:r>
          </w:p>
        </w:tc>
        <w:tc>
          <w:tcPr>
            <w:tcW w:w="687" w:type="dxa"/>
            <w:tcBorders>
              <w:tl2br w:val="nil"/>
              <w:tr2bl w:val="nil"/>
            </w:tcBorders>
            <w:vAlign w:val="center"/>
          </w:tcPr>
          <w:p w14:paraId="316F0372">
            <w:pPr>
              <w:keepNext w:val="0"/>
              <w:keepLines w:val="0"/>
              <w:pageBreakBefore w:val="0"/>
              <w:kinsoku/>
              <w:wordWrap w:val="0"/>
              <w:overflowPunct/>
              <w:topLinePunct/>
              <w:autoSpaceDE/>
              <w:autoSpaceDN/>
              <w:bidi w:val="0"/>
              <w:adjustRightInd/>
              <w:snapToGrid/>
              <w:spacing w:line="240" w:lineRule="auto"/>
              <w:ind w:left="0" w:leftChars="0" w:right="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符合</w:t>
            </w:r>
          </w:p>
        </w:tc>
      </w:tr>
      <w:tr w14:paraId="3D465C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93" w:type="dxa"/>
            <w:vMerge w:val="continue"/>
            <w:tcBorders>
              <w:tl2br w:val="nil"/>
              <w:tr2bl w:val="nil"/>
            </w:tcBorders>
            <w:vAlign w:val="center"/>
          </w:tcPr>
          <w:p w14:paraId="219CC268">
            <w:pPr>
              <w:keepNext w:val="0"/>
              <w:keepLines w:val="0"/>
              <w:pageBreakBefore w:val="0"/>
              <w:kinsoku/>
              <w:wordWrap w:val="0"/>
              <w:overflowPunct/>
              <w:topLinePunct/>
              <w:autoSpaceDE/>
              <w:autoSpaceDN/>
              <w:bidi w:val="0"/>
              <w:adjustRightInd/>
              <w:snapToGrid/>
              <w:spacing w:line="240" w:lineRule="auto"/>
              <w:ind w:left="0" w:leftChars="0" w:right="0"/>
              <w:jc w:val="both"/>
              <w:textAlignment w:val="auto"/>
              <w:rPr>
                <w:rFonts w:hint="default" w:ascii="Times New Roman" w:hAnsi="Times New Roman" w:cs="Times New Roman" w:eastAsiaTheme="minorEastAsia"/>
                <w:color w:val="000000" w:themeColor="text1"/>
                <w:kern w:val="2"/>
                <w:sz w:val="21"/>
                <w:szCs w:val="21"/>
                <w:highlight w:val="none"/>
                <w:lang w:eastAsia="zh-CN" w:bidi="ar-SA"/>
                <w14:textFill>
                  <w14:solidFill>
                    <w14:schemeClr w14:val="tx1"/>
                  </w14:solidFill>
                </w14:textFill>
              </w:rPr>
            </w:pPr>
          </w:p>
        </w:tc>
        <w:tc>
          <w:tcPr>
            <w:tcW w:w="3906" w:type="dxa"/>
            <w:tcBorders>
              <w:tl2br w:val="nil"/>
              <w:tr2bl w:val="nil"/>
            </w:tcBorders>
            <w:vAlign w:val="center"/>
          </w:tcPr>
          <w:p w14:paraId="0E8DD603">
            <w:pPr>
              <w:keepNext w:val="0"/>
              <w:keepLines w:val="0"/>
              <w:pageBreakBefore w:val="0"/>
              <w:kinsoku/>
              <w:wordWrap w:val="0"/>
              <w:overflowPunct/>
              <w:topLinePunct/>
              <w:autoSpaceDE/>
              <w:autoSpaceDN/>
              <w:bidi w:val="0"/>
              <w:adjustRightInd/>
              <w:snapToGrid/>
              <w:spacing w:line="240" w:lineRule="auto"/>
              <w:ind w:left="0" w:leftChars="0" w:right="0"/>
              <w:jc w:val="both"/>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eastAsia="zh-CN" w:bidi="ar-SA"/>
                <w14:textFill>
                  <w14:solidFill>
                    <w14:schemeClr w14:val="tx1"/>
                  </w14:solidFill>
                </w14:textFill>
              </w:rPr>
              <w:t>第</w:t>
            </w: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66</w:t>
            </w:r>
            <w:r>
              <w:rPr>
                <w:rFonts w:hint="default" w:ascii="Times New Roman" w:hAnsi="Times New Roman" w:cs="Times New Roman" w:eastAsiaTheme="minorEastAsia"/>
                <w:color w:val="000000" w:themeColor="text1"/>
                <w:kern w:val="2"/>
                <w:sz w:val="21"/>
                <w:szCs w:val="21"/>
                <w:highlight w:val="none"/>
                <w:lang w:eastAsia="zh-CN" w:bidi="ar-SA"/>
                <w14:textFill>
                  <w14:solidFill>
                    <w14:schemeClr w14:val="tx1"/>
                  </w14:solidFill>
                </w14:textFill>
              </w:rPr>
              <w:t>条第一款规定：“禁止在饮用水水源二级保护区内新建、改建、扩建排放污染物的建设项目；已建成的排放污染物的建设项目，由县级以上人民政府责令拆除或者关闭。”</w:t>
            </w:r>
          </w:p>
        </w:tc>
        <w:tc>
          <w:tcPr>
            <w:tcW w:w="3784" w:type="dxa"/>
            <w:tcBorders>
              <w:tl2br w:val="nil"/>
              <w:tr2bl w:val="nil"/>
            </w:tcBorders>
            <w:vAlign w:val="top"/>
          </w:tcPr>
          <w:p w14:paraId="2B1B5F1C">
            <w:pPr>
              <w:keepNext w:val="0"/>
              <w:keepLines w:val="0"/>
              <w:pageBreakBefore w:val="0"/>
              <w:kinsoku/>
              <w:wordWrap w:val="0"/>
              <w:overflowPunct/>
              <w:topLinePunct/>
              <w:autoSpaceDE/>
              <w:autoSpaceDN/>
              <w:bidi w:val="0"/>
              <w:adjustRightInd/>
              <w:snapToGrid/>
              <w:spacing w:line="240" w:lineRule="auto"/>
              <w:ind w:left="0" w:leftChars="0" w:right="0"/>
              <w:jc w:val="both"/>
              <w:textAlignment w:val="auto"/>
              <w:rPr>
                <w:rFonts w:hint="default" w:ascii="Times New Roman" w:hAnsi="Times New Roman" w:cs="Times New Roman" w:eastAsiaTheme="minorEastAsia"/>
                <w:color w:val="FF0000"/>
                <w:kern w:val="2"/>
                <w:sz w:val="21"/>
                <w:szCs w:val="21"/>
                <w:highlight w:val="none"/>
                <w:lang w:bidi="ar-SA"/>
              </w:rPr>
            </w:pPr>
            <w:r>
              <w:rPr>
                <w:rFonts w:hint="default" w:ascii="Times New Roman" w:hAnsi="Times New Roman" w:cs="Times New Roman" w:eastAsiaTheme="minorEastAsia"/>
                <w:color w:val="000000" w:themeColor="text1"/>
                <w:kern w:val="2"/>
                <w:sz w:val="21"/>
                <w:szCs w:val="21"/>
                <w:highlight w:val="none"/>
                <w:lang w:eastAsia="zh-CN" w:bidi="ar-SA"/>
                <w14:textFill>
                  <w14:solidFill>
                    <w14:schemeClr w14:val="tx1"/>
                  </w14:solidFill>
                </w14:textFill>
              </w:rPr>
              <w:t>本项目新建风电场有</w:t>
            </w:r>
            <w:r>
              <w:rPr>
                <w:rFonts w:hint="eastAsia"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3</w:t>
            </w: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台风机及箱变、部分集电线路杆塔</w:t>
            </w:r>
            <w:r>
              <w:rPr>
                <w:rFonts w:hint="eastAsia"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、检修道路</w:t>
            </w: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等永久占地占用</w:t>
            </w:r>
            <w:r>
              <w:rPr>
                <w:rFonts w:hint="eastAsia"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西山地下饮用水源地二级保护区；3</w:t>
            </w: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台风机及箱变、部分集电线路杆塔</w:t>
            </w:r>
            <w:r>
              <w:rPr>
                <w:rFonts w:hint="eastAsia"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、检修道路</w:t>
            </w: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等永久占地占用</w:t>
            </w:r>
            <w:r>
              <w:rPr>
                <w:rFonts w:hint="eastAsia" w:ascii="Times New Roman" w:hAnsi="Times New Roman" w:cs="Times New Roman" w:eastAsiaTheme="minorEastAsia"/>
                <w:color w:val="000000" w:themeColor="text1"/>
                <w:kern w:val="2"/>
                <w:sz w:val="21"/>
                <w:szCs w:val="21"/>
                <w:highlight w:val="none"/>
                <w:lang w:eastAsia="zh-CN" w:bidi="ar-SA"/>
                <w14:textFill>
                  <w14:solidFill>
                    <w14:schemeClr w14:val="tx1"/>
                  </w14:solidFill>
                </w14:textFill>
              </w:rPr>
              <w:t>甘河子（含铁路专供）</w:t>
            </w:r>
            <w:r>
              <w:rPr>
                <w:rFonts w:hint="eastAsia"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地下饮用</w:t>
            </w:r>
            <w:r>
              <w:rPr>
                <w:rFonts w:hint="eastAsia" w:ascii="Times New Roman" w:hAnsi="Times New Roman" w:cs="Times New Roman" w:eastAsiaTheme="minorEastAsia"/>
                <w:color w:val="000000" w:themeColor="text1"/>
                <w:kern w:val="2"/>
                <w:sz w:val="21"/>
                <w:szCs w:val="21"/>
                <w:highlight w:val="none"/>
                <w:lang w:eastAsia="zh-CN" w:bidi="ar-SA"/>
                <w14:textFill>
                  <w14:solidFill>
                    <w14:schemeClr w14:val="tx1"/>
                  </w14:solidFill>
                </w14:textFill>
              </w:rPr>
              <w:t>水源地</w:t>
            </w:r>
            <w:r>
              <w:rPr>
                <w:rFonts w:hint="eastAsia"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二级保护区</w:t>
            </w:r>
            <w:r>
              <w:rPr>
                <w:rFonts w:hint="eastAsia" w:ascii="Times New Roman" w:hAnsi="Times New Roman" w:cs="Times New Roman" w:eastAsiaTheme="minorEastAsia"/>
                <w:color w:val="000000" w:themeColor="text1"/>
                <w:kern w:val="2"/>
                <w:sz w:val="21"/>
                <w:szCs w:val="21"/>
                <w:highlight w:val="none"/>
                <w:lang w:eastAsia="zh-CN" w:bidi="ar-SA"/>
                <w14:textFill>
                  <w14:solidFill>
                    <w14:schemeClr w14:val="tx1"/>
                  </w14:solidFill>
                </w14:textFill>
              </w:rPr>
              <w:t>；</w:t>
            </w:r>
            <w:r>
              <w:rPr>
                <w:rFonts w:hint="default" w:ascii="Times New Roman" w:hAnsi="Times New Roman" w:cs="Times New Roman" w:eastAsiaTheme="minorEastAsia"/>
                <w:color w:val="000000" w:themeColor="text1"/>
                <w:kern w:val="2"/>
                <w:sz w:val="21"/>
                <w:szCs w:val="21"/>
                <w:highlight w:val="none"/>
                <w:lang w:eastAsia="zh-CN" w:bidi="ar-SA"/>
                <w14:textFill>
                  <w14:solidFill>
                    <w14:schemeClr w14:val="tx1"/>
                  </w14:solidFill>
                </w14:textFill>
              </w:rPr>
              <w:t>项目风机采用永磁风机；项目箱式变压器均使用干式变压器，无变压器废油。本项目施工临建场地、各升压站均布置在</w:t>
            </w:r>
            <w:r>
              <w:rPr>
                <w:rFonts w:hint="eastAsia"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西山地下饮用水源地二级保护区及</w:t>
            </w:r>
            <w:r>
              <w:rPr>
                <w:rFonts w:hint="eastAsia" w:ascii="Times New Roman" w:hAnsi="Times New Roman" w:cs="Times New Roman" w:eastAsiaTheme="minorEastAsia"/>
                <w:color w:val="000000" w:themeColor="text1"/>
                <w:kern w:val="2"/>
                <w:sz w:val="21"/>
                <w:szCs w:val="21"/>
                <w:highlight w:val="none"/>
                <w:lang w:eastAsia="zh-CN" w:bidi="ar-SA"/>
                <w14:textFill>
                  <w14:solidFill>
                    <w14:schemeClr w14:val="tx1"/>
                  </w14:solidFill>
                </w14:textFill>
              </w:rPr>
              <w:t>甘河子（含铁路专供）</w:t>
            </w:r>
            <w:r>
              <w:rPr>
                <w:rFonts w:hint="eastAsia"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地下饮用</w:t>
            </w:r>
            <w:r>
              <w:rPr>
                <w:rFonts w:hint="eastAsia" w:ascii="Times New Roman" w:hAnsi="Times New Roman" w:cs="Times New Roman" w:eastAsiaTheme="minorEastAsia"/>
                <w:color w:val="000000" w:themeColor="text1"/>
                <w:kern w:val="2"/>
                <w:sz w:val="21"/>
                <w:szCs w:val="21"/>
                <w:highlight w:val="none"/>
                <w:lang w:eastAsia="zh-CN" w:bidi="ar-SA"/>
                <w14:textFill>
                  <w14:solidFill>
                    <w14:schemeClr w14:val="tx1"/>
                  </w14:solidFill>
                </w14:textFill>
              </w:rPr>
              <w:t>水源地</w:t>
            </w:r>
            <w:r>
              <w:rPr>
                <w:rFonts w:hint="eastAsia"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二级保护区</w:t>
            </w:r>
            <w:r>
              <w:rPr>
                <w:rFonts w:hint="default" w:ascii="Times New Roman" w:hAnsi="Times New Roman" w:cs="Times New Roman" w:eastAsiaTheme="minorEastAsia"/>
                <w:color w:val="000000" w:themeColor="text1"/>
                <w:kern w:val="2"/>
                <w:sz w:val="21"/>
                <w:szCs w:val="21"/>
                <w:highlight w:val="none"/>
                <w:lang w:eastAsia="zh-CN" w:bidi="ar-SA"/>
                <w14:textFill>
                  <w14:solidFill>
                    <w14:schemeClr w14:val="tx1"/>
                  </w14:solidFill>
                </w14:textFill>
              </w:rPr>
              <w:t>外。本项目施工期及运营期不在饮用水水源二级保护区内排放污染物，符合《中华人民共和国水污染防治法》第 66条规定。</w:t>
            </w:r>
          </w:p>
        </w:tc>
        <w:tc>
          <w:tcPr>
            <w:tcW w:w="687" w:type="dxa"/>
            <w:tcBorders>
              <w:tl2br w:val="nil"/>
              <w:tr2bl w:val="nil"/>
            </w:tcBorders>
            <w:vAlign w:val="center"/>
          </w:tcPr>
          <w:p w14:paraId="63A75114">
            <w:pPr>
              <w:keepNext w:val="0"/>
              <w:keepLines w:val="0"/>
              <w:pageBreakBefore w:val="0"/>
              <w:kinsoku/>
              <w:wordWrap w:val="0"/>
              <w:overflowPunct/>
              <w:topLinePunct/>
              <w:autoSpaceDE/>
              <w:autoSpaceDN/>
              <w:bidi w:val="0"/>
              <w:adjustRightInd/>
              <w:snapToGrid/>
              <w:spacing w:line="240" w:lineRule="auto"/>
              <w:ind w:left="0" w:leftChars="0" w:right="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符合</w:t>
            </w:r>
          </w:p>
        </w:tc>
      </w:tr>
      <w:tr w14:paraId="18D56D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93" w:type="dxa"/>
            <w:vMerge w:val="continue"/>
            <w:tcBorders>
              <w:tl2br w:val="nil"/>
              <w:tr2bl w:val="nil"/>
            </w:tcBorders>
            <w:vAlign w:val="center"/>
          </w:tcPr>
          <w:p w14:paraId="1ABEE0E3">
            <w:pPr>
              <w:keepNext w:val="0"/>
              <w:keepLines w:val="0"/>
              <w:pageBreakBefore w:val="0"/>
              <w:widowControl/>
              <w:suppressLineNumbers w:val="0"/>
              <w:kinsoku/>
              <w:overflowPunct/>
              <w:autoSpaceDE/>
              <w:autoSpaceDN/>
              <w:bidi w:val="0"/>
              <w:adjustRightInd/>
              <w:snapToGrid/>
              <w:spacing w:line="240" w:lineRule="auto"/>
              <w:ind w:left="0" w:leftChars="0"/>
              <w:jc w:val="both"/>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p>
        </w:tc>
        <w:tc>
          <w:tcPr>
            <w:tcW w:w="3906" w:type="dxa"/>
            <w:tcBorders>
              <w:tl2br w:val="nil"/>
              <w:tr2bl w:val="nil"/>
            </w:tcBorders>
            <w:vAlign w:val="center"/>
          </w:tcPr>
          <w:p w14:paraId="62972C06">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jc w:val="both"/>
              <w:textAlignment w:val="auto"/>
              <w:rPr>
                <w:rFonts w:hint="default" w:ascii="Times New Roman" w:hAnsi="Times New Roman" w:cs="Times New Roman" w:eastAsiaTheme="minorEastAsia"/>
                <w:color w:val="000000" w:themeColor="text1"/>
                <w:kern w:val="0"/>
                <w:sz w:val="21"/>
                <w:szCs w:val="21"/>
                <w:highlight w:val="none"/>
                <w:lang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第 67 条规定：“禁止在饮用水水源准保护区内新建、扩建对水体污染严重的建设项目；改建建设项目，不得增加排污量。”</w:t>
            </w:r>
          </w:p>
        </w:tc>
        <w:tc>
          <w:tcPr>
            <w:tcW w:w="3784" w:type="dxa"/>
            <w:tcBorders>
              <w:tl2br w:val="nil"/>
              <w:tr2bl w:val="nil"/>
            </w:tcBorders>
            <w:vAlign w:val="top"/>
          </w:tcPr>
          <w:p w14:paraId="34080CE0">
            <w:pPr>
              <w:keepNext w:val="0"/>
              <w:keepLines w:val="0"/>
              <w:pageBreakBefore w:val="0"/>
              <w:widowControl w:val="0"/>
              <w:numPr>
                <w:ilvl w:val="0"/>
                <w:numId w:val="0"/>
              </w:numPr>
              <w:tabs>
                <w:tab w:val="left" w:pos="1260"/>
              </w:tabs>
              <w:kinsoku/>
              <w:wordWrap/>
              <w:overflowPunct/>
              <w:topLinePunct w:val="0"/>
              <w:autoSpaceDE/>
              <w:autoSpaceDN/>
              <w:bidi w:val="0"/>
              <w:adjustRightInd/>
              <w:snapToGrid w:val="0"/>
              <w:spacing w:line="240" w:lineRule="auto"/>
              <w:ind w:left="0" w:leftChars="0" w:firstLine="420" w:firstLineChars="200"/>
              <w:textAlignment w:val="auto"/>
              <w:outlineLvl w:val="9"/>
              <w:rPr>
                <w:rFonts w:hint="default" w:ascii="Times New Roman" w:hAnsi="Times New Roman" w:cs="Times New Roman" w:eastAsiaTheme="minorEastAsia"/>
                <w:color w:val="000000" w:themeColor="text1"/>
                <w:kern w:val="0"/>
                <w:sz w:val="21"/>
                <w:szCs w:val="21"/>
                <w:highlight w:val="none"/>
                <w:vertAlign w:val="baseline"/>
                <w:lang w:val="en-US"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本项目</w:t>
            </w:r>
            <w:r>
              <w:rPr>
                <w:rFonts w:hint="eastAsia" w:eastAsia="宋体" w:cs="Times New Roman"/>
                <w:color w:val="000000" w:themeColor="text1"/>
                <w:kern w:val="0"/>
                <w:sz w:val="21"/>
                <w:szCs w:val="21"/>
                <w:highlight w:val="none"/>
                <w:lang w:val="en-US" w:eastAsia="zh-CN" w:bidi="ar"/>
                <w14:textFill>
                  <w14:solidFill>
                    <w14:schemeClr w14:val="tx1"/>
                  </w14:solidFill>
                </w14:textFill>
              </w:rPr>
              <w:t>有</w:t>
            </w: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台风机及箱变、部分集电线路杆塔</w:t>
            </w: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、检修道路</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等永久占地占用</w:t>
            </w: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西山地下饮用水源地二级保护区；3</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台风机及箱变、部分集电线路杆塔</w:t>
            </w: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、检修道路</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等永久占地占用</w:t>
            </w: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甘河子（含铁路专供）地下饮用水源地二级保护区；7</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台风机及箱变、部分集电线路杆塔</w:t>
            </w: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、检修道路</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等永久</w:t>
            </w:r>
            <w:r>
              <w:rPr>
                <w:rFonts w:hint="default" w:eastAsia="宋体" w:cs="Times New Roman"/>
                <w:color w:val="000000" w:themeColor="text1"/>
                <w:kern w:val="0"/>
                <w:sz w:val="21"/>
                <w:szCs w:val="21"/>
                <w:highlight w:val="none"/>
                <w:lang w:val="en-US" w:eastAsia="zh-CN" w:bidi="ar"/>
                <w14:textFill>
                  <w14:solidFill>
                    <w14:schemeClr w14:val="tx1"/>
                  </w14:solidFill>
                </w14:textFill>
              </w:rPr>
              <w:t>占地占用乌拉泊、柴西、柴北、西山、甘河子（含铁路专供）准保护区</w:t>
            </w:r>
            <w:r>
              <w:rPr>
                <w:rFonts w:hint="eastAsia" w:eastAsia="宋体" w:cs="Times New Roman"/>
                <w:color w:val="000000" w:themeColor="text1"/>
                <w:kern w:val="0"/>
                <w:sz w:val="21"/>
                <w:szCs w:val="21"/>
                <w:highlight w:val="none"/>
                <w:lang w:val="en-US" w:eastAsia="zh-CN" w:bidi="ar"/>
                <w14:textFill>
                  <w14:solidFill>
                    <w14:schemeClr w14:val="tx1"/>
                  </w14:solidFill>
                </w14:textFill>
              </w:rPr>
              <w:t>内</w:t>
            </w:r>
            <w:r>
              <w:rPr>
                <w:rFonts w:hint="default" w:eastAsia="宋体" w:cs="Times New Roman"/>
                <w:color w:val="000000" w:themeColor="text1"/>
                <w:kern w:val="0"/>
                <w:sz w:val="21"/>
                <w:szCs w:val="21"/>
                <w:highlight w:val="none"/>
                <w:lang w:val="en-US" w:eastAsia="zh-CN" w:bidi="ar"/>
                <w14:textFill>
                  <w14:solidFill>
                    <w14:schemeClr w14:val="tx1"/>
                  </w14:solidFill>
                </w14:textFill>
              </w:rPr>
              <w:t>。项目箱式变压器均使用干式变压器，无变压器废油。</w:t>
            </w:r>
            <w:r>
              <w:rPr>
                <w:rFonts w:hint="eastAsia" w:eastAsia="宋体" w:cs="Times New Roman"/>
                <w:color w:val="000000" w:themeColor="text1"/>
                <w:kern w:val="0"/>
                <w:sz w:val="21"/>
                <w:szCs w:val="21"/>
                <w:highlight w:val="none"/>
                <w:lang w:val="en-US" w:eastAsia="zh-CN" w:bidi="ar"/>
                <w14:textFill>
                  <w14:solidFill>
                    <w14:schemeClr w14:val="tx1"/>
                  </w14:solidFill>
                </w14:textFill>
              </w:rPr>
              <w:t>风电场</w:t>
            </w:r>
            <w:r>
              <w:rPr>
                <w:rFonts w:hint="default" w:eastAsia="宋体" w:cs="Times New Roman"/>
                <w:color w:val="000000" w:themeColor="text1"/>
                <w:kern w:val="0"/>
                <w:sz w:val="21"/>
                <w:szCs w:val="21"/>
                <w:highlight w:val="none"/>
                <w:lang w:val="en-US" w:eastAsia="zh-CN" w:bidi="ar"/>
                <w14:textFill>
                  <w14:solidFill>
                    <w14:schemeClr w14:val="tx1"/>
                  </w14:solidFill>
                </w14:textFill>
              </w:rPr>
              <w:t>运营期无</w:t>
            </w:r>
            <w:r>
              <w:rPr>
                <w:rFonts w:hint="eastAsia" w:eastAsia="宋体" w:cs="Times New Roman"/>
                <w:color w:val="000000" w:themeColor="text1"/>
                <w:kern w:val="0"/>
                <w:sz w:val="21"/>
                <w:szCs w:val="21"/>
                <w:highlight w:val="none"/>
                <w:lang w:val="en-US" w:eastAsia="zh-CN" w:bidi="ar"/>
                <w14:textFill>
                  <w14:solidFill>
                    <w14:schemeClr w14:val="tx1"/>
                  </w14:solidFill>
                </w14:textFill>
              </w:rPr>
              <w:t>废水产生；巡检过程中产生的少量</w:t>
            </w:r>
            <w:r>
              <w:rPr>
                <w:rFonts w:hint="default" w:eastAsia="宋体" w:cs="Times New Roman"/>
                <w:color w:val="000000" w:themeColor="text1"/>
                <w:kern w:val="0"/>
                <w:sz w:val="21"/>
                <w:szCs w:val="21"/>
                <w:highlight w:val="none"/>
                <w:lang w:val="en-US" w:eastAsia="zh-CN" w:bidi="ar"/>
                <w14:textFill>
                  <w14:solidFill>
                    <w14:schemeClr w14:val="tx1"/>
                  </w14:solidFill>
                </w14:textFill>
              </w:rPr>
              <w:t>生活垃圾随车拉运至就近生活垃圾转运站，由环卫部门统一处置</w:t>
            </w:r>
            <w:r>
              <w:rPr>
                <w:rFonts w:hint="eastAsia" w:eastAsia="宋体" w:cs="Times New Roman"/>
                <w:color w:val="000000" w:themeColor="text1"/>
                <w:kern w:val="0"/>
                <w:sz w:val="21"/>
                <w:szCs w:val="21"/>
                <w:highlight w:val="none"/>
                <w:lang w:val="en-US" w:eastAsia="zh-CN" w:bidi="ar"/>
                <w14:textFill>
                  <w14:solidFill>
                    <w14:schemeClr w14:val="tx1"/>
                  </w14:solidFill>
                </w14:textFill>
              </w:rPr>
              <w:t>；检修产生的废矿物油</w:t>
            </w:r>
            <w:r>
              <w:rPr>
                <w:rFonts w:hint="default" w:eastAsia="宋体" w:cs="Times New Roman"/>
                <w:color w:val="000000" w:themeColor="text1"/>
                <w:kern w:val="0"/>
                <w:sz w:val="21"/>
                <w:szCs w:val="21"/>
                <w:highlight w:val="none"/>
                <w:lang w:val="en-US" w:eastAsia="zh-CN" w:bidi="ar"/>
                <w14:textFill>
                  <w14:solidFill>
                    <w14:schemeClr w14:val="tx1"/>
                  </w14:solidFill>
                </w14:textFill>
              </w:rPr>
              <w:t>、含油抹布和废手套等废危险废物</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分类收集、即产即清，不在站区储存。风电场区</w:t>
            </w:r>
            <w:r>
              <w:rPr>
                <w:rFonts w:hint="eastAsia" w:eastAsia="宋体" w:cs="Times New Roman"/>
                <w:color w:val="000000" w:themeColor="text1"/>
                <w:kern w:val="0"/>
                <w:sz w:val="21"/>
                <w:szCs w:val="21"/>
                <w:highlight w:val="none"/>
                <w:lang w:val="en-US" w:eastAsia="zh-CN" w:bidi="ar"/>
                <w14:textFill>
                  <w14:solidFill>
                    <w14:schemeClr w14:val="tx1"/>
                  </w14:solidFill>
                </w14:textFill>
              </w:rPr>
              <w:t>部分</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施工临</w:t>
            </w: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建场地位于乌拉泊、柴西、柴北、西山、甘河子（含铁路专供）准保护区内。施工营地内设置沉淀池，车辆冲洗废水沉淀池处理后循环利用，不外排；设置移动环保厕所及防渗污水收集池，生活污水集中收集后，定期委托环卫部门采用吸污车清运至污水处理厂处理，不外排。施工期无弃方，生活垃圾集中收集拉运之附近生活垃圾转运站，由环卫部门清运统一处置，废包装材料集中收集外售综合利用，不外排，建筑垃圾集中收集后清运至乌鲁木齐市建筑垃圾填埋场处置。项目不属于对水体有严重污染的建设项目。</w:t>
            </w:r>
          </w:p>
        </w:tc>
        <w:tc>
          <w:tcPr>
            <w:tcW w:w="687" w:type="dxa"/>
            <w:tcBorders>
              <w:tl2br w:val="nil"/>
              <w:tr2bl w:val="nil"/>
            </w:tcBorders>
            <w:vAlign w:val="center"/>
          </w:tcPr>
          <w:p w14:paraId="72858EE0">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eastAsiaTheme="minorEastAsia"/>
                <w:color w:val="000000" w:themeColor="text1"/>
                <w:kern w:val="0"/>
                <w:sz w:val="21"/>
                <w:szCs w:val="21"/>
                <w:highlight w:val="none"/>
                <w:vertAlign w:val="baseline"/>
                <w:lang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符合</w:t>
            </w:r>
          </w:p>
        </w:tc>
      </w:tr>
    </w:tbl>
    <w:p w14:paraId="14021479">
      <w:pPr>
        <w:bidi w:val="0"/>
        <w:rPr>
          <w:rFonts w:hint="default"/>
          <w:color w:val="FF0000"/>
          <w:lang w:val="en-US" w:eastAsia="zh-CN"/>
        </w:rPr>
      </w:pPr>
    </w:p>
    <w:p w14:paraId="04DBE087">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综上所述，本项目施工期、运营期产生的废水和固废均合理处置，不外排。施工期结束后，对施工临建场地清理平整后，自然恢复植被。符合《中华人民共和国水污染防治法》(2017年6月27日第二次修正)中对水源地二级保护区和水源准保护区的规定。</w:t>
      </w:r>
    </w:p>
    <w:p w14:paraId="11F5B1C1">
      <w:pPr>
        <w:bidi w:val="0"/>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pPr>
      <w:bookmarkStart w:id="283" w:name="_Toc12612"/>
      <w:r>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t>（2）与《饮用水水源保护区污染防治管理规定》符合性分析</w:t>
      </w:r>
    </w:p>
    <w:p w14:paraId="0CEA5A98">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本项目与《饮用水水源保护区污染防治管理规定》(2010年修正本)符合性分析如下：</w:t>
      </w:r>
    </w:p>
    <w:p w14:paraId="5292048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b/>
          <w:color w:val="000000" w:themeColor="text1"/>
          <w:sz w:val="24"/>
          <w:highlight w:val="none"/>
          <w:lang w:val="en-US" w:eastAsia="zh-CN"/>
          <w14:textFill>
            <w14:solidFill>
              <w14:schemeClr w14:val="tx1"/>
            </w14:solidFill>
          </w14:textFill>
        </w:rPr>
        <w:t>表3.3-4    本项目与《饮用水水源保护区污染防治管理规定》相符性分析一览表</w:t>
      </w:r>
    </w:p>
    <w:tbl>
      <w:tblPr>
        <w:tblStyle w:val="76"/>
        <w:tblW w:w="917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93"/>
        <w:gridCol w:w="512"/>
        <w:gridCol w:w="3896"/>
        <w:gridCol w:w="3282"/>
        <w:gridCol w:w="687"/>
      </w:tblGrid>
      <w:tr w14:paraId="3F294D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trPr>
        <w:tc>
          <w:tcPr>
            <w:tcW w:w="793" w:type="dxa"/>
            <w:tcBorders>
              <w:tl2br w:val="nil"/>
              <w:tr2bl w:val="nil"/>
            </w:tcBorders>
            <w:vAlign w:val="center"/>
          </w:tcPr>
          <w:p w14:paraId="70EB923B">
            <w:pPr>
              <w:keepNext w:val="0"/>
              <w:keepLines w:val="0"/>
              <w:pageBreakBefore w:val="0"/>
              <w:kinsoku/>
              <w:wordWrap w:val="0"/>
              <w:overflowPunct/>
              <w:topLinePunct/>
              <w:autoSpaceDE/>
              <w:autoSpaceDN/>
              <w:bidi w:val="0"/>
              <w:adjustRightInd/>
              <w:snapToGrid/>
              <w:spacing w:line="240" w:lineRule="auto"/>
              <w:ind w:left="0" w:leftChars="0" w:right="0"/>
              <w:jc w:val="center"/>
              <w:textAlignment w:val="auto"/>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t>文件名称</w:t>
            </w:r>
          </w:p>
        </w:tc>
        <w:tc>
          <w:tcPr>
            <w:tcW w:w="4408" w:type="dxa"/>
            <w:gridSpan w:val="2"/>
            <w:tcBorders>
              <w:tl2br w:val="nil"/>
              <w:tr2bl w:val="nil"/>
            </w:tcBorders>
            <w:vAlign w:val="center"/>
          </w:tcPr>
          <w:p w14:paraId="5EFCBE78">
            <w:pPr>
              <w:keepNext w:val="0"/>
              <w:keepLines w:val="0"/>
              <w:pageBreakBefore w:val="0"/>
              <w:kinsoku/>
              <w:wordWrap w:val="0"/>
              <w:overflowPunct/>
              <w:topLinePunct/>
              <w:autoSpaceDE/>
              <w:autoSpaceDN/>
              <w:bidi w:val="0"/>
              <w:adjustRightInd/>
              <w:snapToGrid/>
              <w:spacing w:line="240" w:lineRule="auto"/>
              <w:ind w:left="0" w:leftChars="0" w:right="0"/>
              <w:jc w:val="center"/>
              <w:textAlignment w:val="auto"/>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t>有关要求</w:t>
            </w:r>
          </w:p>
        </w:tc>
        <w:tc>
          <w:tcPr>
            <w:tcW w:w="3282" w:type="dxa"/>
            <w:tcBorders>
              <w:tl2br w:val="nil"/>
              <w:tr2bl w:val="nil"/>
            </w:tcBorders>
            <w:vAlign w:val="center"/>
          </w:tcPr>
          <w:p w14:paraId="52009FD9">
            <w:pPr>
              <w:keepNext w:val="0"/>
              <w:keepLines w:val="0"/>
              <w:pageBreakBefore w:val="0"/>
              <w:kinsoku/>
              <w:wordWrap w:val="0"/>
              <w:overflowPunct/>
              <w:topLinePunct/>
              <w:autoSpaceDE/>
              <w:autoSpaceDN/>
              <w:bidi w:val="0"/>
              <w:adjustRightInd/>
              <w:snapToGrid/>
              <w:spacing w:line="240" w:lineRule="auto"/>
              <w:ind w:left="0" w:leftChars="0" w:right="0"/>
              <w:jc w:val="center"/>
              <w:textAlignment w:val="auto"/>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t>本项目</w:t>
            </w:r>
          </w:p>
        </w:tc>
        <w:tc>
          <w:tcPr>
            <w:tcW w:w="687" w:type="dxa"/>
            <w:tcBorders>
              <w:tl2br w:val="nil"/>
              <w:tr2bl w:val="nil"/>
            </w:tcBorders>
            <w:vAlign w:val="center"/>
          </w:tcPr>
          <w:p w14:paraId="37EE7E72">
            <w:pPr>
              <w:keepNext w:val="0"/>
              <w:keepLines w:val="0"/>
              <w:pageBreakBefore w:val="0"/>
              <w:kinsoku/>
              <w:wordWrap w:val="0"/>
              <w:overflowPunct/>
              <w:topLinePunct/>
              <w:autoSpaceDE/>
              <w:autoSpaceDN/>
              <w:bidi w:val="0"/>
              <w:adjustRightInd/>
              <w:snapToGrid/>
              <w:spacing w:line="240" w:lineRule="auto"/>
              <w:ind w:left="0" w:leftChars="0" w:right="0"/>
              <w:jc w:val="center"/>
              <w:textAlignment w:val="auto"/>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t>符合性</w:t>
            </w:r>
          </w:p>
        </w:tc>
      </w:tr>
      <w:tr w14:paraId="677E86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27" w:hRule="atLeast"/>
        </w:trPr>
        <w:tc>
          <w:tcPr>
            <w:tcW w:w="793" w:type="dxa"/>
            <w:vMerge w:val="restart"/>
            <w:tcBorders>
              <w:tl2br w:val="nil"/>
              <w:tr2bl w:val="nil"/>
            </w:tcBorders>
            <w:vAlign w:val="center"/>
          </w:tcPr>
          <w:p w14:paraId="03F400BE">
            <w:pPr>
              <w:keepNext w:val="0"/>
              <w:keepLines w:val="0"/>
              <w:pageBreakBefore w:val="0"/>
              <w:widowControl/>
              <w:suppressLineNumbers w:val="0"/>
              <w:kinsoku/>
              <w:overflowPunct/>
              <w:autoSpaceDE/>
              <w:autoSpaceDN/>
              <w:bidi w:val="0"/>
              <w:adjustRightInd/>
              <w:snapToGrid/>
              <w:spacing w:line="240" w:lineRule="auto"/>
              <w:ind w:left="0" w:leftChars="0"/>
              <w:jc w:val="both"/>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《饮用水水源保护区污染防治管理规定》(2010年修正本)</w:t>
            </w:r>
          </w:p>
        </w:tc>
        <w:tc>
          <w:tcPr>
            <w:tcW w:w="512" w:type="dxa"/>
            <w:vMerge w:val="restart"/>
            <w:tcBorders>
              <w:tl2br w:val="nil"/>
              <w:tr2bl w:val="nil"/>
            </w:tcBorders>
            <w:vAlign w:val="center"/>
          </w:tcPr>
          <w:p w14:paraId="63357A12">
            <w:pPr>
              <w:keepNext w:val="0"/>
              <w:keepLines w:val="0"/>
              <w:pageBreakBefore w:val="0"/>
              <w:widowControl/>
              <w:suppressLineNumbers w:val="0"/>
              <w:kinsoku/>
              <w:overflowPunct/>
              <w:autoSpaceDE/>
              <w:autoSpaceDN/>
              <w:bidi w:val="0"/>
              <w:adjustRightInd/>
              <w:snapToGrid/>
              <w:spacing w:line="240" w:lineRule="auto"/>
              <w:ind w:left="0" w:leftChars="0"/>
              <w:jc w:val="both"/>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地下水</w:t>
            </w:r>
          </w:p>
        </w:tc>
        <w:tc>
          <w:tcPr>
            <w:tcW w:w="3896" w:type="dxa"/>
            <w:tcBorders>
              <w:tl2br w:val="nil"/>
              <w:tr2bl w:val="nil"/>
            </w:tcBorders>
            <w:vAlign w:val="center"/>
          </w:tcPr>
          <w:p w14:paraId="6A0BD065">
            <w:pPr>
              <w:keepNext w:val="0"/>
              <w:keepLines w:val="0"/>
              <w:pageBreakBefore w:val="0"/>
              <w:widowControl/>
              <w:suppressLineNumbers w:val="0"/>
              <w:kinsoku/>
              <w:overflowPunct/>
              <w:autoSpaceDE/>
              <w:autoSpaceDN/>
              <w:bidi w:val="0"/>
              <w:adjustRightInd/>
              <w:snapToGrid/>
              <w:spacing w:line="240" w:lineRule="auto"/>
              <w:ind w:left="0" w:leftChars="0"/>
              <w:jc w:val="both"/>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第19条规定：</w:t>
            </w:r>
          </w:p>
          <w:p w14:paraId="2B2771CF">
            <w:pPr>
              <w:keepNext w:val="0"/>
              <w:keepLines w:val="0"/>
              <w:pageBreakBefore w:val="0"/>
              <w:widowControl/>
              <w:suppressLineNumbers w:val="0"/>
              <w:kinsoku/>
              <w:overflowPunct/>
              <w:autoSpaceDE/>
              <w:autoSpaceDN/>
              <w:bidi w:val="0"/>
              <w:adjustRightInd/>
              <w:snapToGrid/>
              <w:spacing w:line="240" w:lineRule="auto"/>
              <w:ind w:left="0" w:leftChars="0"/>
              <w:jc w:val="both"/>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一、一级保护区内</w:t>
            </w:r>
          </w:p>
          <w:p w14:paraId="23CA34A2">
            <w:pPr>
              <w:keepNext w:val="0"/>
              <w:keepLines w:val="0"/>
              <w:pageBreakBefore w:val="0"/>
              <w:widowControl/>
              <w:suppressLineNumbers w:val="0"/>
              <w:kinsoku/>
              <w:overflowPunct/>
              <w:autoSpaceDE/>
              <w:autoSpaceDN/>
              <w:bidi w:val="0"/>
              <w:adjustRightInd/>
              <w:snapToGrid/>
              <w:spacing w:line="240" w:lineRule="auto"/>
              <w:ind w:left="0" w:leftChars="0"/>
              <w:jc w:val="both"/>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禁止建设与取水设施无关的建筑物；禁止从事农牧业活动；禁止倾倒、堆放工业废渣及城市垃圾、粪便和其它有害废弃物；禁止输送污水的渠道、管道及输油管道通过本区；禁止建设油库；禁止建立墓地。</w:t>
            </w:r>
          </w:p>
        </w:tc>
        <w:tc>
          <w:tcPr>
            <w:tcW w:w="3282" w:type="dxa"/>
            <w:tcBorders>
              <w:tl2br w:val="nil"/>
              <w:tr2bl w:val="nil"/>
            </w:tcBorders>
            <w:vAlign w:val="center"/>
          </w:tcPr>
          <w:p w14:paraId="260B4E2F">
            <w:pPr>
              <w:keepNext w:val="0"/>
              <w:keepLines w:val="0"/>
              <w:pageBreakBefore w:val="0"/>
              <w:widowControl/>
              <w:suppressLineNumbers w:val="0"/>
              <w:kinsoku/>
              <w:overflowPunct/>
              <w:autoSpaceDE/>
              <w:autoSpaceDN/>
              <w:bidi w:val="0"/>
              <w:adjustRightInd/>
              <w:snapToGrid/>
              <w:spacing w:line="240" w:lineRule="auto"/>
              <w:ind w:left="0" w:leftChars="0"/>
              <w:jc w:val="both"/>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本项目不占用地下水饮用水水源一级保护区。</w:t>
            </w:r>
          </w:p>
          <w:p w14:paraId="3F75D0A0">
            <w:pPr>
              <w:keepNext w:val="0"/>
              <w:keepLines w:val="0"/>
              <w:pageBreakBefore w:val="0"/>
              <w:widowControl/>
              <w:suppressLineNumbers w:val="0"/>
              <w:kinsoku/>
              <w:overflowPunct/>
              <w:autoSpaceDE/>
              <w:autoSpaceDN/>
              <w:bidi w:val="0"/>
              <w:adjustRightInd/>
              <w:snapToGrid/>
              <w:spacing w:line="240" w:lineRule="auto"/>
              <w:ind w:left="0" w:leftChars="0"/>
              <w:jc w:val="both"/>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p>
        </w:tc>
        <w:tc>
          <w:tcPr>
            <w:tcW w:w="687" w:type="dxa"/>
            <w:tcBorders>
              <w:tl2br w:val="nil"/>
              <w:tr2bl w:val="nil"/>
            </w:tcBorders>
            <w:vAlign w:val="center"/>
          </w:tcPr>
          <w:p w14:paraId="1DA377A7">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符合</w:t>
            </w:r>
          </w:p>
        </w:tc>
      </w:tr>
      <w:tr w14:paraId="08F8F6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93" w:type="dxa"/>
            <w:vMerge w:val="continue"/>
            <w:tcBorders>
              <w:tl2br w:val="nil"/>
              <w:tr2bl w:val="nil"/>
            </w:tcBorders>
            <w:vAlign w:val="center"/>
          </w:tcPr>
          <w:p w14:paraId="00B012A6">
            <w:pPr>
              <w:keepNext w:val="0"/>
              <w:keepLines w:val="0"/>
              <w:pageBreakBefore w:val="0"/>
              <w:widowControl/>
              <w:suppressLineNumbers w:val="0"/>
              <w:kinsoku/>
              <w:overflowPunct/>
              <w:autoSpaceDE/>
              <w:autoSpaceDN/>
              <w:bidi w:val="0"/>
              <w:adjustRightInd/>
              <w:snapToGrid/>
              <w:spacing w:line="240" w:lineRule="auto"/>
              <w:ind w:left="0" w:leftChars="0"/>
              <w:jc w:val="both"/>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p>
        </w:tc>
        <w:tc>
          <w:tcPr>
            <w:tcW w:w="512" w:type="dxa"/>
            <w:vMerge w:val="continue"/>
            <w:tcBorders>
              <w:tl2br w:val="nil"/>
              <w:tr2bl w:val="nil"/>
            </w:tcBorders>
            <w:vAlign w:val="center"/>
          </w:tcPr>
          <w:p w14:paraId="14D6EED9">
            <w:pPr>
              <w:keepNext w:val="0"/>
              <w:keepLines w:val="0"/>
              <w:pageBreakBefore w:val="0"/>
              <w:widowControl/>
              <w:suppressLineNumbers w:val="0"/>
              <w:kinsoku/>
              <w:overflowPunct/>
              <w:autoSpaceDE/>
              <w:autoSpaceDN/>
              <w:bidi w:val="0"/>
              <w:adjustRightInd/>
              <w:snapToGrid/>
              <w:spacing w:line="240" w:lineRule="auto"/>
              <w:ind w:left="0" w:leftChars="0"/>
              <w:jc w:val="both"/>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p>
        </w:tc>
        <w:tc>
          <w:tcPr>
            <w:tcW w:w="3896" w:type="dxa"/>
            <w:tcBorders>
              <w:tl2br w:val="nil"/>
              <w:tr2bl w:val="nil"/>
            </w:tcBorders>
            <w:vAlign w:val="center"/>
          </w:tcPr>
          <w:p w14:paraId="0338D28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both"/>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二、二级保护区内</w:t>
            </w:r>
          </w:p>
          <w:p w14:paraId="6EB632F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both"/>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(一)对于潜水含水层地下水水源地</w:t>
            </w:r>
          </w:p>
          <w:p w14:paraId="64610EB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both"/>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禁止建设化工、电镀、皮革、造纸、制浆、冶炼、放射性、印染、染料、炼焦、炼油及其它有严重污染的企业，已建成的要限期治理，转产或搬迁；禁止设置城市垃圾、粪便和易溶、有毒有害废弃物堆放场和转运站，已有的上述场站要限期搬迁；禁止利用未经净化的污水灌溉农田，已有的污灌农田要限期改用清水灌溉；化工原料、矿物油类及有毒有害矿产品的堆放场所必须有防雨、防渗措施。</w:t>
            </w:r>
          </w:p>
        </w:tc>
        <w:tc>
          <w:tcPr>
            <w:tcW w:w="3282" w:type="dxa"/>
            <w:tcBorders>
              <w:tl2br w:val="nil"/>
              <w:tr2bl w:val="nil"/>
            </w:tcBorders>
            <w:vAlign w:val="center"/>
          </w:tcPr>
          <w:p w14:paraId="140BE61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both"/>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本项目不属于化工、电镀、皮革、造纸、制浆、冶炼、放射性、印染、染料、炼焦、炼油及其它有严重污染的企业。</w:t>
            </w:r>
          </w:p>
          <w:p w14:paraId="0E882793">
            <w:pPr>
              <w:keepNext w:val="0"/>
              <w:keepLines w:val="0"/>
              <w:pageBreakBefore w:val="0"/>
              <w:widowControl w:val="0"/>
              <w:numPr>
                <w:ilvl w:val="0"/>
                <w:numId w:val="0"/>
              </w:numPr>
              <w:tabs>
                <w:tab w:val="left" w:pos="1260"/>
              </w:tabs>
              <w:kinsoku/>
              <w:wordWrap/>
              <w:overflowPunct/>
              <w:topLinePunct w:val="0"/>
              <w:autoSpaceDE/>
              <w:autoSpaceDN/>
              <w:bidi w:val="0"/>
              <w:adjustRightInd/>
              <w:snapToGrid/>
              <w:spacing w:line="240" w:lineRule="auto"/>
              <w:textAlignment w:val="auto"/>
              <w:outlineLvl w:val="9"/>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本项目符合规定</w:t>
            </w:r>
            <w:r>
              <w:rPr>
                <w:rFonts w:hint="eastAsia" w:cs="Times New Roman" w:eastAsiaTheme="minorEastAsia"/>
                <w:color w:val="000000" w:themeColor="text1"/>
                <w:kern w:val="2"/>
                <w:sz w:val="21"/>
                <w:szCs w:val="21"/>
                <w:highlight w:val="none"/>
                <w:lang w:val="en-US" w:eastAsia="zh-CN" w:bidi="ar-SA"/>
                <w14:textFill>
                  <w14:solidFill>
                    <w14:schemeClr w14:val="tx1"/>
                  </w14:solidFill>
                </w14:textFill>
              </w:rPr>
              <w:t>二级保护区内相关要求，具体详见表3.3-3</w:t>
            </w: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w:t>
            </w:r>
          </w:p>
        </w:tc>
        <w:tc>
          <w:tcPr>
            <w:tcW w:w="687" w:type="dxa"/>
            <w:tcBorders>
              <w:tl2br w:val="nil"/>
              <w:tr2bl w:val="nil"/>
            </w:tcBorders>
            <w:vAlign w:val="center"/>
          </w:tcPr>
          <w:p w14:paraId="6E2DA252">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符合</w:t>
            </w:r>
          </w:p>
        </w:tc>
      </w:tr>
      <w:tr w14:paraId="11BD57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93" w:type="dxa"/>
            <w:vMerge w:val="continue"/>
            <w:tcBorders>
              <w:tl2br w:val="nil"/>
              <w:tr2bl w:val="nil"/>
            </w:tcBorders>
            <w:vAlign w:val="center"/>
          </w:tcPr>
          <w:p w14:paraId="5CE3512B">
            <w:pPr>
              <w:keepNext w:val="0"/>
              <w:keepLines w:val="0"/>
              <w:pageBreakBefore w:val="0"/>
              <w:widowControl/>
              <w:suppressLineNumbers w:val="0"/>
              <w:kinsoku/>
              <w:overflowPunct/>
              <w:autoSpaceDE/>
              <w:autoSpaceDN/>
              <w:bidi w:val="0"/>
              <w:adjustRightInd/>
              <w:snapToGrid/>
              <w:spacing w:line="240" w:lineRule="auto"/>
              <w:ind w:left="0" w:leftChars="0"/>
              <w:jc w:val="both"/>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p>
        </w:tc>
        <w:tc>
          <w:tcPr>
            <w:tcW w:w="512" w:type="dxa"/>
            <w:vMerge w:val="continue"/>
            <w:tcBorders>
              <w:tl2br w:val="nil"/>
              <w:tr2bl w:val="nil"/>
            </w:tcBorders>
            <w:vAlign w:val="center"/>
          </w:tcPr>
          <w:p w14:paraId="55892940">
            <w:pPr>
              <w:keepNext w:val="0"/>
              <w:keepLines w:val="0"/>
              <w:pageBreakBefore w:val="0"/>
              <w:widowControl/>
              <w:suppressLineNumbers w:val="0"/>
              <w:kinsoku/>
              <w:overflowPunct/>
              <w:autoSpaceDE/>
              <w:autoSpaceDN/>
              <w:bidi w:val="0"/>
              <w:adjustRightInd/>
              <w:snapToGrid/>
              <w:spacing w:line="240" w:lineRule="auto"/>
              <w:ind w:left="0" w:leftChars="0"/>
              <w:jc w:val="both"/>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p>
        </w:tc>
        <w:tc>
          <w:tcPr>
            <w:tcW w:w="3896" w:type="dxa"/>
            <w:tcBorders>
              <w:tl2br w:val="nil"/>
              <w:tr2bl w:val="nil"/>
            </w:tcBorders>
            <w:vAlign w:val="center"/>
          </w:tcPr>
          <w:p w14:paraId="3A05DD6D">
            <w:pPr>
              <w:keepNext w:val="0"/>
              <w:keepLines w:val="0"/>
              <w:pageBreakBefore w:val="0"/>
              <w:widowControl/>
              <w:suppressLineNumbers w:val="0"/>
              <w:kinsoku/>
              <w:overflowPunct/>
              <w:autoSpaceDE/>
              <w:autoSpaceDN/>
              <w:bidi w:val="0"/>
              <w:adjustRightInd/>
              <w:snapToGrid/>
              <w:spacing w:line="240" w:lineRule="auto"/>
              <w:ind w:left="0" w:leftChars="0"/>
              <w:jc w:val="both"/>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三、准保护区内</w:t>
            </w:r>
          </w:p>
          <w:p w14:paraId="00552162">
            <w:pPr>
              <w:keepNext w:val="0"/>
              <w:keepLines w:val="0"/>
              <w:pageBreakBefore w:val="0"/>
              <w:widowControl/>
              <w:suppressLineNumbers w:val="0"/>
              <w:kinsoku/>
              <w:overflowPunct/>
              <w:autoSpaceDE/>
              <w:autoSpaceDN/>
              <w:bidi w:val="0"/>
              <w:adjustRightInd/>
              <w:snapToGrid/>
              <w:spacing w:line="240" w:lineRule="auto"/>
              <w:ind w:left="0" w:leftChars="0"/>
              <w:jc w:val="both"/>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禁止建设城市垃圾、粪便和易溶、有毒有害废弃物的堆放场站，因特殊需要设立转运站的，必须经有关部门批准，并采取防渗漏措施；当补给源为地表水体时，该地表水体水质不应低于《GB3838－88 地面水环境质量标准》Ⅲ类标准；不得使用不符合《农田灌溉水质标准》的污水进行灌溉，合理使用化肥；保护水源林，禁止毁林开荒，禁止非更新砍伐水源林。</w:t>
            </w:r>
          </w:p>
        </w:tc>
        <w:tc>
          <w:tcPr>
            <w:tcW w:w="3282" w:type="dxa"/>
            <w:tcBorders>
              <w:tl2br w:val="nil"/>
              <w:tr2bl w:val="nil"/>
            </w:tcBorders>
            <w:vAlign w:val="center"/>
          </w:tcPr>
          <w:p w14:paraId="2C0C9861">
            <w:pPr>
              <w:keepNext w:val="0"/>
              <w:keepLines w:val="0"/>
              <w:pageBreakBefore w:val="0"/>
              <w:widowControl/>
              <w:suppressLineNumbers w:val="0"/>
              <w:kinsoku/>
              <w:overflowPunct/>
              <w:autoSpaceDE/>
              <w:autoSpaceDN/>
              <w:bidi w:val="0"/>
              <w:adjustRightInd/>
              <w:snapToGrid/>
              <w:spacing w:line="240" w:lineRule="auto"/>
              <w:ind w:left="0" w:leftChars="0"/>
              <w:jc w:val="both"/>
              <w:textAlignment w:val="auto"/>
              <w:rPr>
                <w:rFonts w:hint="eastAsia"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本项目</w:t>
            </w:r>
            <w:r>
              <w:rPr>
                <w:rFonts w:hint="eastAsia" w:cs="Times New Roman" w:eastAsiaTheme="minorEastAsia"/>
                <w:color w:val="000000" w:themeColor="text1"/>
                <w:kern w:val="2"/>
                <w:sz w:val="21"/>
                <w:szCs w:val="21"/>
                <w:highlight w:val="none"/>
                <w:lang w:val="en-US" w:eastAsia="zh-CN" w:bidi="ar-SA"/>
                <w14:textFill>
                  <w14:solidFill>
                    <w14:schemeClr w14:val="tx1"/>
                  </w14:solidFill>
                </w14:textFill>
              </w:rPr>
              <w:t>符合准保护区内相关要求，具体详见表3.3-3。</w:t>
            </w:r>
          </w:p>
          <w:p w14:paraId="161517AD">
            <w:pPr>
              <w:keepNext w:val="0"/>
              <w:keepLines w:val="0"/>
              <w:pageBreakBefore w:val="0"/>
              <w:widowControl/>
              <w:suppressLineNumbers w:val="0"/>
              <w:kinsoku/>
              <w:overflowPunct/>
              <w:autoSpaceDE/>
              <w:autoSpaceDN/>
              <w:bidi w:val="0"/>
              <w:adjustRightInd/>
              <w:snapToGrid/>
              <w:spacing w:line="240" w:lineRule="auto"/>
              <w:ind w:left="0" w:leftChars="0"/>
              <w:jc w:val="both"/>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本项</w:t>
            </w:r>
            <w:r>
              <w:rPr>
                <w:rFonts w:hint="default" w:cs="Times New Roman" w:eastAsiaTheme="minorEastAsia"/>
                <w:color w:val="000000" w:themeColor="text1"/>
                <w:kern w:val="2"/>
                <w:sz w:val="21"/>
                <w:szCs w:val="21"/>
                <w:highlight w:val="none"/>
                <w:lang w:val="en-US" w:eastAsia="zh-CN" w:bidi="ar-SA"/>
                <w14:textFill>
                  <w14:solidFill>
                    <w14:schemeClr w14:val="tx1"/>
                  </w14:solidFill>
                </w14:textFill>
              </w:rPr>
              <w:t>目</w:t>
            </w:r>
            <w:r>
              <w:rPr>
                <w:rFonts w:hint="eastAsia" w:cs="Times New Roman" w:eastAsiaTheme="minorEastAsia"/>
                <w:color w:val="000000" w:themeColor="text1"/>
                <w:kern w:val="2"/>
                <w:sz w:val="21"/>
                <w:szCs w:val="21"/>
                <w:highlight w:val="none"/>
                <w:lang w:val="en-US" w:eastAsia="zh-CN" w:bidi="ar-SA"/>
                <w14:textFill>
                  <w14:solidFill>
                    <w14:schemeClr w14:val="tx1"/>
                  </w14:solidFill>
                </w14:textFill>
              </w:rPr>
              <w:t>占地类型为</w:t>
            </w:r>
            <w:r>
              <w:rPr>
                <w:rFonts w:hint="default" w:cs="Times New Roman" w:eastAsiaTheme="minorEastAsia"/>
                <w:color w:val="000000" w:themeColor="text1"/>
                <w:kern w:val="2"/>
                <w:sz w:val="21"/>
                <w:szCs w:val="21"/>
                <w:highlight w:val="none"/>
                <w:lang w:val="en-US" w:eastAsia="zh-CN" w:bidi="ar-SA"/>
                <w14:textFill>
                  <w14:solidFill>
                    <w14:schemeClr w14:val="tx1"/>
                  </w14:solidFill>
                </w14:textFill>
              </w:rPr>
              <w:t>天然牧草地</w:t>
            </w:r>
            <w:r>
              <w:rPr>
                <w:rFonts w:hint="eastAsia" w:cs="Times New Roman" w:eastAsiaTheme="minorEastAsia"/>
                <w:color w:val="000000" w:themeColor="text1"/>
                <w:kern w:val="2"/>
                <w:sz w:val="21"/>
                <w:szCs w:val="21"/>
                <w:highlight w:val="none"/>
                <w:lang w:val="en-US" w:eastAsia="zh-CN" w:bidi="ar-SA"/>
                <w14:textFill>
                  <w14:solidFill>
                    <w14:schemeClr w14:val="tx1"/>
                  </w14:solidFill>
                </w14:textFill>
              </w:rPr>
              <w:t>、其他草地、水浇地、其他林地、采矿用地</w:t>
            </w:r>
            <w:r>
              <w:rPr>
                <w:rFonts w:hint="default" w:cs="Times New Roman" w:eastAsiaTheme="minorEastAsia"/>
                <w:color w:val="000000" w:themeColor="text1"/>
                <w:kern w:val="2"/>
                <w:sz w:val="21"/>
                <w:szCs w:val="21"/>
                <w:highlight w:val="none"/>
                <w:lang w:val="en-US" w:eastAsia="zh-CN" w:bidi="ar-SA"/>
                <w14:textFill>
                  <w14:solidFill>
                    <w14:schemeClr w14:val="tx1"/>
                  </w14:solidFill>
                </w14:textFill>
              </w:rPr>
              <w:t>，</w:t>
            </w:r>
            <w:r>
              <w:rPr>
                <w:rFonts w:hint="eastAsia" w:cs="Times New Roman" w:eastAsiaTheme="minorEastAsia"/>
                <w:color w:val="000000" w:themeColor="text1"/>
                <w:kern w:val="2"/>
                <w:sz w:val="21"/>
                <w:szCs w:val="21"/>
                <w:highlight w:val="none"/>
                <w:lang w:val="en-US" w:eastAsia="zh-CN" w:bidi="ar-SA"/>
                <w14:textFill>
                  <w14:solidFill>
                    <w14:schemeClr w14:val="tx1"/>
                  </w14:solidFill>
                </w14:textFill>
              </w:rPr>
              <w:t>不涉及水源林</w:t>
            </w:r>
            <w:r>
              <w:rPr>
                <w:rFonts w:hint="default" w:cs="Times New Roman" w:eastAsiaTheme="minorEastAsia"/>
                <w:color w:val="000000" w:themeColor="text1"/>
                <w:kern w:val="2"/>
                <w:sz w:val="21"/>
                <w:szCs w:val="21"/>
                <w:highlight w:val="none"/>
                <w:lang w:val="en-US" w:eastAsia="zh-CN" w:bidi="ar-SA"/>
                <w14:textFill>
                  <w14:solidFill>
                    <w14:schemeClr w14:val="tx1"/>
                  </w14:solidFill>
                </w14:textFill>
              </w:rPr>
              <w:t>。</w:t>
            </w:r>
          </w:p>
        </w:tc>
        <w:tc>
          <w:tcPr>
            <w:tcW w:w="687" w:type="dxa"/>
            <w:tcBorders>
              <w:tl2br w:val="nil"/>
              <w:tr2bl w:val="nil"/>
            </w:tcBorders>
            <w:vAlign w:val="center"/>
          </w:tcPr>
          <w:p w14:paraId="609F3DF9">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符合</w:t>
            </w:r>
          </w:p>
        </w:tc>
      </w:tr>
    </w:tbl>
    <w:p w14:paraId="4741D5AB">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综上所述，本项目符合《饮用水水源保护区污染防治管理规定》(2010年修正本)中对水源准保护区的规定。</w:t>
      </w:r>
    </w:p>
    <w:p w14:paraId="28EC4027">
      <w:pPr>
        <w:bidi w:val="0"/>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t>（3）与《集中式饮用水水源环境保护指南(试行)》相符性</w:t>
      </w:r>
      <w:bookmarkEnd w:id="283"/>
    </w:p>
    <w:p w14:paraId="3915A662">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根据《集中式饮用水水源环境保护指南(试行)》(环办〔2012〕50号)“第9章饮用水水源保护区管理制度”中的“9.2保护区环境准入”的“9.2.2二级保护区及9.2.3准保护区”。本项目与《集中式饮用水水源环境保护指南(试行)》的通知(环办〔2012〕50号)符合性分析如下：</w:t>
      </w:r>
    </w:p>
    <w:p w14:paraId="2F2F76A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b/>
          <w:color w:val="000000" w:themeColor="text1"/>
          <w:sz w:val="24"/>
          <w:highlight w:val="none"/>
          <w:lang w:val="en-US" w:eastAsia="zh-CN"/>
          <w14:textFill>
            <w14:solidFill>
              <w14:schemeClr w14:val="tx1"/>
            </w14:solidFill>
          </w14:textFill>
        </w:rPr>
        <w:t>表3.3-5    本项目与《集中式饮用水水源环境保护指南(试行)》相符性分析一览表</w:t>
      </w:r>
    </w:p>
    <w:tbl>
      <w:tblPr>
        <w:tblStyle w:val="76"/>
        <w:tblW w:w="917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34"/>
        <w:gridCol w:w="3522"/>
        <w:gridCol w:w="4127"/>
        <w:gridCol w:w="687"/>
      </w:tblGrid>
      <w:tr w14:paraId="6B78AD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trPr>
        <w:tc>
          <w:tcPr>
            <w:tcW w:w="834" w:type="dxa"/>
            <w:tcBorders>
              <w:tl2br w:val="nil"/>
              <w:tr2bl w:val="nil"/>
            </w:tcBorders>
            <w:vAlign w:val="center"/>
          </w:tcPr>
          <w:p w14:paraId="36547E28">
            <w:pPr>
              <w:keepNext w:val="0"/>
              <w:keepLines w:val="0"/>
              <w:pageBreakBefore w:val="0"/>
              <w:kinsoku/>
              <w:wordWrap w:val="0"/>
              <w:overflowPunct/>
              <w:topLinePunct/>
              <w:autoSpaceDE/>
              <w:autoSpaceDN/>
              <w:bidi w:val="0"/>
              <w:adjustRightInd/>
              <w:snapToGrid/>
              <w:spacing w:line="240" w:lineRule="auto"/>
              <w:ind w:left="0" w:leftChars="0" w:right="0"/>
              <w:jc w:val="center"/>
              <w:textAlignment w:val="auto"/>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t>文件名称</w:t>
            </w:r>
          </w:p>
        </w:tc>
        <w:tc>
          <w:tcPr>
            <w:tcW w:w="3522" w:type="dxa"/>
            <w:tcBorders>
              <w:tl2br w:val="nil"/>
              <w:tr2bl w:val="nil"/>
            </w:tcBorders>
            <w:vAlign w:val="center"/>
          </w:tcPr>
          <w:p w14:paraId="6F5673CF">
            <w:pPr>
              <w:keepNext w:val="0"/>
              <w:keepLines w:val="0"/>
              <w:pageBreakBefore w:val="0"/>
              <w:kinsoku/>
              <w:wordWrap w:val="0"/>
              <w:overflowPunct/>
              <w:topLinePunct/>
              <w:autoSpaceDE/>
              <w:autoSpaceDN/>
              <w:bidi w:val="0"/>
              <w:adjustRightInd/>
              <w:snapToGrid/>
              <w:spacing w:line="240" w:lineRule="auto"/>
              <w:ind w:left="0" w:leftChars="0" w:right="0"/>
              <w:jc w:val="center"/>
              <w:textAlignment w:val="auto"/>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t>有关要求</w:t>
            </w:r>
          </w:p>
        </w:tc>
        <w:tc>
          <w:tcPr>
            <w:tcW w:w="4127" w:type="dxa"/>
            <w:tcBorders>
              <w:tl2br w:val="nil"/>
              <w:tr2bl w:val="nil"/>
            </w:tcBorders>
            <w:vAlign w:val="center"/>
          </w:tcPr>
          <w:p w14:paraId="59D2E9F9">
            <w:pPr>
              <w:keepNext w:val="0"/>
              <w:keepLines w:val="0"/>
              <w:pageBreakBefore w:val="0"/>
              <w:kinsoku/>
              <w:wordWrap w:val="0"/>
              <w:overflowPunct/>
              <w:topLinePunct/>
              <w:autoSpaceDE/>
              <w:autoSpaceDN/>
              <w:bidi w:val="0"/>
              <w:adjustRightInd/>
              <w:snapToGrid/>
              <w:spacing w:line="240" w:lineRule="auto"/>
              <w:ind w:left="0" w:leftChars="0" w:right="0"/>
              <w:jc w:val="center"/>
              <w:textAlignment w:val="auto"/>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t>本项目</w:t>
            </w:r>
          </w:p>
        </w:tc>
        <w:tc>
          <w:tcPr>
            <w:tcW w:w="687" w:type="dxa"/>
            <w:tcBorders>
              <w:tl2br w:val="nil"/>
              <w:tr2bl w:val="nil"/>
            </w:tcBorders>
            <w:vAlign w:val="center"/>
          </w:tcPr>
          <w:p w14:paraId="72E7FABC">
            <w:pPr>
              <w:keepNext w:val="0"/>
              <w:keepLines w:val="0"/>
              <w:pageBreakBefore w:val="0"/>
              <w:kinsoku/>
              <w:wordWrap w:val="0"/>
              <w:overflowPunct/>
              <w:topLinePunct/>
              <w:autoSpaceDE/>
              <w:autoSpaceDN/>
              <w:bidi w:val="0"/>
              <w:adjustRightInd/>
              <w:snapToGrid/>
              <w:spacing w:line="240" w:lineRule="auto"/>
              <w:ind w:left="0" w:leftChars="0" w:right="0"/>
              <w:jc w:val="center"/>
              <w:textAlignment w:val="auto"/>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t>符合性</w:t>
            </w:r>
          </w:p>
        </w:tc>
      </w:tr>
      <w:tr w14:paraId="7E369A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75" w:hRule="atLeast"/>
        </w:trPr>
        <w:tc>
          <w:tcPr>
            <w:tcW w:w="834" w:type="dxa"/>
            <w:vMerge w:val="restart"/>
            <w:tcBorders>
              <w:tl2br w:val="nil"/>
              <w:tr2bl w:val="nil"/>
            </w:tcBorders>
            <w:vAlign w:val="center"/>
          </w:tcPr>
          <w:p w14:paraId="28214369">
            <w:pPr>
              <w:keepNext w:val="0"/>
              <w:keepLines w:val="0"/>
              <w:pageBreakBefore w:val="0"/>
              <w:kinsoku/>
              <w:wordWrap w:val="0"/>
              <w:overflowPunct/>
              <w:topLinePunct/>
              <w:autoSpaceDE/>
              <w:autoSpaceDN/>
              <w:bidi w:val="0"/>
              <w:adjustRightInd/>
              <w:snapToGrid/>
              <w:spacing w:line="240" w:lineRule="auto"/>
              <w:ind w:left="0" w:leftChars="0" w:right="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《集中式饮用水水源环境保护指南(试行)》的通知(环办〔2012〕50号)</w:t>
            </w:r>
          </w:p>
        </w:tc>
        <w:tc>
          <w:tcPr>
            <w:tcW w:w="3522" w:type="dxa"/>
            <w:tcBorders>
              <w:tl2br w:val="nil"/>
              <w:tr2bl w:val="nil"/>
            </w:tcBorders>
            <w:vAlign w:val="center"/>
          </w:tcPr>
          <w:p w14:paraId="0B5A71DD">
            <w:pPr>
              <w:keepNext w:val="0"/>
              <w:keepLines w:val="0"/>
              <w:pageBreakBefore w:val="0"/>
              <w:kinsoku/>
              <w:wordWrap w:val="0"/>
              <w:overflowPunct/>
              <w:topLinePunct/>
              <w:autoSpaceDE/>
              <w:autoSpaceDN/>
              <w:bidi w:val="0"/>
              <w:adjustRightInd/>
              <w:snapToGrid/>
              <w:spacing w:line="240" w:lineRule="auto"/>
              <w:ind w:left="0" w:leftChars="0" w:right="0"/>
              <w:jc w:val="both"/>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9.2.2二级保护区：</w:t>
            </w:r>
          </w:p>
          <w:p w14:paraId="461C45E1">
            <w:pPr>
              <w:keepNext w:val="0"/>
              <w:keepLines w:val="0"/>
              <w:pageBreakBefore w:val="0"/>
              <w:kinsoku/>
              <w:wordWrap w:val="0"/>
              <w:overflowPunct/>
              <w:topLinePunct/>
              <w:autoSpaceDE/>
              <w:autoSpaceDN/>
              <w:bidi w:val="0"/>
              <w:adjustRightInd/>
              <w:snapToGrid/>
              <w:spacing w:line="240" w:lineRule="auto"/>
              <w:ind w:left="0" w:leftChars="0" w:right="0"/>
              <w:jc w:val="both"/>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76</w:t>
            </w:r>
            <w:r>
              <w:rPr>
                <w:rFonts w:hint="default" w:ascii="Times New Roman" w:hAnsi="Times New Roman" w:cs="Times New Roman" w:eastAsiaTheme="minorEastAsia"/>
                <w:color w:val="000000" w:themeColor="text1"/>
                <w:kern w:val="2"/>
                <w:sz w:val="21"/>
                <w:szCs w:val="21"/>
                <w:highlight w:val="none"/>
                <w:lang w:eastAsia="zh-CN" w:bidi="ar-SA"/>
                <w14:textFill>
                  <w14:solidFill>
                    <w14:schemeClr w14:val="tx1"/>
                  </w14:solidFill>
                </w14:textFill>
              </w:rPr>
              <w:t>)</w:t>
            </w: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地下水型饮用水水源</w:t>
            </w:r>
          </w:p>
          <w:p w14:paraId="3B9C6BF0">
            <w:pPr>
              <w:keepNext w:val="0"/>
              <w:keepLines w:val="0"/>
              <w:pageBreakBefore w:val="0"/>
              <w:kinsoku/>
              <w:wordWrap w:val="0"/>
              <w:overflowPunct/>
              <w:topLinePunct/>
              <w:autoSpaceDE/>
              <w:autoSpaceDN/>
              <w:bidi w:val="0"/>
              <w:adjustRightInd/>
              <w:snapToGrid/>
              <w:spacing w:line="240" w:lineRule="auto"/>
              <w:ind w:left="0" w:leftChars="0" w:right="0"/>
              <w:jc w:val="both"/>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禁止建设化工、电镀、皮革、造纸、制浆、冶炼、放射性、印染、染料、食品、炼焦、炼油及其它有严重污染的企业，已建成的应限期转产或搬迁；禁止设置城市垃圾、粪便和易溶、有毒有害废弃物堆放场和转运站，已有的上述场站要限期搬迁；禁止利用未经净化的污水灌溉农田。化工原料、矿物油类及有毒有害矿产品的堆放场所必须有防雨、防渗措施。</w:t>
            </w:r>
          </w:p>
        </w:tc>
        <w:tc>
          <w:tcPr>
            <w:tcW w:w="4127" w:type="dxa"/>
            <w:tcBorders>
              <w:tl2br w:val="nil"/>
              <w:tr2bl w:val="nil"/>
            </w:tcBorders>
            <w:vAlign w:val="center"/>
          </w:tcPr>
          <w:p w14:paraId="7E358672">
            <w:pPr>
              <w:keepNext w:val="0"/>
              <w:keepLines w:val="0"/>
              <w:pageBreakBefore w:val="0"/>
              <w:kinsoku/>
              <w:wordWrap w:val="0"/>
              <w:overflowPunct/>
              <w:topLinePunct/>
              <w:autoSpaceDE/>
              <w:autoSpaceDN/>
              <w:bidi w:val="0"/>
              <w:adjustRightInd/>
              <w:snapToGrid/>
              <w:spacing w:line="240" w:lineRule="auto"/>
              <w:ind w:left="0" w:leftChars="0" w:right="0"/>
              <w:jc w:val="both"/>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本项目不属于化工、电镀、皮革、造纸、制浆、冶炼、放射性、印染、染料、炼焦、炼油及其它有严重污染的企业。</w:t>
            </w:r>
          </w:p>
          <w:p w14:paraId="74ED3C51">
            <w:pPr>
              <w:keepNext w:val="0"/>
              <w:keepLines w:val="0"/>
              <w:pageBreakBefore w:val="0"/>
              <w:widowControl/>
              <w:suppressLineNumbers w:val="0"/>
              <w:kinsoku/>
              <w:overflowPunct/>
              <w:autoSpaceDE/>
              <w:autoSpaceDN/>
              <w:bidi w:val="0"/>
              <w:adjustRightInd/>
              <w:snapToGrid/>
              <w:spacing w:line="240" w:lineRule="auto"/>
              <w:ind w:left="0" w:leftChars="0"/>
              <w:jc w:val="both"/>
              <w:textAlignment w:val="auto"/>
              <w:rPr>
                <w:rFonts w:hint="eastAsia"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本项目</w:t>
            </w:r>
            <w:r>
              <w:rPr>
                <w:rFonts w:hint="eastAsia" w:cs="Times New Roman" w:eastAsiaTheme="minorEastAsia"/>
                <w:color w:val="000000" w:themeColor="text1"/>
                <w:kern w:val="2"/>
                <w:sz w:val="21"/>
                <w:szCs w:val="21"/>
                <w:highlight w:val="none"/>
                <w:lang w:val="en-US" w:eastAsia="zh-CN" w:bidi="ar-SA"/>
                <w14:textFill>
                  <w14:solidFill>
                    <w14:schemeClr w14:val="tx1"/>
                  </w14:solidFill>
                </w14:textFill>
              </w:rPr>
              <w:t>符合二级保护区内相关要求，具体详见表3.3-3。</w:t>
            </w:r>
          </w:p>
          <w:p w14:paraId="53D68E8A">
            <w:pPr>
              <w:keepNext w:val="0"/>
              <w:keepLines w:val="0"/>
              <w:pageBreakBefore w:val="0"/>
              <w:kinsoku/>
              <w:wordWrap w:val="0"/>
              <w:overflowPunct/>
              <w:topLinePunct/>
              <w:autoSpaceDE/>
              <w:autoSpaceDN/>
              <w:bidi w:val="0"/>
              <w:adjustRightInd/>
              <w:snapToGrid/>
              <w:spacing w:line="240" w:lineRule="auto"/>
              <w:ind w:left="0" w:leftChars="0" w:right="0"/>
              <w:jc w:val="both"/>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p>
        </w:tc>
        <w:tc>
          <w:tcPr>
            <w:tcW w:w="687" w:type="dxa"/>
            <w:tcBorders>
              <w:tl2br w:val="nil"/>
              <w:tr2bl w:val="nil"/>
            </w:tcBorders>
            <w:vAlign w:val="center"/>
          </w:tcPr>
          <w:p w14:paraId="28A7E96F">
            <w:pPr>
              <w:keepNext w:val="0"/>
              <w:keepLines w:val="0"/>
              <w:pageBreakBefore w:val="0"/>
              <w:kinsoku/>
              <w:wordWrap w:val="0"/>
              <w:overflowPunct/>
              <w:topLinePunct/>
              <w:autoSpaceDE/>
              <w:autoSpaceDN/>
              <w:bidi w:val="0"/>
              <w:adjustRightInd/>
              <w:snapToGrid/>
              <w:spacing w:line="240" w:lineRule="auto"/>
              <w:ind w:left="0" w:leftChars="0" w:right="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符合</w:t>
            </w:r>
          </w:p>
        </w:tc>
      </w:tr>
      <w:tr w14:paraId="43439C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34" w:type="dxa"/>
            <w:vMerge w:val="continue"/>
            <w:tcBorders>
              <w:tl2br w:val="nil"/>
              <w:tr2bl w:val="nil"/>
            </w:tcBorders>
            <w:vAlign w:val="center"/>
          </w:tcPr>
          <w:p w14:paraId="514EE116">
            <w:pPr>
              <w:keepNext w:val="0"/>
              <w:keepLines w:val="0"/>
              <w:pageBreakBefore w:val="0"/>
              <w:widowControl/>
              <w:suppressLineNumbers w:val="0"/>
              <w:kinsoku/>
              <w:overflowPunct/>
              <w:autoSpaceDE/>
              <w:autoSpaceDN/>
              <w:bidi w:val="0"/>
              <w:adjustRightInd/>
              <w:snapToGrid/>
              <w:spacing w:line="240" w:lineRule="auto"/>
              <w:ind w:left="0" w:leftChars="0"/>
              <w:jc w:val="both"/>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p>
        </w:tc>
        <w:tc>
          <w:tcPr>
            <w:tcW w:w="3522" w:type="dxa"/>
            <w:tcBorders>
              <w:tl2br w:val="nil"/>
              <w:tr2bl w:val="nil"/>
            </w:tcBorders>
            <w:vAlign w:val="center"/>
          </w:tcPr>
          <w:p w14:paraId="3D9518F2">
            <w:pPr>
              <w:keepNext w:val="0"/>
              <w:keepLines w:val="0"/>
              <w:pageBreakBefore w:val="0"/>
              <w:widowControl/>
              <w:suppressLineNumbers w:val="0"/>
              <w:kinsoku/>
              <w:overflowPunct/>
              <w:autoSpaceDE/>
              <w:autoSpaceDN/>
              <w:bidi w:val="0"/>
              <w:adjustRightInd/>
              <w:snapToGrid/>
              <w:spacing w:line="240" w:lineRule="auto"/>
              <w:ind w:left="0" w:leftChars="0"/>
              <w:jc w:val="both"/>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9.2.3 准保护区：</w:t>
            </w:r>
          </w:p>
          <w:p w14:paraId="0B111165">
            <w:pPr>
              <w:keepNext w:val="0"/>
              <w:keepLines w:val="0"/>
              <w:pageBreakBefore w:val="0"/>
              <w:kinsoku/>
              <w:wordWrap w:val="0"/>
              <w:overflowPunct/>
              <w:topLinePunct/>
              <w:autoSpaceDE/>
              <w:autoSpaceDN/>
              <w:bidi w:val="0"/>
              <w:adjustRightInd/>
              <w:snapToGrid/>
              <w:spacing w:line="240" w:lineRule="auto"/>
              <w:ind w:left="0" w:leftChars="0" w:right="0"/>
              <w:jc w:val="both"/>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7</w:t>
            </w: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8)</w:t>
            </w: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地下水型饮用水水源</w:t>
            </w:r>
          </w:p>
          <w:p w14:paraId="191487E9">
            <w:pPr>
              <w:keepNext w:val="0"/>
              <w:keepLines w:val="0"/>
              <w:pageBreakBefore w:val="0"/>
              <w:widowControl/>
              <w:suppressLineNumbers w:val="0"/>
              <w:kinsoku/>
              <w:overflowPunct/>
              <w:autoSpaceDE/>
              <w:autoSpaceDN/>
              <w:bidi w:val="0"/>
              <w:adjustRightInd/>
              <w:snapToGrid/>
              <w:spacing w:line="240" w:lineRule="auto"/>
              <w:ind w:left="0" w:leftChars="0"/>
              <w:jc w:val="both"/>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禁止建设城市垃圾、粪便和易溶、有毒有害废弃物的存放场站，因特殊需要设立转运站的，必须经有关部门批准，并采取防渗漏措施。保护水源涵养林，禁止毁林开荒，禁止非更新砍伐水源涵养林。</w:t>
            </w:r>
          </w:p>
        </w:tc>
        <w:tc>
          <w:tcPr>
            <w:tcW w:w="4127" w:type="dxa"/>
            <w:tcBorders>
              <w:tl2br w:val="nil"/>
              <w:tr2bl w:val="nil"/>
            </w:tcBorders>
            <w:vAlign w:val="center"/>
          </w:tcPr>
          <w:p w14:paraId="5EB17475">
            <w:pPr>
              <w:keepNext w:val="0"/>
              <w:keepLines w:val="0"/>
              <w:pageBreakBefore w:val="0"/>
              <w:widowControl/>
              <w:suppressLineNumbers w:val="0"/>
              <w:kinsoku/>
              <w:overflowPunct/>
              <w:autoSpaceDE/>
              <w:autoSpaceDN/>
              <w:bidi w:val="0"/>
              <w:adjustRightInd/>
              <w:snapToGrid/>
              <w:spacing w:line="240" w:lineRule="auto"/>
              <w:ind w:left="0" w:leftChars="0"/>
              <w:jc w:val="both"/>
              <w:textAlignment w:val="auto"/>
              <w:rPr>
                <w:rFonts w:hint="eastAsia"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本项目</w:t>
            </w:r>
            <w:r>
              <w:rPr>
                <w:rFonts w:hint="eastAsia" w:cs="Times New Roman" w:eastAsiaTheme="minorEastAsia"/>
                <w:color w:val="000000" w:themeColor="text1"/>
                <w:kern w:val="2"/>
                <w:sz w:val="21"/>
                <w:szCs w:val="21"/>
                <w:highlight w:val="none"/>
                <w:lang w:val="en-US" w:eastAsia="zh-CN" w:bidi="ar-SA"/>
                <w14:textFill>
                  <w14:solidFill>
                    <w14:schemeClr w14:val="tx1"/>
                  </w14:solidFill>
                </w14:textFill>
              </w:rPr>
              <w:t>符合准保护区内相关要求，具体详见表3.3-3。</w:t>
            </w:r>
          </w:p>
          <w:p w14:paraId="333EFE5D">
            <w:pPr>
              <w:keepNext w:val="0"/>
              <w:keepLines w:val="0"/>
              <w:pageBreakBefore w:val="0"/>
              <w:widowControl/>
              <w:suppressLineNumbers w:val="0"/>
              <w:kinsoku/>
              <w:overflowPunct/>
              <w:autoSpaceDE/>
              <w:autoSpaceDN/>
              <w:bidi w:val="0"/>
              <w:adjustRightInd/>
              <w:snapToGrid/>
              <w:spacing w:line="240" w:lineRule="auto"/>
              <w:ind w:left="0" w:leftChars="0"/>
              <w:jc w:val="both"/>
              <w:textAlignment w:val="auto"/>
              <w:rPr>
                <w:rFonts w:hint="default" w:ascii="Times New Roman" w:hAnsi="Times New Roman" w:cs="Times New Roman" w:eastAsiaTheme="minorEastAsia"/>
                <w:color w:val="FF0000"/>
                <w:kern w:val="0"/>
                <w:sz w:val="21"/>
                <w:szCs w:val="21"/>
                <w:highlight w:val="none"/>
                <w:lang w:val="en-US" w:eastAsia="zh-CN" w:bidi="ar"/>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本项</w:t>
            </w:r>
            <w:r>
              <w:rPr>
                <w:rFonts w:hint="default" w:cs="Times New Roman" w:eastAsiaTheme="minorEastAsia"/>
                <w:color w:val="000000" w:themeColor="text1"/>
                <w:kern w:val="2"/>
                <w:sz w:val="21"/>
                <w:szCs w:val="21"/>
                <w:highlight w:val="none"/>
                <w:lang w:val="en-US" w:eastAsia="zh-CN" w:bidi="ar-SA"/>
                <w14:textFill>
                  <w14:solidFill>
                    <w14:schemeClr w14:val="tx1"/>
                  </w14:solidFill>
                </w14:textFill>
              </w:rPr>
              <w:t>目</w:t>
            </w:r>
            <w:r>
              <w:rPr>
                <w:rFonts w:hint="eastAsia" w:cs="Times New Roman" w:eastAsiaTheme="minorEastAsia"/>
                <w:color w:val="000000" w:themeColor="text1"/>
                <w:kern w:val="2"/>
                <w:sz w:val="21"/>
                <w:szCs w:val="21"/>
                <w:highlight w:val="none"/>
                <w:lang w:val="en-US" w:eastAsia="zh-CN" w:bidi="ar-SA"/>
                <w14:textFill>
                  <w14:solidFill>
                    <w14:schemeClr w14:val="tx1"/>
                  </w14:solidFill>
                </w14:textFill>
              </w:rPr>
              <w:t>占地类型为</w:t>
            </w:r>
            <w:r>
              <w:rPr>
                <w:rFonts w:hint="default" w:cs="Times New Roman" w:eastAsiaTheme="minorEastAsia"/>
                <w:color w:val="000000" w:themeColor="text1"/>
                <w:kern w:val="2"/>
                <w:sz w:val="21"/>
                <w:szCs w:val="21"/>
                <w:highlight w:val="none"/>
                <w:lang w:val="en-US" w:eastAsia="zh-CN" w:bidi="ar-SA"/>
                <w14:textFill>
                  <w14:solidFill>
                    <w14:schemeClr w14:val="tx1"/>
                  </w14:solidFill>
                </w14:textFill>
              </w:rPr>
              <w:t>天然牧草地</w:t>
            </w:r>
            <w:r>
              <w:rPr>
                <w:rFonts w:hint="eastAsia" w:cs="Times New Roman" w:eastAsiaTheme="minorEastAsia"/>
                <w:color w:val="000000" w:themeColor="text1"/>
                <w:kern w:val="2"/>
                <w:sz w:val="21"/>
                <w:szCs w:val="21"/>
                <w:highlight w:val="none"/>
                <w:lang w:val="en-US" w:eastAsia="zh-CN" w:bidi="ar-SA"/>
                <w14:textFill>
                  <w14:solidFill>
                    <w14:schemeClr w14:val="tx1"/>
                  </w14:solidFill>
                </w14:textFill>
              </w:rPr>
              <w:t>、其他草地、水浇地、其他林地、采矿用地</w:t>
            </w:r>
            <w:r>
              <w:rPr>
                <w:rFonts w:hint="default" w:cs="Times New Roman" w:eastAsiaTheme="minorEastAsia"/>
                <w:color w:val="000000" w:themeColor="text1"/>
                <w:kern w:val="2"/>
                <w:sz w:val="21"/>
                <w:szCs w:val="21"/>
                <w:highlight w:val="none"/>
                <w:lang w:val="en-US" w:eastAsia="zh-CN" w:bidi="ar-SA"/>
                <w14:textFill>
                  <w14:solidFill>
                    <w14:schemeClr w14:val="tx1"/>
                  </w14:solidFill>
                </w14:textFill>
              </w:rPr>
              <w:t>，</w:t>
            </w:r>
            <w:r>
              <w:rPr>
                <w:rFonts w:hint="eastAsia" w:cs="Times New Roman" w:eastAsiaTheme="minorEastAsia"/>
                <w:color w:val="000000" w:themeColor="text1"/>
                <w:kern w:val="2"/>
                <w:sz w:val="21"/>
                <w:szCs w:val="21"/>
                <w:highlight w:val="none"/>
                <w:lang w:val="en-US" w:eastAsia="zh-CN" w:bidi="ar-SA"/>
                <w14:textFill>
                  <w14:solidFill>
                    <w14:schemeClr w14:val="tx1"/>
                  </w14:solidFill>
                </w14:textFill>
              </w:rPr>
              <w:t>不涉及水源林</w:t>
            </w:r>
            <w:r>
              <w:rPr>
                <w:rFonts w:hint="default" w:cs="Times New Roman" w:eastAsiaTheme="minorEastAsia"/>
                <w:color w:val="000000" w:themeColor="text1"/>
                <w:kern w:val="2"/>
                <w:sz w:val="21"/>
                <w:szCs w:val="21"/>
                <w:highlight w:val="none"/>
                <w:lang w:val="en-US" w:eastAsia="zh-CN" w:bidi="ar-SA"/>
                <w14:textFill>
                  <w14:solidFill>
                    <w14:schemeClr w14:val="tx1"/>
                  </w14:solidFill>
                </w14:textFill>
              </w:rPr>
              <w:t>。</w:t>
            </w:r>
          </w:p>
        </w:tc>
        <w:tc>
          <w:tcPr>
            <w:tcW w:w="687" w:type="dxa"/>
            <w:tcBorders>
              <w:tl2br w:val="nil"/>
              <w:tr2bl w:val="nil"/>
            </w:tcBorders>
            <w:vAlign w:val="center"/>
          </w:tcPr>
          <w:p w14:paraId="2B1D3964">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符合</w:t>
            </w:r>
          </w:p>
        </w:tc>
      </w:tr>
    </w:tbl>
    <w:p w14:paraId="3DBF3F07">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FF0000"/>
          <w:sz w:val="24"/>
          <w:highlight w:val="none"/>
          <w:lang w:val="en-US" w:eastAsia="zh-CN"/>
        </w:rPr>
      </w:pPr>
    </w:p>
    <w:p w14:paraId="6F912CE4">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综上，本项目建设符合《集中式饮用水水源环境保护指南(试行)》的通知(环办〔2012〕50号)。</w:t>
      </w:r>
    </w:p>
    <w:p w14:paraId="37AB28C0">
      <w:pPr>
        <w:bidi w:val="0"/>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t>（4）与《集中式饮用水水源地规范化建设环境保护技术要求》符合性分析</w:t>
      </w:r>
    </w:p>
    <w:p w14:paraId="54EE6561">
      <w:pPr>
        <w:keepNext w:val="0"/>
        <w:keepLines w:val="0"/>
        <w:pageBreakBefore w:val="0"/>
        <w:widowControl w:val="0"/>
        <w:kinsoku/>
        <w:wordWrap w:val="0"/>
        <w:overflowPunct/>
        <w:topLinePunct/>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根据《集中式饮用水水源地规范化建设环境保护技术要求》(HJ 773-2015)中“6.2.1.4 保护区内无易溶性、有毒有害废弃物暂存或转运站；无化工原料、危险化学品、矿物油类及有毒有害矿产品的堆放场所；生活垃圾转运站采取防渗漏措施。”及“6.3 准保护区整治”的“6.3.2 准保护区内无易溶性、有毒有害废弃物暂存和转运站，并严格控制采矿、采砂等活动”。</w:t>
      </w:r>
    </w:p>
    <w:p w14:paraId="49C52001">
      <w:pPr>
        <w:keepNext w:val="0"/>
        <w:keepLines w:val="0"/>
        <w:pageBreakBefore w:val="0"/>
        <w:widowControl w:val="0"/>
        <w:kinsoku/>
        <w:wordWrap w:val="0"/>
        <w:overflowPunct/>
        <w:topLinePunct/>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FF0000"/>
          <w:sz w:val="24"/>
          <w:highlight w:val="none"/>
          <w:lang w:val="en-US" w:eastAsia="zh-CN"/>
        </w:rPr>
      </w:pPr>
      <w:r>
        <w:rPr>
          <w:rFonts w:hint="default" w:ascii="Times New Roman" w:hAnsi="Times New Roman" w:eastAsia="宋体" w:cs="Times New Roman"/>
          <w:color w:val="000000" w:themeColor="text1"/>
          <w:sz w:val="24"/>
          <w:szCs w:val="24"/>
          <w14:textFill>
            <w14:solidFill>
              <w14:schemeClr w14:val="tx1"/>
            </w14:solidFill>
          </w14:textFill>
        </w:rPr>
        <w:t>本项目风机采用永磁风机</w:t>
      </w:r>
      <w:r>
        <w:rPr>
          <w:rFonts w:hint="eastAsia" w:eastAsia="宋体" w:cs="Times New Roman"/>
          <w:color w:val="000000" w:themeColor="text1"/>
          <w:sz w:val="24"/>
          <w:szCs w:val="24"/>
          <w:lang w:eastAsia="zh-CN"/>
          <w14:textFill>
            <w14:solidFill>
              <w14:schemeClr w14:val="tx1"/>
            </w14:solidFill>
          </w14:textFill>
        </w:rPr>
        <w:t>，</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风电场的箱式变压器均使用干式变压器，无变压器废油。</w:t>
      </w:r>
    </w:p>
    <w:p w14:paraId="7E79E89A">
      <w:pPr>
        <w:keepNext w:val="0"/>
        <w:keepLines w:val="0"/>
        <w:pageBreakBefore w:val="0"/>
        <w:widowControl w:val="0"/>
        <w:kinsoku/>
        <w:wordWrap/>
        <w:overflowPunct w:val="0"/>
        <w:topLinePunct/>
        <w:autoSpaceDE/>
        <w:autoSpaceDN/>
        <w:bidi w:val="0"/>
        <w:adjustRightInd/>
        <w:snapToGrid/>
        <w:spacing w:line="360" w:lineRule="auto"/>
        <w:ind w:left="0" w:leftChars="0" w:firstLine="480" w:firstLineChars="200"/>
        <w:jc w:val="left"/>
        <w:textAlignment w:val="auto"/>
        <w:rPr>
          <w:rFonts w:hint="eastAsia" w:ascii="宋体" w:hAnsi="宋体" w:eastAsia="宋体"/>
          <w:color w:val="000000" w:themeColor="text1"/>
          <w:sz w:val="24"/>
          <w:lang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本项目风机采用永磁风机、箱变采用干式变压器，</w:t>
      </w:r>
      <w:r>
        <w:rPr>
          <w:rFonts w:hint="eastAsia" w:cs="Times New Roman" w:eastAsiaTheme="minorEastAsia"/>
          <w:snapToGrid w:val="0"/>
          <w:color w:val="000000" w:themeColor="text1"/>
          <w:sz w:val="24"/>
          <w:highlight w:val="none"/>
          <w:lang w:val="en-US" w:eastAsia="zh-CN"/>
          <w14:textFill>
            <w14:solidFill>
              <w14:schemeClr w14:val="tx1"/>
            </w14:solidFill>
          </w14:textFill>
        </w:rPr>
        <w:t>正常工况下</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不会产生油品泄露突发环境事件。</w:t>
      </w:r>
      <w:r>
        <w:rPr>
          <w:rFonts w:hint="eastAsia" w:ascii="宋体" w:hAnsi="宋体" w:eastAsia="宋体"/>
          <w:sz w:val="24"/>
        </w:rPr>
        <w:t>风机运行期间，若发现风机缺油，缺油的风机需要定期更换润滑油，在更换矿物油过程中发生泄漏，或事故状态下风力发电机组中转动部件润滑油出现遗漏，废矿物油即产即</w:t>
      </w:r>
      <w:r>
        <w:rPr>
          <w:rFonts w:hint="eastAsia" w:ascii="宋体" w:hAnsi="宋体" w:eastAsia="宋体"/>
          <w:color w:val="000000" w:themeColor="text1"/>
          <w:sz w:val="24"/>
          <w14:textFill>
            <w14:solidFill>
              <w14:schemeClr w14:val="tx1"/>
            </w14:solidFill>
          </w14:textFill>
        </w:rPr>
        <w:t>清，交由有资质单位处置，不在场内暂存</w:t>
      </w:r>
      <w:r>
        <w:rPr>
          <w:rFonts w:hint="eastAsia" w:ascii="宋体" w:hAnsi="宋体" w:eastAsia="宋体"/>
          <w:color w:val="000000" w:themeColor="text1"/>
          <w:sz w:val="24"/>
          <w:lang w:eastAsia="zh-CN"/>
          <w14:textFill>
            <w14:solidFill>
              <w14:schemeClr w14:val="tx1"/>
            </w14:solidFill>
          </w14:textFill>
        </w:rPr>
        <w:t>。</w:t>
      </w:r>
    </w:p>
    <w:p w14:paraId="6E49BA39">
      <w:pPr>
        <w:keepNext w:val="0"/>
        <w:keepLines w:val="0"/>
        <w:pageBreakBefore w:val="0"/>
        <w:widowControl w:val="0"/>
        <w:kinsoku/>
        <w:wordWrap/>
        <w:overflowPunct w:val="0"/>
        <w:topLinePunct/>
        <w:autoSpaceDE/>
        <w:autoSpaceDN/>
        <w:bidi w:val="0"/>
        <w:adjustRightInd/>
        <w:snapToGrid/>
        <w:spacing w:line="360" w:lineRule="auto"/>
        <w:ind w:left="0" w:leftChars="0" w:firstLine="480" w:firstLineChars="200"/>
        <w:jc w:val="left"/>
        <w:textAlignment w:val="auto"/>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因此，本项目符合《集中式饮用水水源地规范化建设环境保护技术要求》</w:t>
      </w:r>
    </w:p>
    <w:p w14:paraId="075A87F1">
      <w:pPr>
        <w:keepNext w:val="0"/>
        <w:keepLines w:val="0"/>
        <w:pageBreakBefore w:val="0"/>
        <w:widowControl w:val="0"/>
        <w:kinsoku/>
        <w:wordWrap/>
        <w:overflowPunct w:val="0"/>
        <w:topLinePunct/>
        <w:autoSpaceDE/>
        <w:autoSpaceDN/>
        <w:bidi w:val="0"/>
        <w:adjustRightInd/>
        <w:snapToGrid/>
        <w:spacing w:line="360" w:lineRule="auto"/>
        <w:ind w:left="0" w:leftChars="0" w:firstLine="0" w:firstLineChars="0"/>
        <w:jc w:val="left"/>
        <w:textAlignment w:val="auto"/>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(HJ 773-2015)的要求。</w:t>
      </w:r>
    </w:p>
    <w:p w14:paraId="4C9EA6C8">
      <w:pPr>
        <w:numPr>
          <w:ilvl w:val="0"/>
          <w:numId w:val="0"/>
        </w:numPr>
        <w:bidi w:val="0"/>
        <w:ind w:firstLine="480" w:firstLineChars="200"/>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t>（</w:t>
      </w:r>
      <w:r>
        <w:rPr>
          <w:rFonts w:hint="eastAsia" w:cs="Times New Roman" w:eastAsiaTheme="minorEastAsia"/>
          <w:b/>
          <w:bCs/>
          <w:snapToGrid w:val="0"/>
          <w:color w:val="000000" w:themeColor="text1"/>
          <w:kern w:val="0"/>
          <w:sz w:val="24"/>
          <w:highlight w:val="none"/>
          <w:lang w:val="en-US" w:eastAsia="zh-CN"/>
          <w14:textFill>
            <w14:solidFill>
              <w14:schemeClr w14:val="tx1"/>
            </w14:solidFill>
          </w14:textFill>
        </w:rPr>
        <w:t>5</w:t>
      </w:r>
      <w:r>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t>）与《新疆维吾尔自治区实施&lt;中华人民共和国水污染防治法&gt;办法》符合性</w:t>
      </w:r>
    </w:p>
    <w:p w14:paraId="3358BD47">
      <w:pPr>
        <w:numPr>
          <w:ilvl w:val="0"/>
          <w:numId w:val="0"/>
        </w:numPr>
        <w:bidi w:val="0"/>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t>分析</w:t>
      </w:r>
    </w:p>
    <w:p w14:paraId="2D93151D">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本项目与《新疆维吾尔自治区实施&lt;中华人民共和国水污染防治法&gt;办法》(2023年6月1日)符合性分析详见下表。</w:t>
      </w:r>
    </w:p>
    <w:p w14:paraId="79B6E04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b/>
          <w:color w:val="000000" w:themeColor="text1"/>
          <w:sz w:val="24"/>
          <w:highlight w:val="none"/>
          <w:lang w:val="en-US" w:eastAsia="zh-CN"/>
          <w14:textFill>
            <w14:solidFill>
              <w14:schemeClr w14:val="tx1"/>
            </w14:solidFill>
          </w14:textFill>
        </w:rPr>
      </w:pPr>
    </w:p>
    <w:p w14:paraId="741CAD4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b/>
          <w:color w:val="000000" w:themeColor="text1"/>
          <w:sz w:val="24"/>
          <w:highlight w:val="none"/>
          <w:lang w:val="en-US" w:eastAsia="zh-CN"/>
          <w14:textFill>
            <w14:solidFill>
              <w14:schemeClr w14:val="tx1"/>
            </w14:solidFill>
          </w14:textFill>
        </w:rPr>
        <w:t>表3.3-6    本项目与《新疆维吾尔自治区实施&lt;中华人民共和国水污染防治法&gt;办法》符合性分析一览表</w:t>
      </w:r>
    </w:p>
    <w:tbl>
      <w:tblPr>
        <w:tblStyle w:val="76"/>
        <w:tblW w:w="917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34"/>
        <w:gridCol w:w="3633"/>
        <w:gridCol w:w="4016"/>
        <w:gridCol w:w="687"/>
      </w:tblGrid>
      <w:tr w14:paraId="615F16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trPr>
        <w:tc>
          <w:tcPr>
            <w:tcW w:w="834" w:type="dxa"/>
            <w:tcBorders>
              <w:tl2br w:val="nil"/>
              <w:tr2bl w:val="nil"/>
            </w:tcBorders>
            <w:vAlign w:val="center"/>
          </w:tcPr>
          <w:p w14:paraId="05BB090D">
            <w:pPr>
              <w:keepNext w:val="0"/>
              <w:keepLines w:val="0"/>
              <w:pageBreakBefore w:val="0"/>
              <w:kinsoku/>
              <w:wordWrap w:val="0"/>
              <w:overflowPunct/>
              <w:topLinePunct/>
              <w:autoSpaceDE/>
              <w:autoSpaceDN/>
              <w:bidi w:val="0"/>
              <w:adjustRightInd/>
              <w:snapToGrid/>
              <w:spacing w:line="240" w:lineRule="auto"/>
              <w:ind w:left="0" w:leftChars="0" w:right="0"/>
              <w:jc w:val="center"/>
              <w:textAlignment w:val="auto"/>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t>文件名称</w:t>
            </w:r>
          </w:p>
        </w:tc>
        <w:tc>
          <w:tcPr>
            <w:tcW w:w="3633" w:type="dxa"/>
            <w:tcBorders>
              <w:tl2br w:val="nil"/>
              <w:tr2bl w:val="nil"/>
            </w:tcBorders>
            <w:vAlign w:val="center"/>
          </w:tcPr>
          <w:p w14:paraId="08AC11A8">
            <w:pPr>
              <w:keepNext w:val="0"/>
              <w:keepLines w:val="0"/>
              <w:pageBreakBefore w:val="0"/>
              <w:kinsoku/>
              <w:wordWrap w:val="0"/>
              <w:overflowPunct/>
              <w:topLinePunct/>
              <w:autoSpaceDE/>
              <w:autoSpaceDN/>
              <w:bidi w:val="0"/>
              <w:adjustRightInd/>
              <w:snapToGrid/>
              <w:spacing w:line="240" w:lineRule="auto"/>
              <w:ind w:left="0" w:leftChars="0" w:right="0"/>
              <w:jc w:val="center"/>
              <w:textAlignment w:val="auto"/>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t>有关要求</w:t>
            </w:r>
          </w:p>
        </w:tc>
        <w:tc>
          <w:tcPr>
            <w:tcW w:w="4016" w:type="dxa"/>
            <w:tcBorders>
              <w:tl2br w:val="nil"/>
              <w:tr2bl w:val="nil"/>
            </w:tcBorders>
            <w:vAlign w:val="center"/>
          </w:tcPr>
          <w:p w14:paraId="134CEE50">
            <w:pPr>
              <w:keepNext w:val="0"/>
              <w:keepLines w:val="0"/>
              <w:pageBreakBefore w:val="0"/>
              <w:kinsoku/>
              <w:wordWrap w:val="0"/>
              <w:overflowPunct/>
              <w:topLinePunct/>
              <w:autoSpaceDE/>
              <w:autoSpaceDN/>
              <w:bidi w:val="0"/>
              <w:adjustRightInd/>
              <w:snapToGrid/>
              <w:spacing w:line="240" w:lineRule="auto"/>
              <w:ind w:left="0" w:leftChars="0" w:right="0"/>
              <w:jc w:val="center"/>
              <w:textAlignment w:val="auto"/>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t>本项目</w:t>
            </w:r>
          </w:p>
        </w:tc>
        <w:tc>
          <w:tcPr>
            <w:tcW w:w="687" w:type="dxa"/>
            <w:tcBorders>
              <w:tl2br w:val="nil"/>
              <w:tr2bl w:val="nil"/>
            </w:tcBorders>
            <w:vAlign w:val="center"/>
          </w:tcPr>
          <w:p w14:paraId="66DE1E7C">
            <w:pPr>
              <w:keepNext w:val="0"/>
              <w:keepLines w:val="0"/>
              <w:pageBreakBefore w:val="0"/>
              <w:kinsoku/>
              <w:wordWrap w:val="0"/>
              <w:overflowPunct/>
              <w:topLinePunct/>
              <w:autoSpaceDE/>
              <w:autoSpaceDN/>
              <w:bidi w:val="0"/>
              <w:adjustRightInd/>
              <w:snapToGrid/>
              <w:spacing w:line="240" w:lineRule="auto"/>
              <w:ind w:left="0" w:leftChars="0" w:right="0"/>
              <w:jc w:val="center"/>
              <w:textAlignment w:val="auto"/>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t>符合性</w:t>
            </w:r>
          </w:p>
        </w:tc>
      </w:tr>
      <w:tr w14:paraId="125FD7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75" w:hRule="atLeast"/>
        </w:trPr>
        <w:tc>
          <w:tcPr>
            <w:tcW w:w="834" w:type="dxa"/>
            <w:vMerge w:val="restart"/>
            <w:tcBorders>
              <w:tl2br w:val="nil"/>
              <w:tr2bl w:val="nil"/>
            </w:tcBorders>
            <w:vAlign w:val="center"/>
          </w:tcPr>
          <w:p w14:paraId="00E4E660">
            <w:pPr>
              <w:keepNext w:val="0"/>
              <w:keepLines w:val="0"/>
              <w:pageBreakBefore w:val="0"/>
              <w:kinsoku/>
              <w:wordWrap w:val="0"/>
              <w:overflowPunct/>
              <w:topLinePunct/>
              <w:autoSpaceDE/>
              <w:autoSpaceDN/>
              <w:bidi w:val="0"/>
              <w:adjustRightInd/>
              <w:snapToGrid/>
              <w:spacing w:line="240" w:lineRule="auto"/>
              <w:ind w:left="0" w:leftChars="0" w:right="0"/>
              <w:jc w:val="center"/>
              <w:textAlignment w:val="auto"/>
              <w:rPr>
                <w:rFonts w:hint="default" w:ascii="Times New Roman" w:hAnsi="Times New Roman" w:cs="Times New Roman" w:eastAsiaTheme="minorEastAsia"/>
                <w:color w:val="000000" w:themeColor="text1"/>
                <w:kern w:val="2"/>
                <w:sz w:val="21"/>
                <w:szCs w:val="21"/>
                <w:highlight w:val="yellow"/>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《新疆维吾尔自治区实施&lt;中华人民共和国水污染防治法&gt;办法》(2023年6月1日)</w:t>
            </w:r>
          </w:p>
        </w:tc>
        <w:tc>
          <w:tcPr>
            <w:tcW w:w="3633" w:type="dxa"/>
            <w:tcBorders>
              <w:tl2br w:val="nil"/>
              <w:tr2bl w:val="nil"/>
            </w:tcBorders>
            <w:vAlign w:val="center"/>
          </w:tcPr>
          <w:p w14:paraId="7FF7C03C">
            <w:pPr>
              <w:keepNext w:val="0"/>
              <w:keepLines w:val="0"/>
              <w:pageBreakBefore w:val="0"/>
              <w:kinsoku/>
              <w:wordWrap w:val="0"/>
              <w:overflowPunct/>
              <w:topLinePunct/>
              <w:autoSpaceDE/>
              <w:autoSpaceDN/>
              <w:bidi w:val="0"/>
              <w:adjustRightInd/>
              <w:snapToGrid/>
              <w:spacing w:line="240" w:lineRule="auto"/>
              <w:ind w:left="0" w:leftChars="0" w:right="0"/>
              <w:jc w:val="both"/>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第三十二条</w:t>
            </w: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 xml:space="preserve"> </w:t>
            </w: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县级以上人民政府应当在饮用水水源保护区的边界设立明确的地理界标和明显的警示标志，设置必要的隔离防护设施。</w:t>
            </w:r>
          </w:p>
          <w:p w14:paraId="0392D432">
            <w:pPr>
              <w:keepNext w:val="0"/>
              <w:keepLines w:val="0"/>
              <w:pageBreakBefore w:val="0"/>
              <w:kinsoku/>
              <w:wordWrap w:val="0"/>
              <w:overflowPunct/>
              <w:topLinePunct/>
              <w:autoSpaceDE/>
              <w:autoSpaceDN/>
              <w:bidi w:val="0"/>
              <w:adjustRightInd/>
              <w:snapToGrid/>
              <w:spacing w:line="240" w:lineRule="auto"/>
              <w:ind w:left="0" w:leftChars="0" w:right="0"/>
              <w:jc w:val="both"/>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任何单位和个人不得损毁、涂改、覆盖或者擅自移动饮用水水源保护区的地理界标、警示标志和隔离防护设施。</w:t>
            </w:r>
          </w:p>
        </w:tc>
        <w:tc>
          <w:tcPr>
            <w:tcW w:w="4016" w:type="dxa"/>
            <w:tcBorders>
              <w:tl2br w:val="nil"/>
              <w:tr2bl w:val="nil"/>
            </w:tcBorders>
            <w:vAlign w:val="center"/>
          </w:tcPr>
          <w:p w14:paraId="7741DAE1">
            <w:pPr>
              <w:keepNext w:val="0"/>
              <w:keepLines w:val="0"/>
              <w:pageBreakBefore w:val="0"/>
              <w:kinsoku/>
              <w:wordWrap w:val="0"/>
              <w:overflowPunct/>
              <w:topLinePunct/>
              <w:autoSpaceDE/>
              <w:autoSpaceDN/>
              <w:bidi w:val="0"/>
              <w:adjustRightInd/>
              <w:snapToGrid/>
              <w:spacing w:line="240" w:lineRule="auto"/>
              <w:ind w:left="0" w:leftChars="0" w:right="0"/>
              <w:jc w:val="both"/>
              <w:textAlignment w:val="auto"/>
              <w:rPr>
                <w:rFonts w:hint="default" w:ascii="Times New Roman" w:hAnsi="Times New Roman" w:cs="Times New Roman" w:eastAsiaTheme="minorEastAsia"/>
                <w:color w:val="000000" w:themeColor="text1"/>
                <w:kern w:val="2"/>
                <w:sz w:val="21"/>
                <w:szCs w:val="21"/>
                <w:highlight w:val="none"/>
                <w:lang w:val="en-US" w:bidi="ar-SA"/>
                <w14:textFill>
                  <w14:solidFill>
                    <w14:schemeClr w14:val="tx1"/>
                  </w14:solidFill>
                </w14:textFill>
              </w:rPr>
            </w:pPr>
            <w:r>
              <w:rPr>
                <w:rFonts w:hint="eastAsia"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本项目3</w:t>
            </w: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台</w:t>
            </w:r>
            <w:r>
              <w:rPr>
                <w:rFonts w:hint="eastAsia"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位于西山地下饮用水源地二级保护区内，3</w:t>
            </w: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台风机</w:t>
            </w:r>
            <w:r>
              <w:rPr>
                <w:rFonts w:hint="eastAsia"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位于甘河子（含铁路专供）地下饮用水源地二级保护区内</w:t>
            </w: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。本项目属</w:t>
            </w:r>
            <w:r>
              <w:rPr>
                <w:rFonts w:hint="eastAsia" w:cs="Times New Roman" w:eastAsiaTheme="minorEastAsia"/>
                <w:color w:val="000000" w:themeColor="text1"/>
                <w:kern w:val="0"/>
                <w:sz w:val="21"/>
                <w:szCs w:val="21"/>
                <w:highlight w:val="none"/>
                <w:lang w:val="en-US" w:eastAsia="zh-CN" w:bidi="ar"/>
                <w14:textFill>
                  <w14:solidFill>
                    <w14:schemeClr w14:val="tx1"/>
                  </w14:solidFill>
                </w14:textFill>
              </w:rPr>
              <w:t>于</w:t>
            </w: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风电项目，不属于有严重污染的企业，项目施工期及运营期不在饮用水水源二级保护区内排放污染物，不设排污口，不污染水体。本次环评要求施工期加强施工管理和环境监理，严禁</w:t>
            </w: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损毁、涂改、覆盖或者擅自移动饮用水水源保护区的地理界标、警示标志和隔离防护设施。</w:t>
            </w:r>
          </w:p>
        </w:tc>
        <w:tc>
          <w:tcPr>
            <w:tcW w:w="687" w:type="dxa"/>
            <w:tcBorders>
              <w:tl2br w:val="nil"/>
              <w:tr2bl w:val="nil"/>
            </w:tcBorders>
            <w:vAlign w:val="center"/>
          </w:tcPr>
          <w:p w14:paraId="4AE6E0B5">
            <w:pPr>
              <w:keepNext w:val="0"/>
              <w:keepLines w:val="0"/>
              <w:pageBreakBefore w:val="0"/>
              <w:kinsoku/>
              <w:wordWrap w:val="0"/>
              <w:overflowPunct/>
              <w:topLinePunct/>
              <w:autoSpaceDE/>
              <w:autoSpaceDN/>
              <w:bidi w:val="0"/>
              <w:adjustRightInd/>
              <w:snapToGrid/>
              <w:spacing w:line="240" w:lineRule="auto"/>
              <w:ind w:left="0" w:leftChars="0" w:right="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符合</w:t>
            </w:r>
          </w:p>
        </w:tc>
      </w:tr>
      <w:tr w14:paraId="5E626D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34" w:type="dxa"/>
            <w:vMerge w:val="continue"/>
            <w:tcBorders>
              <w:tl2br w:val="nil"/>
              <w:tr2bl w:val="nil"/>
            </w:tcBorders>
            <w:vAlign w:val="center"/>
          </w:tcPr>
          <w:p w14:paraId="6FA98778">
            <w:pPr>
              <w:keepNext w:val="0"/>
              <w:keepLines w:val="0"/>
              <w:pageBreakBefore w:val="0"/>
              <w:widowControl/>
              <w:suppressLineNumbers w:val="0"/>
              <w:kinsoku/>
              <w:overflowPunct/>
              <w:autoSpaceDE/>
              <w:autoSpaceDN/>
              <w:bidi w:val="0"/>
              <w:adjustRightInd/>
              <w:snapToGrid/>
              <w:spacing w:line="240" w:lineRule="auto"/>
              <w:ind w:left="0" w:leftChars="0"/>
              <w:jc w:val="both"/>
              <w:textAlignment w:val="auto"/>
              <w:rPr>
                <w:rFonts w:hint="default" w:ascii="Times New Roman" w:hAnsi="Times New Roman" w:cs="Times New Roman" w:eastAsiaTheme="minorEastAsia"/>
                <w:color w:val="000000" w:themeColor="text1"/>
                <w:kern w:val="0"/>
                <w:sz w:val="21"/>
                <w:szCs w:val="21"/>
                <w:highlight w:val="yellow"/>
                <w:lang w:val="en-US" w:eastAsia="zh-CN" w:bidi="ar"/>
                <w14:textFill>
                  <w14:solidFill>
                    <w14:schemeClr w14:val="tx1"/>
                  </w14:solidFill>
                </w14:textFill>
              </w:rPr>
            </w:pPr>
          </w:p>
        </w:tc>
        <w:tc>
          <w:tcPr>
            <w:tcW w:w="3633" w:type="dxa"/>
            <w:tcBorders>
              <w:tl2br w:val="nil"/>
              <w:tr2bl w:val="nil"/>
            </w:tcBorders>
            <w:vAlign w:val="center"/>
          </w:tcPr>
          <w:p w14:paraId="6EA17EC3">
            <w:pPr>
              <w:keepNext w:val="0"/>
              <w:keepLines w:val="0"/>
              <w:pageBreakBefore w:val="0"/>
              <w:widowControl/>
              <w:suppressLineNumbers w:val="0"/>
              <w:kinsoku/>
              <w:overflowPunct/>
              <w:autoSpaceDE/>
              <w:autoSpaceDN/>
              <w:bidi w:val="0"/>
              <w:adjustRightInd/>
              <w:snapToGrid/>
              <w:spacing w:line="240" w:lineRule="auto"/>
              <w:ind w:left="0" w:leftChars="0"/>
              <w:jc w:val="both"/>
              <w:textAlignment w:val="auto"/>
              <w:rPr>
                <w:rFonts w:hint="default" w:ascii="Times New Roman" w:hAnsi="Times New Roman" w:cs="Times New Roman" w:eastAsiaTheme="minorEastAsia"/>
                <w:color w:val="000000" w:themeColor="text1"/>
                <w:kern w:val="0"/>
                <w:sz w:val="21"/>
                <w:szCs w:val="21"/>
                <w:highlight w:val="yellow"/>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第三十五条 可能发生突发水污染事故的企业事业单位，应当按照国家和自治区有关规定，制定本单位的水污染事故应急方案，做好应急准备并定期进行演练。</w:t>
            </w:r>
          </w:p>
        </w:tc>
        <w:tc>
          <w:tcPr>
            <w:tcW w:w="4016" w:type="dxa"/>
            <w:tcBorders>
              <w:tl2br w:val="nil"/>
              <w:tr2bl w:val="nil"/>
            </w:tcBorders>
            <w:vAlign w:val="center"/>
          </w:tcPr>
          <w:p w14:paraId="414B023B">
            <w:pPr>
              <w:keepNext w:val="0"/>
              <w:keepLines w:val="0"/>
              <w:pageBreakBefore w:val="0"/>
              <w:widowControl/>
              <w:suppressLineNumbers w:val="0"/>
              <w:kinsoku/>
              <w:overflowPunct/>
              <w:autoSpaceDE/>
              <w:autoSpaceDN/>
              <w:bidi w:val="0"/>
              <w:adjustRightInd/>
              <w:snapToGrid/>
              <w:spacing w:line="240" w:lineRule="auto"/>
              <w:ind w:left="0" w:leftChars="0"/>
              <w:jc w:val="both"/>
              <w:textAlignment w:val="auto"/>
              <w:rPr>
                <w:rFonts w:hint="default" w:ascii="Times New Roman" w:hAnsi="Times New Roman" w:cs="Times New Roman" w:eastAsiaTheme="minorEastAsia"/>
                <w:color w:val="000000" w:themeColor="text1"/>
                <w:kern w:val="0"/>
                <w:sz w:val="21"/>
                <w:szCs w:val="21"/>
                <w:highlight w:val="yellow"/>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本次环评要求建设单位须编制突发环境事件应急预案、备案并定期演练。</w:t>
            </w:r>
          </w:p>
        </w:tc>
        <w:tc>
          <w:tcPr>
            <w:tcW w:w="687" w:type="dxa"/>
            <w:tcBorders>
              <w:tl2br w:val="nil"/>
              <w:tr2bl w:val="nil"/>
            </w:tcBorders>
            <w:vAlign w:val="center"/>
          </w:tcPr>
          <w:p w14:paraId="3705EF08">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eastAsiaTheme="minorEastAsia"/>
                <w:color w:val="000000" w:themeColor="text1"/>
                <w:kern w:val="0"/>
                <w:sz w:val="21"/>
                <w:szCs w:val="21"/>
                <w:highlight w:val="yellow"/>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符合</w:t>
            </w:r>
          </w:p>
        </w:tc>
      </w:tr>
    </w:tbl>
    <w:p w14:paraId="5558EC47">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FF0000"/>
          <w:sz w:val="24"/>
          <w:highlight w:val="yellow"/>
          <w:lang w:val="en-US" w:eastAsia="zh-CN"/>
        </w:rPr>
      </w:pPr>
    </w:p>
    <w:p w14:paraId="1EC2CA7E">
      <w:pPr>
        <w:keepNext w:val="0"/>
        <w:keepLines w:val="0"/>
        <w:pageBreakBefore w:val="0"/>
        <w:widowControl w:val="0"/>
        <w:kinsoku/>
        <w:wordWrap/>
        <w:overflowPunct/>
        <w:topLinePunct w:val="0"/>
        <w:autoSpaceDE/>
        <w:autoSpaceDN/>
        <w:bidi w:val="0"/>
        <w:adjustRightInd w:val="0"/>
        <w:snapToGrid w:val="0"/>
        <w:ind w:left="0" w:leftChars="0" w:firstLine="480" w:firstLineChars="20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综上，本项目在严格落实环评提出的相关环保措施后，项目建设符合《新疆维吾尔自治区实施&lt;中华人民共和国水污染防治法&gt;办法》(2023年6月1日)相关要求。</w:t>
      </w:r>
    </w:p>
    <w:p w14:paraId="7C3BACA8">
      <w:pPr>
        <w:numPr>
          <w:ilvl w:val="0"/>
          <w:numId w:val="0"/>
        </w:numPr>
        <w:bidi w:val="0"/>
        <w:ind w:firstLine="480" w:firstLineChars="200"/>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t>（6）与《乌鲁木齐市饮用水水源保护条例》符合性分析</w:t>
      </w:r>
    </w:p>
    <w:p w14:paraId="1C18EFA7">
      <w:pPr>
        <w:keepNext w:val="0"/>
        <w:keepLines w:val="0"/>
        <w:pageBreakBefore w:val="0"/>
        <w:widowControl w:val="0"/>
        <w:kinsoku/>
        <w:wordWrap w:val="0"/>
        <w:overflowPunct/>
        <w:topLinePunct/>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根据《乌鲁木齐市饮用水水源保护条例》（</w:t>
      </w: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2024年1月1日</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）有关水源保护区的规定：</w:t>
      </w:r>
    </w:p>
    <w:p w14:paraId="307356DB">
      <w:pPr>
        <w:keepNext w:val="0"/>
        <w:keepLines w:val="0"/>
        <w:pageBreakBefore w:val="0"/>
        <w:widowControl w:val="0"/>
        <w:kinsoku/>
        <w:wordWrap w:val="0"/>
        <w:overflowPunct/>
        <w:topLinePunct/>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第十二条在饮用水水源保护区内，禁止设置排污口。</w:t>
      </w:r>
    </w:p>
    <w:p w14:paraId="39BB04C8">
      <w:pPr>
        <w:keepNext w:val="0"/>
        <w:keepLines w:val="0"/>
        <w:pageBreakBefore w:val="0"/>
        <w:widowControl w:val="0"/>
        <w:kinsoku/>
        <w:wordWrap w:val="0"/>
        <w:overflowPunct/>
        <w:topLinePunct/>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第十四条 在饮用水水源二级保护区内，除饮用水水源准保护区内禁止的行为外，还禁止下列行为：</w:t>
      </w:r>
    </w:p>
    <w:p w14:paraId="6845EF52">
      <w:pPr>
        <w:keepNext w:val="0"/>
        <w:keepLines w:val="0"/>
        <w:pageBreakBefore w:val="0"/>
        <w:widowControl w:val="0"/>
        <w:kinsoku/>
        <w:wordWrap w:val="0"/>
        <w:overflowPunct/>
        <w:topLinePunct/>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（一）新建、改建、扩建排放污染物的建设项目；</w:t>
      </w:r>
    </w:p>
    <w:p w14:paraId="7878A489">
      <w:pPr>
        <w:keepNext w:val="0"/>
        <w:keepLines w:val="0"/>
        <w:pageBreakBefore w:val="0"/>
        <w:widowControl w:val="0"/>
        <w:kinsoku/>
        <w:wordWrap w:val="0"/>
        <w:overflowPunct/>
        <w:topLinePunct/>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（二）未按照规定采取措施从事网箱养殖、旅游等活动；</w:t>
      </w:r>
    </w:p>
    <w:p w14:paraId="58F74D92">
      <w:pPr>
        <w:keepNext w:val="0"/>
        <w:keepLines w:val="0"/>
        <w:pageBreakBefore w:val="0"/>
        <w:widowControl w:val="0"/>
        <w:kinsoku/>
        <w:wordWrap w:val="0"/>
        <w:overflowPunct/>
        <w:topLinePunct/>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（三）排放工业废液、污水，倾倒、堆放、填埋废渣和生活垃圾等废弃物；</w:t>
      </w:r>
    </w:p>
    <w:p w14:paraId="75B9F5FC">
      <w:pPr>
        <w:keepNext w:val="0"/>
        <w:keepLines w:val="0"/>
        <w:pageBreakBefore w:val="0"/>
        <w:widowControl w:val="0"/>
        <w:kinsoku/>
        <w:wordWrap w:val="0"/>
        <w:overflowPunct/>
        <w:topLinePunct/>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（四）设置装卸危险化学品、有毒有害物质、煤炭、矿砂等场所；</w:t>
      </w:r>
    </w:p>
    <w:p w14:paraId="50E3F2DB">
      <w:pPr>
        <w:keepNext w:val="0"/>
        <w:keepLines w:val="0"/>
        <w:pageBreakBefore w:val="0"/>
        <w:widowControl w:val="0"/>
        <w:kinsoku/>
        <w:wordWrap w:val="0"/>
        <w:overflowPunct/>
        <w:topLinePunct/>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（五）法律、法规禁止的其他污染饮用水水体的活动。</w:t>
      </w:r>
    </w:p>
    <w:p w14:paraId="2F34F8FE">
      <w:pPr>
        <w:keepNext w:val="0"/>
        <w:keepLines w:val="0"/>
        <w:pageBreakBefore w:val="0"/>
        <w:widowControl w:val="0"/>
        <w:kinsoku/>
        <w:wordWrap w:val="0"/>
        <w:overflowPunct/>
        <w:topLinePunct/>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已建成的排放污染物的建设项目，由市、区（县）人民政府责令拆除或者关闭。</w:t>
      </w:r>
    </w:p>
    <w:p w14:paraId="1B26CC5E">
      <w:pPr>
        <w:keepNext w:val="0"/>
        <w:keepLines w:val="0"/>
        <w:pageBreakBefore w:val="0"/>
        <w:widowControl w:val="0"/>
        <w:kinsoku/>
        <w:wordWrap w:val="0"/>
        <w:overflowPunct/>
        <w:topLinePunct/>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第十五条在饮用水水源准保护区内的行为，应当符合法律、法规有关规定，防止污染饮用水水体。</w:t>
      </w:r>
    </w:p>
    <w:p w14:paraId="16709F68">
      <w:pPr>
        <w:keepNext w:val="0"/>
        <w:keepLines w:val="0"/>
        <w:pageBreakBefore w:val="0"/>
        <w:widowControl w:val="0"/>
        <w:numPr>
          <w:ilvl w:val="0"/>
          <w:numId w:val="0"/>
        </w:numPr>
        <w:tabs>
          <w:tab w:val="left" w:pos="1260"/>
        </w:tabs>
        <w:kinsoku/>
        <w:wordWrap/>
        <w:overflowPunct/>
        <w:topLinePunct w:val="0"/>
        <w:autoSpaceDE/>
        <w:autoSpaceDN/>
        <w:bidi w:val="0"/>
        <w:adjustRightInd/>
        <w:snapToGrid/>
        <w:spacing w:line="360" w:lineRule="auto"/>
        <w:ind w:left="0" w:leftChars="0" w:firstLine="480" w:firstLineChars="200"/>
        <w:textAlignment w:val="auto"/>
        <w:outlineLvl w:val="9"/>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eastAsia" w:cs="Times New Roman" w:eastAsiaTheme="minorEastAsia"/>
          <w:snapToGrid w:val="0"/>
          <w:color w:val="000000" w:themeColor="text1"/>
          <w:sz w:val="24"/>
          <w:highlight w:val="none"/>
          <w:lang w:val="en-US" w:eastAsia="zh-CN"/>
          <w14:textFill>
            <w14:solidFill>
              <w14:schemeClr w14:val="tx1"/>
            </w14:solidFill>
          </w14:textFill>
        </w:rPr>
        <w:t>本项目有</w:t>
      </w:r>
      <w:r>
        <w:rPr>
          <w:rFonts w:hint="eastAsia" w:cs="Times New Roman" w:eastAsiaTheme="minorEastAsia"/>
          <w:color w:val="000000" w:themeColor="text1"/>
          <w:kern w:val="2"/>
          <w:sz w:val="24"/>
          <w:szCs w:val="20"/>
          <w:highlight w:val="none"/>
          <w:lang w:val="en-US" w:eastAsia="zh-CN" w:bidi="ar-SA"/>
          <w14:textFill>
            <w14:solidFill>
              <w14:schemeClr w14:val="tx1"/>
            </w14:solidFill>
          </w14:textFill>
        </w:rPr>
        <w:t>3</w:t>
      </w:r>
      <w:r>
        <w:rPr>
          <w:rFonts w:hint="default" w:ascii="Times New Roman" w:hAnsi="Times New Roman" w:cs="Times New Roman" w:eastAsiaTheme="minorEastAsia"/>
          <w:color w:val="000000" w:themeColor="text1"/>
          <w:kern w:val="2"/>
          <w:sz w:val="24"/>
          <w:szCs w:val="20"/>
          <w:highlight w:val="none"/>
          <w:lang w:val="en-US" w:eastAsia="zh-CN" w:bidi="ar-SA"/>
          <w14:textFill>
            <w14:solidFill>
              <w14:schemeClr w14:val="tx1"/>
            </w14:solidFill>
          </w14:textFill>
        </w:rPr>
        <w:t>台风机及箱变、部分集电线路杆塔</w:t>
      </w:r>
      <w:r>
        <w:rPr>
          <w:rFonts w:hint="eastAsia" w:cs="Times New Roman" w:eastAsiaTheme="minorEastAsia"/>
          <w:color w:val="000000" w:themeColor="text1"/>
          <w:kern w:val="2"/>
          <w:sz w:val="24"/>
          <w:szCs w:val="20"/>
          <w:highlight w:val="none"/>
          <w:lang w:val="en-US" w:eastAsia="zh-CN" w:bidi="ar-SA"/>
          <w14:textFill>
            <w14:solidFill>
              <w14:schemeClr w14:val="tx1"/>
            </w14:solidFill>
          </w14:textFill>
        </w:rPr>
        <w:t>、检修道路</w:t>
      </w:r>
      <w:r>
        <w:rPr>
          <w:rFonts w:hint="default" w:ascii="Times New Roman" w:hAnsi="Times New Roman" w:cs="Times New Roman" w:eastAsiaTheme="minorEastAsia"/>
          <w:color w:val="000000" w:themeColor="text1"/>
          <w:kern w:val="2"/>
          <w:sz w:val="24"/>
          <w:szCs w:val="20"/>
          <w:highlight w:val="none"/>
          <w:lang w:val="en-US" w:eastAsia="zh-CN" w:bidi="ar-SA"/>
          <w14:textFill>
            <w14:solidFill>
              <w14:schemeClr w14:val="tx1"/>
            </w14:solidFill>
          </w14:textFill>
        </w:rPr>
        <w:t>等永久占地占用</w:t>
      </w:r>
      <w:r>
        <w:rPr>
          <w:rFonts w:hint="eastAsia" w:ascii="宋体" w:hAnsi="宋体" w:eastAsia="宋体" w:cs="宋体"/>
          <w:color w:val="000000" w:themeColor="text1"/>
          <w:sz w:val="24"/>
          <w:lang w:val="en-US" w:eastAsia="zh-CN"/>
          <w14:textFill>
            <w14:solidFill>
              <w14:schemeClr w14:val="tx1"/>
            </w14:solidFill>
          </w14:textFill>
        </w:rPr>
        <w:t>西山地下饮用水源地二级保护区；</w:t>
      </w:r>
      <w:r>
        <w:rPr>
          <w:rFonts w:hint="eastAsia" w:ascii="Times New Roman" w:hAnsi="Times New Roman" w:cs="Times New Roman" w:eastAsiaTheme="minorEastAsia"/>
          <w:color w:val="000000" w:themeColor="text1"/>
          <w:kern w:val="2"/>
          <w:sz w:val="24"/>
          <w:szCs w:val="20"/>
          <w:highlight w:val="none"/>
          <w:lang w:val="en-US" w:eastAsia="zh-CN" w:bidi="ar-SA"/>
          <w14:textFill>
            <w14:solidFill>
              <w14:schemeClr w14:val="tx1"/>
            </w14:solidFill>
          </w14:textFill>
        </w:rPr>
        <w:t>3</w:t>
      </w:r>
      <w:r>
        <w:rPr>
          <w:rFonts w:hint="default" w:ascii="Times New Roman" w:hAnsi="Times New Roman" w:cs="Times New Roman" w:eastAsiaTheme="minorEastAsia"/>
          <w:color w:val="000000" w:themeColor="text1"/>
          <w:kern w:val="2"/>
          <w:sz w:val="24"/>
          <w:szCs w:val="20"/>
          <w:highlight w:val="none"/>
          <w:lang w:val="en-US" w:eastAsia="zh-CN" w:bidi="ar-SA"/>
          <w14:textFill>
            <w14:solidFill>
              <w14:schemeClr w14:val="tx1"/>
            </w14:solidFill>
          </w14:textFill>
        </w:rPr>
        <w:t>台风机及箱变、部分集电线路杆塔</w:t>
      </w:r>
      <w:r>
        <w:rPr>
          <w:rFonts w:hint="eastAsia" w:ascii="Times New Roman" w:hAnsi="Times New Roman" w:cs="Times New Roman" w:eastAsiaTheme="minorEastAsia"/>
          <w:color w:val="000000" w:themeColor="text1"/>
          <w:kern w:val="2"/>
          <w:sz w:val="24"/>
          <w:szCs w:val="20"/>
          <w:highlight w:val="none"/>
          <w:lang w:val="en-US" w:eastAsia="zh-CN" w:bidi="ar-SA"/>
          <w14:textFill>
            <w14:solidFill>
              <w14:schemeClr w14:val="tx1"/>
            </w14:solidFill>
          </w14:textFill>
        </w:rPr>
        <w:t>、检修道路</w:t>
      </w:r>
      <w:r>
        <w:rPr>
          <w:rFonts w:hint="default" w:ascii="Times New Roman" w:hAnsi="Times New Roman" w:cs="Times New Roman" w:eastAsiaTheme="minorEastAsia"/>
          <w:color w:val="000000" w:themeColor="text1"/>
          <w:kern w:val="2"/>
          <w:sz w:val="24"/>
          <w:szCs w:val="20"/>
          <w:highlight w:val="none"/>
          <w:lang w:val="en-US" w:eastAsia="zh-CN" w:bidi="ar-SA"/>
          <w14:textFill>
            <w14:solidFill>
              <w14:schemeClr w14:val="tx1"/>
            </w14:solidFill>
          </w14:textFill>
        </w:rPr>
        <w:t>等永久占地占用</w:t>
      </w:r>
      <w:r>
        <w:rPr>
          <w:rFonts w:hint="eastAsia" w:ascii="宋体" w:hAnsi="宋体" w:eastAsia="宋体"/>
          <w:color w:val="000000" w:themeColor="text1"/>
          <w:sz w:val="24"/>
          <w:highlight w:val="none"/>
          <w14:textFill>
            <w14:solidFill>
              <w14:schemeClr w14:val="tx1"/>
            </w14:solidFill>
          </w14:textFill>
        </w:rPr>
        <w:t>甘河子（含铁路专供）</w:t>
      </w:r>
      <w:r>
        <w:rPr>
          <w:rFonts w:hint="eastAsia" w:ascii="宋体" w:hAnsi="宋体" w:eastAsia="宋体"/>
          <w:color w:val="000000" w:themeColor="text1"/>
          <w:sz w:val="24"/>
          <w:highlight w:val="none"/>
          <w:lang w:val="en-US" w:eastAsia="zh-CN"/>
          <w14:textFill>
            <w14:solidFill>
              <w14:schemeClr w14:val="tx1"/>
            </w14:solidFill>
          </w14:textFill>
        </w:rPr>
        <w:t>地下饮用</w:t>
      </w:r>
      <w:r>
        <w:rPr>
          <w:rFonts w:hint="eastAsia" w:ascii="宋体" w:hAnsi="宋体" w:eastAsia="宋体"/>
          <w:color w:val="000000" w:themeColor="text1"/>
          <w:sz w:val="24"/>
          <w:highlight w:val="none"/>
          <w14:textFill>
            <w14:solidFill>
              <w14:schemeClr w14:val="tx1"/>
            </w14:solidFill>
          </w14:textFill>
        </w:rPr>
        <w:t>水源地</w:t>
      </w:r>
      <w:r>
        <w:rPr>
          <w:rFonts w:hint="eastAsia" w:ascii="宋体" w:hAnsi="宋体" w:eastAsia="宋体"/>
          <w:color w:val="000000" w:themeColor="text1"/>
          <w:sz w:val="24"/>
          <w:highlight w:val="none"/>
          <w:lang w:val="en-US" w:eastAsia="zh-CN"/>
          <w14:textFill>
            <w14:solidFill>
              <w14:schemeClr w14:val="tx1"/>
            </w14:solidFill>
          </w14:textFill>
        </w:rPr>
        <w:t>二级保护区</w:t>
      </w:r>
      <w:r>
        <w:rPr>
          <w:rFonts w:hint="eastAsia" w:ascii="宋体" w:hAnsi="宋体" w:eastAsia="宋体"/>
          <w:color w:val="000000" w:themeColor="text1"/>
          <w:sz w:val="24"/>
          <w:highlight w:val="none"/>
          <w:lang w:eastAsia="zh-CN"/>
          <w14:textFill>
            <w14:solidFill>
              <w14:schemeClr w14:val="tx1"/>
            </w14:solidFill>
          </w14:textFill>
        </w:rPr>
        <w:t>；</w:t>
      </w:r>
      <w:r>
        <w:rPr>
          <w:rFonts w:hint="eastAsia" w:ascii="Times New Roman" w:hAnsi="Times New Roman" w:cs="Times New Roman" w:eastAsiaTheme="minorEastAsia"/>
          <w:color w:val="000000" w:themeColor="text1"/>
          <w:kern w:val="2"/>
          <w:sz w:val="24"/>
          <w:szCs w:val="20"/>
          <w:highlight w:val="none"/>
          <w:lang w:val="en-US" w:eastAsia="zh-CN" w:bidi="ar-SA"/>
          <w14:textFill>
            <w14:solidFill>
              <w14:schemeClr w14:val="tx1"/>
            </w14:solidFill>
          </w14:textFill>
        </w:rPr>
        <w:t>7</w:t>
      </w:r>
      <w:r>
        <w:rPr>
          <w:rFonts w:hint="default" w:ascii="Times New Roman" w:hAnsi="Times New Roman" w:cs="Times New Roman" w:eastAsiaTheme="minorEastAsia"/>
          <w:color w:val="000000" w:themeColor="text1"/>
          <w:kern w:val="2"/>
          <w:sz w:val="24"/>
          <w:szCs w:val="20"/>
          <w:highlight w:val="none"/>
          <w:lang w:val="en-US" w:eastAsia="zh-CN" w:bidi="ar-SA"/>
          <w14:textFill>
            <w14:solidFill>
              <w14:schemeClr w14:val="tx1"/>
            </w14:solidFill>
          </w14:textFill>
        </w:rPr>
        <w:t>台风机及箱变、部分集电线路杆塔</w:t>
      </w:r>
      <w:r>
        <w:rPr>
          <w:rFonts w:hint="eastAsia" w:ascii="Times New Roman" w:hAnsi="Times New Roman" w:cs="Times New Roman" w:eastAsiaTheme="minorEastAsia"/>
          <w:color w:val="000000" w:themeColor="text1"/>
          <w:kern w:val="2"/>
          <w:sz w:val="24"/>
          <w:szCs w:val="20"/>
          <w:highlight w:val="none"/>
          <w:lang w:val="en-US" w:eastAsia="zh-CN" w:bidi="ar-SA"/>
          <w14:textFill>
            <w14:solidFill>
              <w14:schemeClr w14:val="tx1"/>
            </w14:solidFill>
          </w14:textFill>
        </w:rPr>
        <w:t>、检修道路</w:t>
      </w:r>
      <w:r>
        <w:rPr>
          <w:rFonts w:hint="default" w:ascii="Times New Roman" w:hAnsi="Times New Roman" w:cs="Times New Roman" w:eastAsiaTheme="minorEastAsia"/>
          <w:color w:val="000000" w:themeColor="text1"/>
          <w:kern w:val="2"/>
          <w:sz w:val="24"/>
          <w:szCs w:val="20"/>
          <w:highlight w:val="none"/>
          <w:lang w:val="en-US" w:eastAsia="zh-CN" w:bidi="ar-SA"/>
          <w14:textFill>
            <w14:solidFill>
              <w14:schemeClr w14:val="tx1"/>
            </w14:solidFill>
          </w14:textFill>
        </w:rPr>
        <w:t>等永久占地占用</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乌拉泊、柴西、柴北、西山、甘河子（含铁路专供）准保护区。</w:t>
      </w:r>
    </w:p>
    <w:p w14:paraId="73075769">
      <w:pPr>
        <w:keepNext w:val="0"/>
        <w:keepLines w:val="0"/>
        <w:pageBreakBefore w:val="0"/>
        <w:widowControl w:val="0"/>
        <w:kinsoku/>
        <w:wordWrap/>
        <w:overflowPunct w:val="0"/>
        <w:topLinePunct/>
        <w:autoSpaceDE/>
        <w:autoSpaceDN/>
        <w:bidi w:val="0"/>
        <w:adjustRightInd/>
        <w:snapToGrid/>
        <w:spacing w:line="360" w:lineRule="auto"/>
        <w:ind w:left="0" w:leftChars="0" w:firstLine="480" w:firstLineChars="200"/>
        <w:jc w:val="left"/>
        <w:textAlignment w:val="auto"/>
        <w:rPr>
          <w:rFonts w:hint="eastAsia" w:ascii="宋体" w:hAnsi="宋体" w:eastAsia="宋体"/>
          <w:color w:val="000000" w:themeColor="text1"/>
          <w:sz w:val="24"/>
          <w:lang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本项目风机采用永磁风机、箱变采用干式变压器，</w:t>
      </w:r>
      <w:r>
        <w:rPr>
          <w:rFonts w:hint="eastAsia" w:cs="Times New Roman" w:eastAsiaTheme="minorEastAsia"/>
          <w:snapToGrid w:val="0"/>
          <w:color w:val="000000" w:themeColor="text1"/>
          <w:sz w:val="24"/>
          <w:highlight w:val="none"/>
          <w:lang w:val="en-US" w:eastAsia="zh-CN"/>
          <w14:textFill>
            <w14:solidFill>
              <w14:schemeClr w14:val="tx1"/>
            </w14:solidFill>
          </w14:textFill>
        </w:rPr>
        <w:t>正常工况下</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不会产生油品泄露突发环境事件。</w:t>
      </w:r>
      <w:r>
        <w:rPr>
          <w:rFonts w:hint="eastAsia" w:ascii="宋体" w:hAnsi="宋体" w:eastAsia="宋体"/>
          <w:sz w:val="24"/>
        </w:rPr>
        <w:t>风机运行期间，若发现风机缺油，缺油的风机需要定期更换润滑油，在更换矿物油过程中发生泄漏，或事故状态下风力发电机组中转动部件润滑油出现遗漏，废矿物油即产即</w:t>
      </w:r>
      <w:r>
        <w:rPr>
          <w:rFonts w:hint="eastAsia" w:ascii="宋体" w:hAnsi="宋体" w:eastAsia="宋体"/>
          <w:color w:val="000000" w:themeColor="text1"/>
          <w:sz w:val="24"/>
          <w14:textFill>
            <w14:solidFill>
              <w14:schemeClr w14:val="tx1"/>
            </w14:solidFill>
          </w14:textFill>
        </w:rPr>
        <w:t>清，交由有资质单位处置，不在场内暂存</w:t>
      </w:r>
      <w:r>
        <w:rPr>
          <w:rFonts w:hint="eastAsia" w:ascii="宋体" w:hAnsi="宋体" w:eastAsia="宋体"/>
          <w:color w:val="000000" w:themeColor="text1"/>
          <w:sz w:val="24"/>
          <w:lang w:eastAsia="zh-CN"/>
          <w14:textFill>
            <w14:solidFill>
              <w14:schemeClr w14:val="tx1"/>
            </w14:solidFill>
          </w14:textFill>
        </w:rPr>
        <w:t>。</w:t>
      </w:r>
    </w:p>
    <w:p w14:paraId="28A84311">
      <w:pPr>
        <w:keepNext w:val="0"/>
        <w:keepLines w:val="0"/>
        <w:pageBreakBefore w:val="0"/>
        <w:widowControl w:val="0"/>
        <w:kinsoku/>
        <w:wordWrap/>
        <w:overflowPunct w:val="0"/>
        <w:topLinePunct/>
        <w:autoSpaceDE/>
        <w:autoSpaceDN/>
        <w:bidi w:val="0"/>
        <w:adjustRightInd/>
        <w:snapToGrid/>
        <w:spacing w:line="360" w:lineRule="auto"/>
        <w:ind w:left="0" w:leftChars="0" w:firstLine="480" w:firstLineChars="200"/>
        <w:jc w:val="left"/>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风电场区</w:t>
      </w:r>
      <w:r>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部分</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施工临建场地位于乌拉泊、柴西、柴北、西山、甘河子（含铁路专供）准保护区内。施工营地内设置沉淀池，车辆冲洗废水沉淀池处理后循环利用，不外排；设置移动环保厕所及防渗污水收集池，生活污水集中收集后，定期委托环卫部门采用吸污车清运至污水处理厂处理，不外排。施工期无弃方，生活垃圾集中收集拉运之附近生活垃圾转运站，由环卫部门清运统一处置，废包装材料集中收集外售综合利用，不外排，建筑垃圾集中收集后清运至乌鲁木齐市建筑垃圾填埋场处置</w:t>
      </w:r>
      <w:r>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对水源地准保护区环境影响较小。</w:t>
      </w:r>
    </w:p>
    <w:p w14:paraId="6DA8E364">
      <w:pPr>
        <w:keepNext w:val="0"/>
        <w:keepLines w:val="0"/>
        <w:pageBreakBefore w:val="0"/>
        <w:widowControl w:val="0"/>
        <w:kinsoku/>
        <w:wordWrap w:val="0"/>
        <w:overflowPunct/>
        <w:topLinePunct/>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综上，本项目施工期和运营期均不在水源地保护区内设置排污口；不在水源地保护区内排放工业废液、污水，倾倒、堆放、填埋废渣和生活垃圾等废弃物；不在水源地保护区内设置装卸危险化学品、有毒有害物质、煤炭、矿砂等场所；本项目建设符 合《乌鲁木齐市饮用水水源保护条例》（2024年1月1日）相关要求。</w:t>
      </w:r>
    </w:p>
    <w:p w14:paraId="7AA75F02">
      <w:pPr>
        <w:pStyle w:val="12"/>
        <w:keepNext/>
        <w:keepLines/>
        <w:pageBreakBefore w:val="0"/>
        <w:widowControl w:val="0"/>
        <w:numPr>
          <w:ilvl w:val="0"/>
          <w:numId w:val="0"/>
        </w:numPr>
        <w:tabs>
          <w:tab w:val="left" w:pos="1050"/>
        </w:tabs>
        <w:kinsoku/>
        <w:wordWrap/>
        <w:overflowPunct/>
        <w:topLinePunct w:val="0"/>
        <w:autoSpaceDE/>
        <w:autoSpaceDN/>
        <w:bidi w:val="0"/>
        <w:adjustRightInd/>
        <w:snapToGrid/>
        <w:spacing w:before="0" w:beforeLines="0" w:after="0" w:afterLines="0" w:line="360" w:lineRule="auto"/>
        <w:ind w:left="0" w:leftChars="0"/>
        <w:textAlignment w:val="auto"/>
        <w:outlineLvl w:val="3"/>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t>3.3.3.2 与</w:t>
      </w:r>
      <w:r>
        <w:rPr>
          <w:rFonts w:hint="default" w:ascii="Times New Roman" w:hAnsi="Times New Roman" w:cs="Times New Roman"/>
          <w:b/>
          <w:bCs/>
          <w:color w:val="000000" w:themeColor="text1"/>
          <w:sz w:val="24"/>
          <w:szCs w:val="24"/>
          <w:lang w:val="en-US" w:eastAsia="zh-CN"/>
          <w14:textFill>
            <w14:solidFill>
              <w14:schemeClr w14:val="tx1"/>
            </w14:solidFill>
          </w14:textFill>
        </w:rPr>
        <w:t>《新疆维吾尔自治区重点行业生态环境准入条件(2024年)》</w:t>
      </w:r>
      <w:r>
        <w:rPr>
          <w:rFonts w:hint="eastAsia" w:ascii="Times New Roman" w:hAnsi="Times New Roman" w:cs="Times New Roman"/>
          <w:b/>
          <w:bCs/>
          <w:color w:val="000000" w:themeColor="text1"/>
          <w:sz w:val="24"/>
          <w:szCs w:val="24"/>
          <w:lang w:val="en-US" w:eastAsia="zh-CN"/>
          <w14:textFill>
            <w14:solidFill>
              <w14:schemeClr w14:val="tx1"/>
            </w14:solidFill>
          </w14:textFill>
        </w:rPr>
        <w:t>符合性</w:t>
      </w:r>
      <w:r>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t>分析</w:t>
      </w:r>
    </w:p>
    <w:p w14:paraId="5F349449">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cs="Times New Roman" w:eastAsiaTheme="minorEastAsia"/>
          <w:snapToGrid w:val="0"/>
          <w:color w:val="000000" w:themeColor="text1"/>
          <w:sz w:val="24"/>
          <w:highlight w:val="none"/>
          <w:lang w:val="en-US" w:eastAsia="zh-CN"/>
          <w14:textFill>
            <w14:solidFill>
              <w14:schemeClr w14:val="tx1"/>
            </w14:solidFill>
          </w14:textFill>
        </w:rPr>
      </w:pPr>
      <w:bookmarkStart w:id="284" w:name="_Toc391021187"/>
      <w:bookmarkStart w:id="285" w:name="_Toc313005946"/>
      <w:bookmarkStart w:id="286" w:name="_Toc391021361"/>
      <w:bookmarkStart w:id="287" w:name="_Toc340737531"/>
      <w:bookmarkStart w:id="288" w:name="_Toc391020962"/>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本项目属于《新疆维吾尔自治区重点行业生态环境准入条件(2024年)》(以下简称准入条件)“五、电力行业 包括火力、风力、光伏、垃圾、生物质发电项目”中的风</w:t>
      </w:r>
      <w:r>
        <w:rPr>
          <w:rFonts w:hint="eastAsia" w:cs="Times New Roman" w:eastAsiaTheme="minorEastAsia"/>
          <w:snapToGrid w:val="0"/>
          <w:color w:val="000000" w:themeColor="text1"/>
          <w:sz w:val="24"/>
          <w:highlight w:val="none"/>
          <w:lang w:val="en-US" w:eastAsia="zh-CN"/>
          <w14:textFill>
            <w14:solidFill>
              <w14:schemeClr w14:val="tx1"/>
            </w14:solidFill>
          </w14:textFill>
        </w:rPr>
        <w:t>电</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项目。</w:t>
      </w:r>
      <w:r>
        <w:rPr>
          <w:rFonts w:hint="eastAsia" w:cs="Times New Roman" w:eastAsiaTheme="minorEastAsia"/>
          <w:snapToGrid w:val="0"/>
          <w:color w:val="000000" w:themeColor="text1"/>
          <w:sz w:val="24"/>
          <w:highlight w:val="none"/>
          <w:lang w:val="en-US" w:eastAsia="zh-CN"/>
          <w14:textFill>
            <w14:solidFill>
              <w14:schemeClr w14:val="tx1"/>
            </w14:solidFill>
          </w14:textFill>
        </w:rPr>
        <w:t>对照准入条件，符合性判定一览表见表3.3-7。</w:t>
      </w:r>
    </w:p>
    <w:p w14:paraId="26A7E7F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1200" w:firstLineChars="500"/>
        <w:textAlignment w:val="auto"/>
        <w:rPr>
          <w:rFonts w:hint="default" w:cs="Times New Roman" w:eastAsiaTheme="minorEastAsia"/>
          <w:b/>
          <w:bCs/>
          <w:snapToGrid w:val="0"/>
          <w:color w:val="000000" w:themeColor="text1"/>
          <w:sz w:val="24"/>
          <w:highlight w:val="none"/>
          <w:lang w:val="en-US" w:eastAsia="zh-CN"/>
          <w14:textFill>
            <w14:solidFill>
              <w14:schemeClr w14:val="tx1"/>
            </w14:solidFill>
          </w14:textFill>
        </w:rPr>
      </w:pPr>
      <w:r>
        <w:rPr>
          <w:rFonts w:hint="eastAsia" w:cs="Times New Roman" w:eastAsiaTheme="minorEastAsia"/>
          <w:b/>
          <w:bCs/>
          <w:snapToGrid w:val="0"/>
          <w:color w:val="000000" w:themeColor="text1"/>
          <w:sz w:val="24"/>
          <w:highlight w:val="none"/>
          <w:lang w:val="en-US" w:eastAsia="zh-CN"/>
          <w14:textFill>
            <w14:solidFill>
              <w14:schemeClr w14:val="tx1"/>
            </w14:solidFill>
          </w14:textFill>
        </w:rPr>
        <w:t>表3.3-7            准入条件符合性判定一览表</w:t>
      </w:r>
    </w:p>
    <w:tbl>
      <w:tblPr>
        <w:tblStyle w:val="76"/>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803"/>
        <w:gridCol w:w="4368"/>
        <w:gridCol w:w="1003"/>
      </w:tblGrid>
      <w:tr w14:paraId="0D67E3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03" w:type="dxa"/>
            <w:tcBorders>
              <w:tl2br w:val="nil"/>
              <w:tr2bl w:val="nil"/>
            </w:tcBorders>
            <w:vAlign w:val="center"/>
          </w:tcPr>
          <w:p w14:paraId="143B9700">
            <w:pPr>
              <w:keepNext w:val="0"/>
              <w:keepLines w:val="0"/>
              <w:pageBreakBefore w:val="0"/>
              <w:widowControl w:val="0"/>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eastAsiaTheme="minorEastAsia"/>
                <w:snapToGrid w:val="0"/>
                <w:color w:val="000000" w:themeColor="text1"/>
                <w:sz w:val="21"/>
                <w:szCs w:val="21"/>
                <w:highlight w:val="none"/>
                <w:vertAlign w:val="baseline"/>
                <w:lang w:val="en-US" w:eastAsia="zh-CN"/>
                <w14:textFill>
                  <w14:solidFill>
                    <w14:schemeClr w14:val="tx1"/>
                  </w14:solidFill>
                </w14:textFill>
              </w:rPr>
            </w:pPr>
            <w:r>
              <w:rPr>
                <w:rFonts w:hint="eastAsia" w:cs="Times New Roman" w:eastAsiaTheme="minorEastAsia"/>
                <w:snapToGrid w:val="0"/>
                <w:color w:val="000000" w:themeColor="text1"/>
                <w:sz w:val="21"/>
                <w:szCs w:val="21"/>
                <w:highlight w:val="none"/>
                <w:vertAlign w:val="baseline"/>
                <w:lang w:val="en-US" w:eastAsia="zh-CN"/>
                <w14:textFill>
                  <w14:solidFill>
                    <w14:schemeClr w14:val="tx1"/>
                  </w14:solidFill>
                </w14:textFill>
              </w:rPr>
              <w:t>准入条件</w:t>
            </w:r>
          </w:p>
        </w:tc>
        <w:tc>
          <w:tcPr>
            <w:tcW w:w="4368" w:type="dxa"/>
            <w:tcBorders>
              <w:tl2br w:val="nil"/>
              <w:tr2bl w:val="nil"/>
            </w:tcBorders>
            <w:vAlign w:val="center"/>
          </w:tcPr>
          <w:p w14:paraId="15D328E6">
            <w:pPr>
              <w:keepNext w:val="0"/>
              <w:keepLines w:val="0"/>
              <w:pageBreakBefore w:val="0"/>
              <w:widowControl w:val="0"/>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eastAsiaTheme="minorEastAsia"/>
                <w:snapToGrid w:val="0"/>
                <w:color w:val="000000" w:themeColor="text1"/>
                <w:sz w:val="21"/>
                <w:szCs w:val="21"/>
                <w:highlight w:val="none"/>
                <w:vertAlign w:val="baseline"/>
                <w:lang w:val="en-US" w:eastAsia="zh-CN"/>
                <w14:textFill>
                  <w14:solidFill>
                    <w14:schemeClr w14:val="tx1"/>
                  </w14:solidFill>
                </w14:textFill>
              </w:rPr>
            </w:pPr>
            <w:r>
              <w:rPr>
                <w:rFonts w:hint="eastAsia" w:cs="Times New Roman" w:eastAsiaTheme="minorEastAsia"/>
                <w:snapToGrid w:val="0"/>
                <w:color w:val="000000" w:themeColor="text1"/>
                <w:sz w:val="21"/>
                <w:szCs w:val="21"/>
                <w:highlight w:val="none"/>
                <w:vertAlign w:val="baseline"/>
                <w:lang w:val="en-US" w:eastAsia="zh-CN"/>
                <w14:textFill>
                  <w14:solidFill>
                    <w14:schemeClr w14:val="tx1"/>
                  </w14:solidFill>
                </w14:textFill>
              </w:rPr>
              <w:t>本项目</w:t>
            </w:r>
          </w:p>
        </w:tc>
        <w:tc>
          <w:tcPr>
            <w:tcW w:w="1003" w:type="dxa"/>
            <w:tcBorders>
              <w:tl2br w:val="nil"/>
              <w:tr2bl w:val="nil"/>
            </w:tcBorders>
            <w:vAlign w:val="center"/>
          </w:tcPr>
          <w:p w14:paraId="0C229483">
            <w:pPr>
              <w:keepNext w:val="0"/>
              <w:keepLines w:val="0"/>
              <w:pageBreakBefore w:val="0"/>
              <w:widowControl w:val="0"/>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eastAsiaTheme="minorEastAsia"/>
                <w:snapToGrid w:val="0"/>
                <w:color w:val="000000" w:themeColor="text1"/>
                <w:sz w:val="21"/>
                <w:szCs w:val="21"/>
                <w:highlight w:val="none"/>
                <w:vertAlign w:val="baseline"/>
                <w:lang w:val="en-US" w:eastAsia="zh-CN"/>
                <w14:textFill>
                  <w14:solidFill>
                    <w14:schemeClr w14:val="tx1"/>
                  </w14:solidFill>
                </w14:textFill>
              </w:rPr>
            </w:pPr>
            <w:r>
              <w:rPr>
                <w:rFonts w:hint="eastAsia" w:cs="Times New Roman" w:eastAsiaTheme="minorEastAsia"/>
                <w:snapToGrid w:val="0"/>
                <w:color w:val="000000" w:themeColor="text1"/>
                <w:sz w:val="21"/>
                <w:szCs w:val="21"/>
                <w:highlight w:val="none"/>
                <w:vertAlign w:val="baseline"/>
                <w:lang w:val="en-US" w:eastAsia="zh-CN"/>
                <w14:textFill>
                  <w14:solidFill>
                    <w14:schemeClr w14:val="tx1"/>
                  </w14:solidFill>
                </w14:textFill>
              </w:rPr>
              <w:t>符合性</w:t>
            </w:r>
          </w:p>
        </w:tc>
      </w:tr>
      <w:tr w14:paraId="5E1E74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03" w:type="dxa"/>
            <w:tcBorders>
              <w:tl2br w:val="nil"/>
              <w:tr2bl w:val="nil"/>
            </w:tcBorders>
            <w:vAlign w:val="center"/>
          </w:tcPr>
          <w:p w14:paraId="071DCA3A">
            <w:pPr>
              <w:keepNext w:val="0"/>
              <w:keepLines w:val="0"/>
              <w:pageBreakBefore w:val="0"/>
              <w:widowControl w:val="0"/>
              <w:kinsoku/>
              <w:wordWrap/>
              <w:overflowPunct/>
              <w:topLinePunct w:val="0"/>
              <w:autoSpaceDE/>
              <w:autoSpaceDN/>
              <w:bidi w:val="0"/>
              <w:adjustRightInd w:val="0"/>
              <w:snapToGrid w:val="0"/>
              <w:spacing w:line="320" w:lineRule="exact"/>
              <w:ind w:left="0" w:leftChars="0" w:firstLine="0" w:firstLineChars="0"/>
              <w:textAlignment w:val="auto"/>
              <w:rPr>
                <w:rFonts w:hint="default" w:ascii="Times New Roman" w:hAnsi="Times New Roman" w:cs="Times New Roman" w:eastAsiaTheme="minorEastAsia"/>
                <w:snapToGrid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t>风电、光伏发电项目应符合区域、产业规划要求，与项目所在地风能、光伏资源、环境等情况相适应，用地必须符合土地供应政策和土地使用标准，风电项目应重点关注对鸟类栖息、迁徙等影响，避免影响其正常活动。</w:t>
            </w:r>
          </w:p>
        </w:tc>
        <w:tc>
          <w:tcPr>
            <w:tcW w:w="4368" w:type="dxa"/>
            <w:tcBorders>
              <w:tl2br w:val="nil"/>
              <w:tr2bl w:val="nil"/>
            </w:tcBorders>
            <w:vAlign w:val="center"/>
          </w:tcPr>
          <w:p w14:paraId="7A1E938B">
            <w:pPr>
              <w:keepNext w:val="0"/>
              <w:keepLines w:val="0"/>
              <w:pageBreakBefore w:val="0"/>
              <w:widowControl w:val="0"/>
              <w:numPr>
                <w:ilvl w:val="0"/>
                <w:numId w:val="0"/>
              </w:numPr>
              <w:kinsoku/>
              <w:wordWrap w:val="0"/>
              <w:overflowPunct/>
              <w:topLinePunct/>
              <w:autoSpaceDE/>
              <w:autoSpaceDN/>
              <w:bidi w:val="0"/>
              <w:adjustRightInd/>
              <w:snapToGrid w:val="0"/>
              <w:spacing w:line="320" w:lineRule="exact"/>
              <w:ind w:left="0" w:leftChars="0" w:firstLine="420" w:firstLineChars="200"/>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根据《风电场风能资源评估方法》(GB/T18710-2002</w:t>
            </w: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风功率密度等级评判标准，本风电场风功率等级为</w:t>
            </w:r>
            <w:r>
              <w:rPr>
                <w:rFonts w:hint="eastAsia" w:cs="Times New Roman" w:eastAsiaTheme="minorEastAsia"/>
                <w:color w:val="000000" w:themeColor="text1"/>
                <w:sz w:val="21"/>
                <w:szCs w:val="21"/>
                <w:highlight w:val="none"/>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级，</w:t>
            </w:r>
            <w:r>
              <w:rPr>
                <w:rFonts w:hint="eastAsia" w:cs="Times New Roman" w:eastAsiaTheme="minorEastAsia"/>
                <w:color w:val="000000" w:themeColor="text1"/>
                <w:sz w:val="21"/>
                <w:szCs w:val="21"/>
                <w:highlight w:val="none"/>
                <w:lang w:val="en-US" w:eastAsia="zh-CN"/>
                <w14:textFill>
                  <w14:solidFill>
                    <w14:schemeClr w14:val="tx1"/>
                  </w14:solidFill>
                </w14:textFill>
              </w:rPr>
              <w:t>所在区域</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风能资源</w:t>
            </w:r>
            <w:r>
              <w:rPr>
                <w:rFonts w:hint="eastAsia" w:cs="Times New Roman" w:eastAsiaTheme="minorEastAsia"/>
                <w:color w:val="000000" w:themeColor="text1"/>
                <w:sz w:val="21"/>
                <w:szCs w:val="21"/>
                <w:highlight w:val="none"/>
                <w:lang w:val="en-US" w:eastAsia="zh-CN"/>
                <w14:textFill>
                  <w14:solidFill>
                    <w14:schemeClr w14:val="tx1"/>
                  </w14:solidFill>
                </w14:textFill>
              </w:rPr>
              <w:t>较丰富</w:t>
            </w:r>
            <w:r>
              <w:rPr>
                <w:rFonts w:hint="eastAsia" w:cs="Times New Roman" w:eastAsiaTheme="minorEastAsia"/>
                <w:snapToGrid w:val="0"/>
                <w:color w:val="000000" w:themeColor="text1"/>
                <w:sz w:val="21"/>
                <w:szCs w:val="21"/>
                <w:highlight w:val="none"/>
                <w:lang w:val="en-US" w:eastAsia="zh-CN"/>
                <w14:textFill>
                  <w14:solidFill>
                    <w14:schemeClr w14:val="tx1"/>
                  </w14:solidFill>
                </w14:textFill>
              </w:rPr>
              <w:t>；项目</w:t>
            </w:r>
            <w:r>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t>选址用地范围内不涉及耕地、永久基本农田、及生态红线等禁止功能区，该项目</w:t>
            </w:r>
            <w:r>
              <w:rPr>
                <w:rFonts w:hint="eastAsia" w:cs="Times New Roman" w:eastAsiaTheme="minorEastAsia"/>
                <w:color w:val="000000" w:themeColor="text1"/>
                <w:kern w:val="2"/>
                <w:sz w:val="21"/>
                <w:szCs w:val="21"/>
                <w:highlight w:val="none"/>
                <w:lang w:val="en-US" w:eastAsia="zh-CN" w:bidi="ar-SA"/>
                <w14:textFill>
                  <w14:solidFill>
                    <w14:schemeClr w14:val="tx1"/>
                  </w14:solidFill>
                </w14:textFill>
              </w:rPr>
              <w:t>3</w:t>
            </w: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台风机及箱变、部分集电线路杆塔</w:t>
            </w:r>
            <w:r>
              <w:rPr>
                <w:rFonts w:hint="eastAsia" w:cs="Times New Roman" w:eastAsiaTheme="minorEastAsia"/>
                <w:color w:val="000000" w:themeColor="text1"/>
                <w:kern w:val="2"/>
                <w:sz w:val="21"/>
                <w:szCs w:val="21"/>
                <w:highlight w:val="none"/>
                <w:lang w:val="en-US" w:eastAsia="zh-CN" w:bidi="ar-SA"/>
                <w14:textFill>
                  <w14:solidFill>
                    <w14:schemeClr w14:val="tx1"/>
                  </w14:solidFill>
                </w14:textFill>
              </w:rPr>
              <w:t>、检修道路</w:t>
            </w: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等永久占地占用</w:t>
            </w:r>
            <w:r>
              <w:rPr>
                <w:rFonts w:hint="eastAsia" w:ascii="宋体" w:hAnsi="宋体" w:eastAsia="宋体" w:cs="宋体"/>
                <w:color w:val="000000" w:themeColor="text1"/>
                <w:sz w:val="21"/>
                <w:szCs w:val="21"/>
                <w:lang w:val="en-US" w:eastAsia="zh-CN"/>
                <w14:textFill>
                  <w14:solidFill>
                    <w14:schemeClr w14:val="tx1"/>
                  </w14:solidFill>
                </w14:textFill>
              </w:rPr>
              <w:t>西山地下饮用水源地二级保护区；</w:t>
            </w:r>
            <w:r>
              <w:rPr>
                <w:rFonts w:hint="eastAsia"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3</w:t>
            </w: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台风机及箱变、部分集电线路杆塔</w:t>
            </w:r>
            <w:r>
              <w:rPr>
                <w:rFonts w:hint="eastAsia"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、检修道路</w:t>
            </w: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等永久占地占用</w:t>
            </w:r>
            <w:r>
              <w:rPr>
                <w:rFonts w:hint="eastAsia" w:ascii="宋体" w:hAnsi="宋体" w:eastAsia="宋体"/>
                <w:color w:val="000000" w:themeColor="text1"/>
                <w:sz w:val="21"/>
                <w:szCs w:val="21"/>
                <w:highlight w:val="none"/>
                <w14:textFill>
                  <w14:solidFill>
                    <w14:schemeClr w14:val="tx1"/>
                  </w14:solidFill>
                </w14:textFill>
              </w:rPr>
              <w:t>甘河子（含铁路专供）</w:t>
            </w:r>
            <w:r>
              <w:rPr>
                <w:rFonts w:hint="eastAsia" w:ascii="宋体" w:hAnsi="宋体" w:eastAsia="宋体"/>
                <w:color w:val="000000" w:themeColor="text1"/>
                <w:sz w:val="21"/>
                <w:szCs w:val="21"/>
                <w:highlight w:val="none"/>
                <w:lang w:val="en-US" w:eastAsia="zh-CN"/>
                <w14:textFill>
                  <w14:solidFill>
                    <w14:schemeClr w14:val="tx1"/>
                  </w14:solidFill>
                </w14:textFill>
              </w:rPr>
              <w:t>地下饮用</w:t>
            </w:r>
            <w:r>
              <w:rPr>
                <w:rFonts w:hint="eastAsia" w:ascii="宋体" w:hAnsi="宋体" w:eastAsia="宋体"/>
                <w:color w:val="000000" w:themeColor="text1"/>
                <w:sz w:val="21"/>
                <w:szCs w:val="21"/>
                <w:highlight w:val="none"/>
                <w14:textFill>
                  <w14:solidFill>
                    <w14:schemeClr w14:val="tx1"/>
                  </w14:solidFill>
                </w14:textFill>
              </w:rPr>
              <w:t>水源地</w:t>
            </w:r>
            <w:r>
              <w:rPr>
                <w:rFonts w:hint="eastAsia" w:ascii="宋体" w:hAnsi="宋体" w:eastAsia="宋体"/>
                <w:color w:val="000000" w:themeColor="text1"/>
                <w:sz w:val="21"/>
                <w:szCs w:val="21"/>
                <w:highlight w:val="none"/>
                <w:lang w:val="en-US" w:eastAsia="zh-CN"/>
                <w14:textFill>
                  <w14:solidFill>
                    <w14:schemeClr w14:val="tx1"/>
                  </w14:solidFill>
                </w14:textFill>
              </w:rPr>
              <w:t>二级保护区</w:t>
            </w:r>
            <w:r>
              <w:rPr>
                <w:rFonts w:hint="eastAsia" w:ascii="宋体" w:hAnsi="宋体" w:eastAsia="宋体"/>
                <w:color w:val="000000" w:themeColor="text1"/>
                <w:sz w:val="21"/>
                <w:szCs w:val="21"/>
                <w:highlight w:val="none"/>
                <w:lang w:eastAsia="zh-CN"/>
                <w14:textFill>
                  <w14:solidFill>
                    <w14:schemeClr w14:val="tx1"/>
                  </w14:solidFill>
                </w14:textFill>
              </w:rPr>
              <w:t>；</w:t>
            </w:r>
            <w:r>
              <w:rPr>
                <w:rFonts w:hint="eastAsia"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7</w:t>
            </w: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台风机及箱变、部分集电线路杆塔</w:t>
            </w:r>
            <w:r>
              <w:rPr>
                <w:rFonts w:hint="eastAsia"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、检修道路</w:t>
            </w: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等永久占地占用</w:t>
            </w:r>
            <w:r>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t>乌拉泊、柴西、柴北、西山、甘河子（含铁路专供）准保护区。</w:t>
            </w:r>
            <w:r>
              <w:rPr>
                <w:rFonts w:hint="eastAsia" w:cs="Times New Roman" w:eastAsiaTheme="minorEastAsia"/>
                <w:snapToGrid w:val="0"/>
                <w:color w:val="000000" w:themeColor="text1"/>
                <w:sz w:val="21"/>
                <w:szCs w:val="21"/>
                <w:highlight w:val="none"/>
                <w:lang w:val="en-US" w:eastAsia="zh-CN"/>
                <w14:textFill>
                  <w14:solidFill>
                    <w14:schemeClr w14:val="tx1"/>
                  </w14:solidFill>
                </w14:textFill>
              </w:rPr>
              <w:t>根据3.3.3.1章节分析，项目符合</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《中华人民共和国水污染防治法》《饮用水水源保护区污染防治管理规定》(2010 年修正本)《集中式饮用水水源环境保护指南(试行)》(环办〔2012〕50号)《乌鲁木齐市饮用水水源保护条例》(2024年1月1日)等水源保护区的相关要求。</w:t>
            </w:r>
          </w:p>
          <w:p w14:paraId="216A0642">
            <w:pPr>
              <w:keepNext w:val="0"/>
              <w:keepLines w:val="0"/>
              <w:pageBreakBefore w:val="0"/>
              <w:widowControl w:val="0"/>
              <w:numPr>
                <w:ilvl w:val="0"/>
                <w:numId w:val="0"/>
              </w:numPr>
              <w:kinsoku/>
              <w:wordWrap w:val="0"/>
              <w:overflowPunct/>
              <w:topLinePunct/>
              <w:autoSpaceDE/>
              <w:autoSpaceDN/>
              <w:bidi w:val="0"/>
              <w:adjustRightInd/>
              <w:snapToGrid w:val="0"/>
              <w:spacing w:line="320" w:lineRule="exact"/>
              <w:ind w:left="0" w:leftChars="0" w:firstLine="420" w:firstLineChars="200"/>
              <w:textAlignment w:val="auto"/>
              <w:rPr>
                <w:rFonts w:hint="default" w:ascii="Times New Roman" w:hAnsi="Times New Roman" w:cs="Times New Roman" w:eastAsiaTheme="minorEastAsia"/>
                <w:snapToGrid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根据资料收集及现场走访活动，本项目区块均不在鸟类迁徙的主要通道上，根据走访调查表明，项目区域附近均未发现鸟类聚集现象。为防止鸟类碰撞风机叶片，采用叶片警示色或“恐怖眼”等</w:t>
            </w: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工程</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防范措施</w:t>
            </w: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，同时采取</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加强运营期人员教育</w:t>
            </w: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、设置</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宣传牌</w:t>
            </w: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等管理措施减轻对鸟类的影响。</w:t>
            </w:r>
          </w:p>
        </w:tc>
        <w:tc>
          <w:tcPr>
            <w:tcW w:w="1003" w:type="dxa"/>
            <w:tcBorders>
              <w:tl2br w:val="nil"/>
              <w:tr2bl w:val="nil"/>
            </w:tcBorders>
            <w:vAlign w:val="center"/>
          </w:tcPr>
          <w:p w14:paraId="26CACD94">
            <w:pPr>
              <w:keepNext w:val="0"/>
              <w:keepLines w:val="0"/>
              <w:pageBreakBefore w:val="0"/>
              <w:widowControl w:val="0"/>
              <w:kinsoku/>
              <w:wordWrap/>
              <w:overflowPunct/>
              <w:topLinePunct w:val="0"/>
              <w:autoSpaceDE/>
              <w:autoSpaceDN/>
              <w:bidi w:val="0"/>
              <w:adjustRightInd w:val="0"/>
              <w:snapToGrid w:val="0"/>
              <w:spacing w:line="320" w:lineRule="exact"/>
              <w:ind w:left="0" w:leftChars="0" w:firstLine="0" w:firstLineChars="0"/>
              <w:textAlignment w:val="auto"/>
              <w:rPr>
                <w:rFonts w:hint="default" w:ascii="Times New Roman" w:hAnsi="Times New Roman" w:cs="Times New Roman" w:eastAsiaTheme="minorEastAsia"/>
                <w:snapToGrid w:val="0"/>
                <w:color w:val="000000" w:themeColor="text1"/>
                <w:sz w:val="21"/>
                <w:szCs w:val="21"/>
                <w:highlight w:val="none"/>
                <w:vertAlign w:val="baseline"/>
                <w:lang w:val="en-US" w:eastAsia="zh-CN"/>
                <w14:textFill>
                  <w14:solidFill>
                    <w14:schemeClr w14:val="tx1"/>
                  </w14:solidFill>
                </w14:textFill>
              </w:rPr>
            </w:pPr>
            <w:r>
              <w:rPr>
                <w:rFonts w:hint="eastAsia" w:cs="Times New Roman" w:eastAsiaTheme="minorEastAsia"/>
                <w:snapToGrid w:val="0"/>
                <w:color w:val="000000" w:themeColor="text1"/>
                <w:sz w:val="21"/>
                <w:szCs w:val="21"/>
                <w:highlight w:val="none"/>
                <w:vertAlign w:val="baseline"/>
                <w:lang w:val="en-US" w:eastAsia="zh-CN"/>
                <w14:textFill>
                  <w14:solidFill>
                    <w14:schemeClr w14:val="tx1"/>
                  </w14:solidFill>
                </w14:textFill>
              </w:rPr>
              <w:t>符合</w:t>
            </w:r>
          </w:p>
        </w:tc>
      </w:tr>
      <w:tr w14:paraId="0C0D2C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03" w:type="dxa"/>
            <w:tcBorders>
              <w:tl2br w:val="nil"/>
              <w:tr2bl w:val="nil"/>
            </w:tcBorders>
            <w:vAlign w:val="center"/>
          </w:tcPr>
          <w:p w14:paraId="2DADBC00">
            <w:pPr>
              <w:keepNext w:val="0"/>
              <w:keepLines w:val="0"/>
              <w:pageBreakBefore w:val="0"/>
              <w:widowControl w:val="0"/>
              <w:kinsoku/>
              <w:wordWrap/>
              <w:overflowPunct/>
              <w:topLinePunct w:val="0"/>
              <w:autoSpaceDE/>
              <w:autoSpaceDN/>
              <w:bidi w:val="0"/>
              <w:adjustRightInd w:val="0"/>
              <w:snapToGrid w:val="0"/>
              <w:spacing w:line="320" w:lineRule="exact"/>
              <w:ind w:left="0" w:leftChars="0" w:firstLine="0" w:firstLineChars="0"/>
              <w:textAlignment w:val="auto"/>
              <w:rPr>
                <w:rFonts w:hint="default" w:ascii="Times New Roman" w:hAnsi="Times New Roman" w:cs="Times New Roman" w:eastAsiaTheme="minorEastAsia"/>
                <w:snapToGrid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t>需采用先进成熟、节能环保型技术装备，保证机组安全、稳定和长期运转。在沙漠、戈壁、沙地、沙化土地和潜在沙化土地上实施的风电、光伏发电建设项目应按照《中华人民共和国防沙治沙法》《关于加强沙区建设项目环境影响评价工作的通知》(新环环评发〔2020〕138号)等要求，客观分析对沙化土地产生的影响并提出切实可行的防沙治沙措施。临时占地区域应结合具体土地条件，综合考虑降雨、土质、土层厚度等因素，因地制宜采取种植适宜植物或砾石覆盖等生态恢复措施。</w:t>
            </w:r>
          </w:p>
        </w:tc>
        <w:tc>
          <w:tcPr>
            <w:tcW w:w="4368" w:type="dxa"/>
            <w:tcBorders>
              <w:tl2br w:val="nil"/>
              <w:tr2bl w:val="nil"/>
            </w:tcBorders>
            <w:vAlign w:val="center"/>
          </w:tcPr>
          <w:p w14:paraId="31B88ED8">
            <w:pPr>
              <w:keepNext w:val="0"/>
              <w:keepLines w:val="0"/>
              <w:pageBreakBefore w:val="0"/>
              <w:widowControl w:val="0"/>
              <w:kinsoku/>
              <w:wordWrap/>
              <w:overflowPunct/>
              <w:topLinePunct w:val="0"/>
              <w:autoSpaceDE/>
              <w:autoSpaceDN/>
              <w:bidi w:val="0"/>
              <w:adjustRightInd w:val="0"/>
              <w:snapToGrid w:val="0"/>
              <w:spacing w:line="320" w:lineRule="exact"/>
              <w:ind w:left="0" w:leftChars="0" w:firstLine="0" w:firstLineChars="0"/>
              <w:textAlignment w:val="auto"/>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t>本项目区域土地利用类型为</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天然牧草地</w:t>
            </w:r>
            <w:r>
              <w:rPr>
                <w:rFonts w:hint="eastAsia" w:cs="Times New Roman" w:eastAsiaTheme="minorEastAsia"/>
                <w:color w:val="000000" w:themeColor="text1"/>
                <w:sz w:val="21"/>
                <w:szCs w:val="21"/>
                <w:highlight w:val="none"/>
                <w:lang w:val="en-US" w:eastAsia="zh-CN"/>
                <w14:textFill>
                  <w14:solidFill>
                    <w14:schemeClr w14:val="tx1"/>
                  </w14:solidFill>
                </w14:textFill>
              </w:rPr>
              <w:t>、其他草地、水浇地、其他林地、采矿用地</w:t>
            </w:r>
            <w:r>
              <w:rPr>
                <w:rFonts w:hint="default" w:ascii="Times New Roman" w:hAnsi="Times New Roman" w:cs="Times New Roman" w:eastAsiaTheme="minorEastAsia"/>
                <w:snapToGrid w:val="0"/>
                <w:color w:val="000000" w:themeColor="text1"/>
                <w:sz w:val="21"/>
                <w:szCs w:val="21"/>
                <w:highlight w:val="none"/>
                <w:lang w:val="en-US" w:eastAsia="zh-CN"/>
                <w14:textFill>
                  <w14:solidFill>
                    <w14:schemeClr w14:val="tx1"/>
                  </w14:solidFill>
                </w14:textFill>
              </w:rPr>
              <w:t>，不涉及沙化土地。本次环评开展了对沙化土地的影响分析，并提出相应的防治措施。本项目在严格落实相应的防沙治沙措施后，对区域水土流失及土地沙化影响较小。</w:t>
            </w:r>
          </w:p>
          <w:p w14:paraId="662AF91F">
            <w:pPr>
              <w:keepNext w:val="0"/>
              <w:keepLines w:val="0"/>
              <w:pageBreakBefore w:val="0"/>
              <w:widowControl w:val="0"/>
              <w:kinsoku/>
              <w:wordWrap/>
              <w:overflowPunct/>
              <w:topLinePunct w:val="0"/>
              <w:autoSpaceDE/>
              <w:autoSpaceDN/>
              <w:bidi w:val="0"/>
              <w:adjustRightInd w:val="0"/>
              <w:snapToGrid w:val="0"/>
              <w:spacing w:line="320" w:lineRule="exact"/>
              <w:ind w:left="0" w:leftChars="0" w:firstLine="0" w:firstLineChars="0"/>
              <w:textAlignment w:val="auto"/>
              <w:rPr>
                <w:rFonts w:hint="default" w:ascii="Times New Roman" w:hAnsi="Times New Roman" w:cs="Times New Roman" w:eastAsiaTheme="minorEastAsia"/>
                <w:snapToGrid w:val="0"/>
                <w:color w:val="000000" w:themeColor="text1"/>
                <w:sz w:val="21"/>
                <w:szCs w:val="21"/>
                <w:highlight w:val="none"/>
                <w:vertAlign w:val="baseline"/>
                <w:lang w:val="en-US" w:eastAsia="zh-CN"/>
                <w14:textFill>
                  <w14:solidFill>
                    <w14:schemeClr w14:val="tx1"/>
                  </w14:solidFill>
                </w14:textFill>
              </w:rPr>
            </w:pPr>
          </w:p>
        </w:tc>
        <w:tc>
          <w:tcPr>
            <w:tcW w:w="1003" w:type="dxa"/>
            <w:tcBorders>
              <w:tl2br w:val="nil"/>
              <w:tr2bl w:val="nil"/>
            </w:tcBorders>
            <w:vAlign w:val="center"/>
          </w:tcPr>
          <w:p w14:paraId="17A2B3FB">
            <w:pPr>
              <w:keepNext w:val="0"/>
              <w:keepLines w:val="0"/>
              <w:pageBreakBefore w:val="0"/>
              <w:widowControl w:val="0"/>
              <w:kinsoku/>
              <w:wordWrap/>
              <w:overflowPunct/>
              <w:topLinePunct w:val="0"/>
              <w:autoSpaceDE/>
              <w:autoSpaceDN/>
              <w:bidi w:val="0"/>
              <w:adjustRightInd w:val="0"/>
              <w:snapToGrid w:val="0"/>
              <w:spacing w:line="320" w:lineRule="exact"/>
              <w:ind w:left="0" w:leftChars="0" w:firstLine="0" w:firstLineChars="0"/>
              <w:textAlignment w:val="auto"/>
              <w:rPr>
                <w:rFonts w:hint="default" w:ascii="Times New Roman" w:hAnsi="Times New Roman" w:cs="Times New Roman" w:eastAsiaTheme="minorEastAsia"/>
                <w:snapToGrid w:val="0"/>
                <w:color w:val="000000" w:themeColor="text1"/>
                <w:sz w:val="21"/>
                <w:szCs w:val="21"/>
                <w:highlight w:val="none"/>
                <w:vertAlign w:val="baseline"/>
                <w:lang w:val="en-US" w:eastAsia="zh-CN"/>
                <w14:textFill>
                  <w14:solidFill>
                    <w14:schemeClr w14:val="tx1"/>
                  </w14:solidFill>
                </w14:textFill>
              </w:rPr>
            </w:pPr>
          </w:p>
        </w:tc>
      </w:tr>
    </w:tbl>
    <w:p w14:paraId="0D874EBB">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p>
    <w:p w14:paraId="64059A15">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综上，本项目建设符合《新疆维吾尔自治区重点行业生态环境准入条件(2024年)》选址布局及污染防治与环境影响相关要求。</w:t>
      </w:r>
    </w:p>
    <w:p w14:paraId="193AF6D1">
      <w:pPr>
        <w:pStyle w:val="11"/>
        <w:keepNext/>
        <w:keepLines/>
        <w:pageBreakBefore w:val="0"/>
        <w:widowControl w:val="0"/>
        <w:kinsoku/>
        <w:wordWrap/>
        <w:overflowPunct/>
        <w:topLinePunct w:val="0"/>
        <w:autoSpaceDE/>
        <w:autoSpaceDN/>
        <w:bidi w:val="0"/>
        <w:adjustRightInd/>
        <w:snapToGrid/>
        <w:ind w:left="0"/>
        <w:textAlignment w:val="auto"/>
        <w:outlineLvl w:val="2"/>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bookmarkStart w:id="289" w:name="_Toc3619"/>
      <w:bookmarkStart w:id="290" w:name="_Toc9561"/>
      <w:bookmarkStart w:id="291" w:name="_Toc21110"/>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3.3.4 与“三线一单”生态环境分区管控方案符合性分析</w:t>
      </w:r>
      <w:bookmarkEnd w:id="289"/>
      <w:bookmarkEnd w:id="290"/>
      <w:bookmarkEnd w:id="291"/>
    </w:p>
    <w:p w14:paraId="6ABF832F">
      <w:pPr>
        <w:spacing w:beforeLines="0" w:afterLines="0"/>
        <w:jc w:val="left"/>
        <w:rPr>
          <w:rFonts w:hint="default"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pPr>
      <w:r>
        <w:rPr>
          <w:rFonts w:hint="eastAsia" w:cs="Times New Roman" w:eastAsiaTheme="minorEastAsia"/>
          <w:b/>
          <w:bCs/>
          <w:snapToGrid w:val="0"/>
          <w:color w:val="000000" w:themeColor="text1"/>
          <w:sz w:val="24"/>
          <w:highlight w:val="none"/>
          <w:lang w:val="en-US" w:eastAsia="zh-CN"/>
          <w14:textFill>
            <w14:solidFill>
              <w14:schemeClr w14:val="tx1"/>
            </w14:solidFill>
          </w14:textFill>
        </w:rPr>
        <w:t>（1）</w:t>
      </w:r>
      <w:r>
        <w:rPr>
          <w:rFonts w:hint="default"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t>与《关于印发〈新疆维吾尔自治区“三线一单”生态环境分区管控方案〉通</w:t>
      </w:r>
    </w:p>
    <w:p w14:paraId="7BD5C315">
      <w:pPr>
        <w:spacing w:beforeLines="0" w:afterLines="0"/>
        <w:ind w:left="0" w:leftChars="0" w:firstLine="0" w:firstLineChars="0"/>
        <w:jc w:val="left"/>
        <w:rPr>
          <w:rFonts w:hint="default"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t>知》(新政发〔2021〕18号)</w:t>
      </w:r>
      <w:r>
        <w:rPr>
          <w:rFonts w:hint="eastAsia"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t>及《新疆维吾尔自治区生态环境分区管控动态更新成果》（新环环评发〔2024〕157 号）</w:t>
      </w:r>
      <w:r>
        <w:rPr>
          <w:rFonts w:hint="default"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t>符合性分析</w:t>
      </w:r>
    </w:p>
    <w:p w14:paraId="0CCA1B56">
      <w:pPr>
        <w:autoSpaceDE w:val="0"/>
        <w:autoSpaceDN w:val="0"/>
        <w:snapToGrid w:val="0"/>
        <w:spacing w:line="360" w:lineRule="auto"/>
        <w:ind w:left="0" w:leftChars="0" w:firstLine="480" w:firstLineChars="200"/>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根据《关于印发〈新疆维吾尔自治区“三线一单”生态环境分区管控方案〉通知》(新政发〔2021〕18号)</w:t>
      </w:r>
      <w:r>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及《新疆维吾尔自治区生态环境分区管控动态更新成果》（新环环评发〔2024〕157 号）</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，将本项目与生态保护红线、环境质量底线、资源利用上线和生态环境准入清单相关要求对比分析，详见表</w:t>
      </w:r>
      <w:r>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3.3-9</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w:t>
      </w:r>
      <w:r>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本工程与自治区生态环境准入清单的符合性分析见表</w:t>
      </w:r>
      <w:r>
        <w:rPr>
          <w:rFonts w:hint="eastAsia" w:cs="Times New Roman" w:eastAsiaTheme="minorEastAsia"/>
          <w:snapToGrid w:val="0"/>
          <w:color w:val="000000" w:themeColor="text1"/>
          <w:sz w:val="24"/>
          <w:highlight w:val="none"/>
          <w:lang w:val="en-US" w:eastAsia="zh-CN"/>
          <w14:textFill>
            <w14:solidFill>
              <w14:schemeClr w14:val="tx1"/>
            </w14:solidFill>
          </w14:textFill>
        </w:rPr>
        <w:t>3.3-10</w:t>
      </w:r>
      <w:r>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w:t>
      </w:r>
    </w:p>
    <w:p w14:paraId="2D3CE226">
      <w:pPr>
        <w:autoSpaceDE w:val="0"/>
        <w:autoSpaceDN w:val="0"/>
        <w:adjustRightInd w:val="0"/>
        <w:snapToGrid w:val="0"/>
        <w:spacing w:line="360" w:lineRule="auto"/>
        <w:ind w:right="164"/>
        <w:rPr>
          <w:rFonts w:hAnsi="宋体"/>
          <w:color w:val="FF0000"/>
          <w:szCs w:val="24"/>
        </w:rPr>
      </w:pPr>
    </w:p>
    <w:p w14:paraId="4A17A3EE">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sectPr>
          <w:footerReference r:id="rId13" w:type="default"/>
          <w:pgSz w:w="11906" w:h="16838"/>
          <w:pgMar w:top="1418" w:right="1361" w:bottom="1418" w:left="1587" w:header="1134" w:footer="992" w:gutter="0"/>
          <w:pgBorders>
            <w:top w:val="none" w:sz="0" w:space="0"/>
            <w:left w:val="none" w:sz="0" w:space="0"/>
            <w:bottom w:val="none" w:sz="0" w:space="0"/>
            <w:right w:val="none" w:sz="0" w:space="0"/>
          </w:pgBorders>
          <w:pgNumType w:fmt="decimal"/>
          <w:cols w:space="720" w:num="1"/>
          <w:docGrid w:type="linesAndChars" w:linePitch="312" w:charSpace="0"/>
        </w:sectPr>
      </w:pPr>
    </w:p>
    <w:p w14:paraId="3B9E7BE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b/>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b/>
          <w:color w:val="000000" w:themeColor="text1"/>
          <w:sz w:val="24"/>
          <w:highlight w:val="none"/>
          <w:lang w:val="en-US" w:eastAsia="zh-CN"/>
          <w14:textFill>
            <w14:solidFill>
              <w14:schemeClr w14:val="tx1"/>
            </w14:solidFill>
          </w14:textFill>
        </w:rPr>
        <w:t>表3.3-9    项目与新政发〔2021〕18号相符性分析</w:t>
      </w:r>
    </w:p>
    <w:tbl>
      <w:tblPr>
        <w:tblStyle w:val="75"/>
        <w:tblW w:w="4996"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068"/>
        <w:gridCol w:w="5483"/>
        <w:gridCol w:w="6618"/>
        <w:gridCol w:w="1038"/>
      </w:tblGrid>
      <w:tr w14:paraId="534259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2305" w:type="pct"/>
            <w:gridSpan w:val="2"/>
            <w:tcBorders>
              <w:tl2br w:val="nil"/>
              <w:tr2bl w:val="nil"/>
            </w:tcBorders>
            <w:vAlign w:val="center"/>
          </w:tcPr>
          <w:p w14:paraId="642AB8CD">
            <w:pPr>
              <w:keepNext w:val="0"/>
              <w:keepLines w:val="0"/>
              <w:pageBreakBefore w:val="0"/>
              <w:kinsoku/>
              <w:wordWrap w:val="0"/>
              <w:overflowPunct/>
              <w:topLinePunct/>
              <w:autoSpaceDE/>
              <w:autoSpaceDN/>
              <w:bidi w:val="0"/>
              <w:adjustRightInd/>
              <w:snapToGrid/>
              <w:spacing w:line="240" w:lineRule="auto"/>
              <w:ind w:left="0" w:leftChars="0" w:right="0" w:rightChars="0"/>
              <w:jc w:val="center"/>
              <w:textAlignment w:val="auto"/>
              <w:rPr>
                <w:rFonts w:hint="default" w:ascii="Times New Roman" w:hAnsi="Times New Roman" w:cs="Times New Roman" w:eastAsiaTheme="minorEastAsia"/>
                <w:b w:val="0"/>
                <w:bCs w:val="0"/>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highlight w:val="none"/>
                <w:lang w:bidi="ar"/>
                <w14:textFill>
                  <w14:solidFill>
                    <w14:schemeClr w14:val="tx1"/>
                  </w14:solidFill>
                </w14:textFill>
              </w:rPr>
              <w:t>环境管理政策有关要求</w:t>
            </w:r>
          </w:p>
        </w:tc>
        <w:tc>
          <w:tcPr>
            <w:tcW w:w="2328" w:type="pct"/>
            <w:tcBorders>
              <w:tl2br w:val="nil"/>
              <w:tr2bl w:val="nil"/>
            </w:tcBorders>
            <w:vAlign w:val="center"/>
          </w:tcPr>
          <w:p w14:paraId="4E9958CF">
            <w:pPr>
              <w:keepNext w:val="0"/>
              <w:keepLines w:val="0"/>
              <w:pageBreakBefore w:val="0"/>
              <w:kinsoku/>
              <w:wordWrap w:val="0"/>
              <w:overflowPunct/>
              <w:topLinePunct/>
              <w:autoSpaceDE/>
              <w:autoSpaceDN/>
              <w:bidi w:val="0"/>
              <w:adjustRightInd/>
              <w:snapToGrid/>
              <w:spacing w:line="240" w:lineRule="auto"/>
              <w:ind w:left="0" w:leftChars="0" w:right="0" w:rightChars="0"/>
              <w:jc w:val="center"/>
              <w:textAlignment w:val="auto"/>
              <w:rPr>
                <w:rFonts w:hint="default" w:ascii="Times New Roman" w:hAnsi="Times New Roman" w:cs="Times New Roman" w:eastAsiaTheme="minorEastAsia"/>
                <w:b w:val="0"/>
                <w:bCs w:val="0"/>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highlight w:val="none"/>
                <w:lang w:bidi="ar"/>
                <w14:textFill>
                  <w14:solidFill>
                    <w14:schemeClr w14:val="tx1"/>
                  </w14:solidFill>
                </w14:textFill>
              </w:rPr>
              <w:t>本项目情况</w:t>
            </w:r>
          </w:p>
        </w:tc>
        <w:tc>
          <w:tcPr>
            <w:tcW w:w="365" w:type="pct"/>
            <w:tcBorders>
              <w:tl2br w:val="nil"/>
              <w:tr2bl w:val="nil"/>
            </w:tcBorders>
            <w:vAlign w:val="center"/>
          </w:tcPr>
          <w:p w14:paraId="5CAA375A">
            <w:pPr>
              <w:keepNext w:val="0"/>
              <w:keepLines w:val="0"/>
              <w:pageBreakBefore w:val="0"/>
              <w:kinsoku/>
              <w:wordWrap w:val="0"/>
              <w:overflowPunct/>
              <w:topLinePunct/>
              <w:autoSpaceDE/>
              <w:autoSpaceDN/>
              <w:bidi w:val="0"/>
              <w:adjustRightInd/>
              <w:snapToGrid/>
              <w:spacing w:line="240" w:lineRule="auto"/>
              <w:ind w:left="0" w:leftChars="0" w:right="0" w:rightChars="0"/>
              <w:jc w:val="center"/>
              <w:textAlignment w:val="auto"/>
              <w:rPr>
                <w:rFonts w:hint="default" w:ascii="Times New Roman" w:hAnsi="Times New Roman" w:cs="Times New Roman" w:eastAsiaTheme="minorEastAsia"/>
                <w:b w:val="0"/>
                <w:bCs w:val="0"/>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highlight w:val="none"/>
                <w:lang w:bidi="ar"/>
                <w14:textFill>
                  <w14:solidFill>
                    <w14:schemeClr w14:val="tx1"/>
                  </w14:solidFill>
                </w14:textFill>
              </w:rPr>
              <w:t>符合性</w:t>
            </w:r>
          </w:p>
        </w:tc>
      </w:tr>
      <w:tr w14:paraId="2DE125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76" w:type="pct"/>
            <w:tcBorders>
              <w:tl2br w:val="nil"/>
              <w:tr2bl w:val="nil"/>
            </w:tcBorders>
            <w:vAlign w:val="center"/>
          </w:tcPr>
          <w:p w14:paraId="0053A534">
            <w:pPr>
              <w:keepNext w:val="0"/>
              <w:keepLines w:val="0"/>
              <w:pageBreakBefore w:val="0"/>
              <w:kinsoku/>
              <w:wordWrap w:val="0"/>
              <w:overflowPunct/>
              <w:topLinePunct/>
              <w:autoSpaceDE/>
              <w:autoSpaceDN/>
              <w:bidi w:val="0"/>
              <w:adjustRightInd/>
              <w:snapToGrid/>
              <w:spacing w:line="240" w:lineRule="auto"/>
              <w:ind w:left="0" w:leftChars="0" w:right="0" w:right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生态保护红线</w:t>
            </w:r>
          </w:p>
        </w:tc>
        <w:tc>
          <w:tcPr>
            <w:tcW w:w="1928" w:type="pct"/>
            <w:tcBorders>
              <w:tl2br w:val="nil"/>
              <w:tr2bl w:val="nil"/>
            </w:tcBorders>
            <w:vAlign w:val="center"/>
          </w:tcPr>
          <w:p w14:paraId="563220BD">
            <w:pPr>
              <w:keepNext w:val="0"/>
              <w:keepLines w:val="0"/>
              <w:pageBreakBefore w:val="0"/>
              <w:kinsoku/>
              <w:wordWrap w:val="0"/>
              <w:overflowPunct/>
              <w:topLinePunct/>
              <w:autoSpaceDE/>
              <w:autoSpaceDN/>
              <w:bidi w:val="0"/>
              <w:adjustRightInd/>
              <w:snapToGrid/>
              <w:spacing w:line="240" w:lineRule="auto"/>
              <w:ind w:left="0" w:leftChars="0" w:right="0" w:rightChars="0"/>
              <w:jc w:val="both"/>
              <w:textAlignment w:val="auto"/>
              <w:rPr>
                <w:rFonts w:hint="default" w:ascii="Times New Roman" w:hAnsi="Times New Roman" w:cs="Times New Roman" w:eastAsiaTheme="minorEastAsia"/>
                <w:color w:val="000000" w:themeColor="text1"/>
                <w:kern w:val="2"/>
                <w:sz w:val="21"/>
                <w:szCs w:val="21"/>
                <w:highlight w:val="none"/>
                <w:u w:val="singl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按照</w:t>
            </w:r>
            <w:r>
              <w:rPr>
                <w:rFonts w:hint="default" w:ascii="Times New Roman" w:hAnsi="Times New Roman" w:cs="Times New Roman" w:eastAsiaTheme="minorEastAsia"/>
                <w:color w:val="000000" w:themeColor="text1"/>
                <w:kern w:val="2"/>
                <w:sz w:val="21"/>
                <w:szCs w:val="21"/>
                <w:highlight w:val="none"/>
                <w:lang w:eastAsia="zh-CN" w:bidi="ar-SA"/>
                <w14:textFill>
                  <w14:solidFill>
                    <w14:schemeClr w14:val="tx1"/>
                  </w14:solidFill>
                </w14:textFill>
              </w:rPr>
              <w:t>“</w:t>
            </w: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生态功能不降低、面积不减少、性质不改变</w:t>
            </w:r>
            <w:r>
              <w:rPr>
                <w:rFonts w:hint="default" w:ascii="Times New Roman" w:hAnsi="Times New Roman" w:cs="Times New Roman" w:eastAsiaTheme="minorEastAsia"/>
                <w:color w:val="000000" w:themeColor="text1"/>
                <w:kern w:val="2"/>
                <w:sz w:val="21"/>
                <w:szCs w:val="21"/>
                <w:highlight w:val="none"/>
                <w:lang w:eastAsia="zh-CN" w:bidi="ar-SA"/>
                <w14:textFill>
                  <w14:solidFill>
                    <w14:schemeClr w14:val="tx1"/>
                  </w14:solidFill>
                </w14:textFill>
              </w:rPr>
              <w:t>”</w:t>
            </w: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的基本要求，对划定的生态保护红线实施严格管控，保障和维护国家生态安全的底线和生命线。</w:t>
            </w:r>
          </w:p>
        </w:tc>
        <w:tc>
          <w:tcPr>
            <w:tcW w:w="2328" w:type="pct"/>
            <w:tcBorders>
              <w:tl2br w:val="nil"/>
              <w:tr2bl w:val="nil"/>
            </w:tcBorders>
            <w:vAlign w:val="center"/>
          </w:tcPr>
          <w:p w14:paraId="4BE20D23">
            <w:pPr>
              <w:keepNext w:val="0"/>
              <w:keepLines w:val="0"/>
              <w:pageBreakBefore w:val="0"/>
              <w:kinsoku/>
              <w:wordWrap w:val="0"/>
              <w:overflowPunct/>
              <w:topLinePunct/>
              <w:autoSpaceDE/>
              <w:autoSpaceDN/>
              <w:bidi w:val="0"/>
              <w:adjustRightInd/>
              <w:snapToGrid/>
              <w:spacing w:line="240" w:lineRule="auto"/>
              <w:ind w:left="0" w:leftChars="0" w:right="0" w:rightChars="0"/>
              <w:jc w:val="both"/>
              <w:textAlignment w:val="auto"/>
              <w:rPr>
                <w:rFonts w:hint="default" w:ascii="Times New Roman" w:hAnsi="Times New Roman" w:cs="Times New Roman" w:eastAsiaTheme="minorEastAsia"/>
                <w:color w:val="000000" w:themeColor="text1"/>
                <w:kern w:val="2"/>
                <w:sz w:val="21"/>
                <w:szCs w:val="21"/>
                <w:highlight w:val="none"/>
                <w:u w:val="singl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highlight w:val="none"/>
                <w:u w:val="none"/>
                <w:lang w:bidi="ar-SA"/>
                <w14:textFill>
                  <w14:solidFill>
                    <w14:schemeClr w14:val="tx1"/>
                  </w14:solidFill>
                </w14:textFill>
              </w:rPr>
              <w:t>本项目建设地点位于</w:t>
            </w:r>
            <w:r>
              <w:rPr>
                <w:rFonts w:hint="default" w:ascii="Times New Roman" w:hAnsi="Times New Roman" w:cs="Times New Roman" w:eastAsiaTheme="minorEastAsia"/>
                <w:b w:val="0"/>
                <w:bCs w:val="0"/>
                <w:color w:val="000000" w:themeColor="text1"/>
                <w:kern w:val="2"/>
                <w:sz w:val="21"/>
                <w:szCs w:val="21"/>
                <w:highlight w:val="none"/>
                <w:u w:val="none"/>
                <w:lang w:val="en-US" w:eastAsia="zh-CN" w:bidi="ar-SA"/>
                <w14:textFill>
                  <w14:solidFill>
                    <w14:schemeClr w14:val="tx1"/>
                  </w14:solidFill>
                </w14:textFill>
              </w:rPr>
              <w:t>乌鲁木齐</w:t>
            </w:r>
            <w:r>
              <w:rPr>
                <w:rFonts w:hint="eastAsia" w:cs="Times New Roman" w:eastAsiaTheme="minorEastAsia"/>
                <w:b w:val="0"/>
                <w:bCs w:val="0"/>
                <w:color w:val="000000" w:themeColor="text1"/>
                <w:kern w:val="2"/>
                <w:sz w:val="21"/>
                <w:szCs w:val="21"/>
                <w:highlight w:val="none"/>
                <w:u w:val="none"/>
                <w:lang w:val="en-US" w:eastAsia="zh-CN" w:bidi="ar-SA"/>
                <w14:textFill>
                  <w14:solidFill>
                    <w14:schemeClr w14:val="tx1"/>
                  </w14:solidFill>
                </w14:textFill>
              </w:rPr>
              <w:t>市沙依巴克区，</w:t>
            </w:r>
            <w:r>
              <w:rPr>
                <w:rFonts w:hint="default" w:ascii="Times New Roman" w:hAnsi="Times New Roman" w:cs="Times New Roman" w:eastAsiaTheme="minorEastAsia"/>
                <w:b w:val="0"/>
                <w:bCs w:val="0"/>
                <w:color w:val="000000" w:themeColor="text1"/>
                <w:kern w:val="2"/>
                <w:sz w:val="21"/>
                <w:szCs w:val="21"/>
                <w:highlight w:val="none"/>
                <w:u w:val="none"/>
                <w:lang w:val="en-US" w:eastAsia="zh-CN" w:bidi="ar-SA"/>
                <w14:textFill>
                  <w14:solidFill>
                    <w14:schemeClr w14:val="tx1"/>
                  </w14:solidFill>
                </w14:textFill>
              </w:rPr>
              <w:t>项目不涉及</w:t>
            </w:r>
            <w:r>
              <w:rPr>
                <w:rFonts w:hint="default" w:ascii="Times New Roman" w:hAnsi="Times New Roman" w:cs="Times New Roman" w:eastAsiaTheme="minorEastAsia"/>
                <w:b w:val="0"/>
                <w:bCs w:val="0"/>
                <w:color w:val="000000" w:themeColor="text1"/>
                <w:kern w:val="2"/>
                <w:sz w:val="21"/>
                <w:szCs w:val="21"/>
                <w:highlight w:val="none"/>
                <w:u w:val="none"/>
                <w:lang w:bidi="ar-SA"/>
                <w14:textFill>
                  <w14:solidFill>
                    <w14:schemeClr w14:val="tx1"/>
                  </w14:solidFill>
                </w14:textFill>
              </w:rPr>
              <w:t>生态保护红线。</w:t>
            </w:r>
          </w:p>
        </w:tc>
        <w:tc>
          <w:tcPr>
            <w:tcW w:w="365" w:type="pct"/>
            <w:tcBorders>
              <w:tl2br w:val="nil"/>
              <w:tr2bl w:val="nil"/>
            </w:tcBorders>
            <w:vAlign w:val="center"/>
          </w:tcPr>
          <w:p w14:paraId="6E0DBB78">
            <w:pPr>
              <w:keepNext w:val="0"/>
              <w:keepLines w:val="0"/>
              <w:pageBreakBefore w:val="0"/>
              <w:kinsoku/>
              <w:wordWrap w:val="0"/>
              <w:overflowPunct/>
              <w:topLinePunct/>
              <w:autoSpaceDE/>
              <w:autoSpaceDN/>
              <w:bidi w:val="0"/>
              <w:adjustRightInd/>
              <w:snapToGrid/>
              <w:spacing w:line="240" w:lineRule="auto"/>
              <w:ind w:left="0" w:leftChars="0" w:right="0" w:rightChars="0"/>
              <w:jc w:val="center"/>
              <w:textAlignment w:val="auto"/>
              <w:rPr>
                <w:rFonts w:hint="default" w:ascii="Times New Roman" w:hAnsi="Times New Roman" w:cs="Times New Roman" w:eastAsiaTheme="minorEastAsia"/>
                <w:color w:val="000000" w:themeColor="text1"/>
                <w:kern w:val="2"/>
                <w:sz w:val="21"/>
                <w:szCs w:val="21"/>
                <w:highlight w:val="none"/>
                <w:u w:val="singl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符合</w:t>
            </w:r>
          </w:p>
        </w:tc>
      </w:tr>
      <w:tr w14:paraId="74902C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74" w:hRule="atLeast"/>
          <w:jc w:val="center"/>
        </w:trPr>
        <w:tc>
          <w:tcPr>
            <w:tcW w:w="376" w:type="pct"/>
            <w:tcBorders>
              <w:tl2br w:val="nil"/>
              <w:tr2bl w:val="nil"/>
            </w:tcBorders>
            <w:vAlign w:val="center"/>
          </w:tcPr>
          <w:p w14:paraId="6505118A">
            <w:pPr>
              <w:keepNext w:val="0"/>
              <w:keepLines w:val="0"/>
              <w:pageBreakBefore w:val="0"/>
              <w:kinsoku/>
              <w:wordWrap w:val="0"/>
              <w:overflowPunct/>
              <w:topLinePunct/>
              <w:autoSpaceDE/>
              <w:autoSpaceDN/>
              <w:bidi w:val="0"/>
              <w:adjustRightInd/>
              <w:snapToGrid/>
              <w:spacing w:line="240" w:lineRule="auto"/>
              <w:ind w:left="0" w:leftChars="0" w:right="0" w:right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环境质量底线</w:t>
            </w:r>
          </w:p>
        </w:tc>
        <w:tc>
          <w:tcPr>
            <w:tcW w:w="1928" w:type="pct"/>
            <w:tcBorders>
              <w:tl2br w:val="nil"/>
              <w:tr2bl w:val="nil"/>
            </w:tcBorders>
            <w:vAlign w:val="center"/>
          </w:tcPr>
          <w:p w14:paraId="7A7B28FB">
            <w:pPr>
              <w:keepNext w:val="0"/>
              <w:keepLines w:val="0"/>
              <w:pageBreakBefore w:val="0"/>
              <w:kinsoku/>
              <w:wordWrap w:val="0"/>
              <w:overflowPunct/>
              <w:topLinePunct/>
              <w:autoSpaceDE/>
              <w:autoSpaceDN/>
              <w:bidi w:val="0"/>
              <w:adjustRightInd/>
              <w:snapToGrid/>
              <w:spacing w:line="240" w:lineRule="auto"/>
              <w:ind w:left="0" w:leftChars="0" w:right="0" w:rightChars="0"/>
              <w:jc w:val="both"/>
              <w:textAlignment w:val="auto"/>
              <w:rPr>
                <w:rFonts w:hint="default" w:ascii="Times New Roman" w:hAnsi="Times New Roman" w:cs="Times New Roman" w:eastAsiaTheme="minorEastAsia"/>
                <w:color w:val="000000" w:themeColor="text1"/>
                <w:kern w:val="2"/>
                <w:sz w:val="21"/>
                <w:szCs w:val="21"/>
                <w:highlight w:val="none"/>
                <w:u w:val="singl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全区水环境质量持续改善，受污染地表水体得到有效治理，饮用水安全保障水平持续提升，地下水超采得到严格控制，地下水水质保持稳定；全区环境空气质量有所提升，重污染天数持续减少，已达标城市环境空气质量保持稳定，未达标城市环境空气质量持续改善，沙尘影响严重地区做好防风固沙、生态环境保护修复等工作；全区土壤环境质量保持稳定，污染地块安全利用水平稳中有升，土壤环境风险得到进一步管控。</w:t>
            </w:r>
          </w:p>
        </w:tc>
        <w:tc>
          <w:tcPr>
            <w:tcW w:w="2328" w:type="pct"/>
            <w:tcBorders>
              <w:tl2br w:val="nil"/>
              <w:tr2bl w:val="nil"/>
            </w:tcBorders>
            <w:vAlign w:val="center"/>
          </w:tcPr>
          <w:p w14:paraId="34B580F8">
            <w:pPr>
              <w:keepNext w:val="0"/>
              <w:keepLines w:val="0"/>
              <w:pageBreakBefore w:val="0"/>
              <w:widowControl w:val="0"/>
              <w:kinsoku/>
              <w:wordWrap/>
              <w:overflowPunct/>
              <w:topLinePunct w:val="0"/>
              <w:autoSpaceDE/>
              <w:autoSpaceDN/>
              <w:bidi w:val="0"/>
              <w:adjustRightInd/>
              <w:snapToGrid w:val="0"/>
              <w:spacing w:line="320" w:lineRule="exact"/>
              <w:ind w:left="0" w:leftChars="0" w:firstLine="420" w:firstLineChars="200"/>
              <w:textAlignment w:val="auto"/>
              <w:rPr>
                <w:rFonts w:hint="default" w:ascii="Times New Roman" w:hAnsi="Times New Roman" w:cs="Times New Roman" w:eastAsiaTheme="minorEastAsia"/>
                <w:color w:val="000000" w:themeColor="text1"/>
                <w:kern w:val="2"/>
                <w:sz w:val="21"/>
                <w:szCs w:val="21"/>
                <w:highlight w:val="none"/>
                <w:u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u w:val="none"/>
                <w:lang w:bidi="ar-SA"/>
                <w14:textFill>
                  <w14:solidFill>
                    <w14:schemeClr w14:val="tx1"/>
                  </w14:solidFill>
                </w14:textFill>
              </w:rPr>
              <w:t>本项目涉及</w:t>
            </w:r>
            <w:r>
              <w:rPr>
                <w:rFonts w:hint="eastAsia" w:ascii="Times New Roman" w:hAnsi="Times New Roman" w:cs="Times New Roman" w:eastAsiaTheme="minorEastAsia"/>
                <w:color w:val="000000" w:themeColor="text1"/>
                <w:kern w:val="2"/>
                <w:sz w:val="21"/>
                <w:szCs w:val="21"/>
                <w:highlight w:val="none"/>
                <w:u w:val="none"/>
                <w:lang w:val="en-US" w:eastAsia="zh-CN" w:bidi="ar-SA"/>
                <w14:textFill>
                  <w14:solidFill>
                    <w14:schemeClr w14:val="tx1"/>
                  </w14:solidFill>
                </w14:textFill>
              </w:rPr>
              <w:t>西山地下饮用水源地二级保护区和</w:t>
            </w:r>
            <w:r>
              <w:rPr>
                <w:rFonts w:hint="eastAsia" w:ascii="Times New Roman" w:hAnsi="Times New Roman" w:cs="Times New Roman" w:eastAsiaTheme="minorEastAsia"/>
                <w:color w:val="000000" w:themeColor="text1"/>
                <w:kern w:val="2"/>
                <w:sz w:val="21"/>
                <w:szCs w:val="21"/>
                <w:highlight w:val="none"/>
                <w:u w:val="none"/>
                <w:lang w:bidi="ar-SA"/>
                <w14:textFill>
                  <w14:solidFill>
                    <w14:schemeClr w14:val="tx1"/>
                  </w14:solidFill>
                </w14:textFill>
              </w:rPr>
              <w:t>甘河子（含铁路专供）</w:t>
            </w:r>
            <w:r>
              <w:rPr>
                <w:rFonts w:hint="eastAsia" w:ascii="Times New Roman" w:hAnsi="Times New Roman" w:cs="Times New Roman" w:eastAsiaTheme="minorEastAsia"/>
                <w:color w:val="000000" w:themeColor="text1"/>
                <w:kern w:val="2"/>
                <w:sz w:val="21"/>
                <w:szCs w:val="21"/>
                <w:highlight w:val="none"/>
                <w:u w:val="none"/>
                <w:lang w:val="en-US" w:eastAsia="zh-CN" w:bidi="ar-SA"/>
                <w14:textFill>
                  <w14:solidFill>
                    <w14:schemeClr w14:val="tx1"/>
                  </w14:solidFill>
                </w14:textFill>
              </w:rPr>
              <w:t>地下饮用</w:t>
            </w:r>
            <w:r>
              <w:rPr>
                <w:rFonts w:hint="eastAsia" w:ascii="Times New Roman" w:hAnsi="Times New Roman" w:cs="Times New Roman" w:eastAsiaTheme="minorEastAsia"/>
                <w:color w:val="000000" w:themeColor="text1"/>
                <w:kern w:val="2"/>
                <w:sz w:val="21"/>
                <w:szCs w:val="21"/>
                <w:highlight w:val="none"/>
                <w:u w:val="none"/>
                <w:lang w:bidi="ar-SA"/>
                <w14:textFill>
                  <w14:solidFill>
                    <w14:schemeClr w14:val="tx1"/>
                  </w14:solidFill>
                </w14:textFill>
              </w:rPr>
              <w:t>水源地</w:t>
            </w:r>
            <w:r>
              <w:rPr>
                <w:rFonts w:hint="eastAsia" w:ascii="Times New Roman" w:hAnsi="Times New Roman" w:cs="Times New Roman" w:eastAsiaTheme="minorEastAsia"/>
                <w:color w:val="000000" w:themeColor="text1"/>
                <w:kern w:val="2"/>
                <w:sz w:val="21"/>
                <w:szCs w:val="21"/>
                <w:highlight w:val="none"/>
                <w:u w:val="none"/>
                <w:lang w:val="en-US" w:eastAsia="zh-CN" w:bidi="ar-SA"/>
                <w14:textFill>
                  <w14:solidFill>
                    <w14:schemeClr w14:val="tx1"/>
                  </w14:solidFill>
                </w14:textFill>
              </w:rPr>
              <w:t>二级保护区</w:t>
            </w:r>
            <w:r>
              <w:rPr>
                <w:rFonts w:hint="default" w:ascii="Times New Roman" w:hAnsi="Times New Roman" w:cs="Times New Roman" w:eastAsiaTheme="minorEastAsia"/>
                <w:color w:val="000000" w:themeColor="text1"/>
                <w:kern w:val="2"/>
                <w:sz w:val="21"/>
                <w:szCs w:val="21"/>
                <w:highlight w:val="none"/>
                <w:u w:val="none"/>
                <w:lang w:bidi="ar-SA"/>
                <w14:textFill>
                  <w14:solidFill>
                    <w14:schemeClr w14:val="tx1"/>
                  </w14:solidFill>
                </w14:textFill>
              </w:rPr>
              <w:t>和乌拉泊、柴西、柴北、西山、甘河 子（含铁路专供）准保护区。</w:t>
            </w:r>
          </w:p>
          <w:p w14:paraId="418B6D2A">
            <w:pPr>
              <w:keepNext w:val="0"/>
              <w:keepLines w:val="0"/>
              <w:pageBreakBefore w:val="0"/>
              <w:kinsoku/>
              <w:wordWrap w:val="0"/>
              <w:overflowPunct/>
              <w:topLinePunct/>
              <w:autoSpaceDE/>
              <w:autoSpaceDN/>
              <w:bidi w:val="0"/>
              <w:adjustRightInd/>
              <w:snapToGrid/>
              <w:spacing w:line="240" w:lineRule="auto"/>
              <w:ind w:left="0" w:leftChars="0" w:right="0" w:rightChars="0" w:firstLine="420" w:firstLineChars="200"/>
              <w:jc w:val="both"/>
              <w:textAlignment w:val="auto"/>
              <w:rPr>
                <w:rFonts w:hint="default" w:ascii="Times New Roman" w:hAnsi="Times New Roman" w:cs="Times New Roman" w:eastAsiaTheme="minorEastAsia"/>
                <w:color w:val="000000" w:themeColor="text1"/>
                <w:kern w:val="2"/>
                <w:sz w:val="21"/>
                <w:szCs w:val="21"/>
                <w:highlight w:val="none"/>
                <w:u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u w:val="none"/>
                <w:lang w:bidi="ar-SA"/>
                <w14:textFill>
                  <w14:solidFill>
                    <w14:schemeClr w14:val="tx1"/>
                  </w14:solidFill>
                </w14:textFill>
              </w:rPr>
              <w:t>本项目箱式变压器均使用干式变压器，无变压器废油。</w:t>
            </w:r>
            <w:r>
              <w:rPr>
                <w:rFonts w:hint="eastAsia" w:eastAsia="宋体" w:cs="Times New Roman"/>
                <w:color w:val="000000" w:themeColor="text1"/>
                <w:kern w:val="0"/>
                <w:sz w:val="21"/>
                <w:szCs w:val="21"/>
                <w:highlight w:val="none"/>
                <w:lang w:val="en-US" w:eastAsia="zh-CN" w:bidi="ar"/>
                <w14:textFill>
                  <w14:solidFill>
                    <w14:schemeClr w14:val="tx1"/>
                  </w14:solidFill>
                </w14:textFill>
              </w:rPr>
              <w:t>风电场</w:t>
            </w:r>
            <w:r>
              <w:rPr>
                <w:rFonts w:hint="default" w:eastAsia="宋体" w:cs="Times New Roman"/>
                <w:color w:val="000000" w:themeColor="text1"/>
                <w:kern w:val="0"/>
                <w:sz w:val="21"/>
                <w:szCs w:val="21"/>
                <w:highlight w:val="none"/>
                <w:lang w:val="en-US" w:eastAsia="zh-CN" w:bidi="ar"/>
                <w14:textFill>
                  <w14:solidFill>
                    <w14:schemeClr w14:val="tx1"/>
                  </w14:solidFill>
                </w14:textFill>
              </w:rPr>
              <w:t>运营期无</w:t>
            </w:r>
            <w:r>
              <w:rPr>
                <w:rFonts w:hint="eastAsia" w:eastAsia="宋体" w:cs="Times New Roman"/>
                <w:color w:val="000000" w:themeColor="text1"/>
                <w:kern w:val="0"/>
                <w:sz w:val="21"/>
                <w:szCs w:val="21"/>
                <w:highlight w:val="none"/>
                <w:lang w:val="en-US" w:eastAsia="zh-CN" w:bidi="ar"/>
                <w14:textFill>
                  <w14:solidFill>
                    <w14:schemeClr w14:val="tx1"/>
                  </w14:solidFill>
                </w14:textFill>
              </w:rPr>
              <w:t>废水产生；巡检过程中产生的少量</w:t>
            </w:r>
            <w:r>
              <w:rPr>
                <w:rFonts w:hint="default" w:eastAsia="宋体" w:cs="Times New Roman"/>
                <w:color w:val="000000" w:themeColor="text1"/>
                <w:kern w:val="0"/>
                <w:sz w:val="21"/>
                <w:szCs w:val="21"/>
                <w:highlight w:val="none"/>
                <w:lang w:val="en-US" w:eastAsia="zh-CN" w:bidi="ar"/>
                <w14:textFill>
                  <w14:solidFill>
                    <w14:schemeClr w14:val="tx1"/>
                  </w14:solidFill>
                </w14:textFill>
              </w:rPr>
              <w:t>生活垃圾随车拉运至就近生活垃圾转运站，由环卫部门统一处置</w:t>
            </w:r>
            <w:r>
              <w:rPr>
                <w:rFonts w:hint="eastAsia" w:eastAsia="宋体" w:cs="Times New Roman"/>
                <w:color w:val="000000" w:themeColor="text1"/>
                <w:kern w:val="0"/>
                <w:sz w:val="21"/>
                <w:szCs w:val="21"/>
                <w:highlight w:val="none"/>
                <w:lang w:val="en-US" w:eastAsia="zh-CN" w:bidi="ar"/>
                <w14:textFill>
                  <w14:solidFill>
                    <w14:schemeClr w14:val="tx1"/>
                  </w14:solidFill>
                </w14:textFill>
              </w:rPr>
              <w:t>；检修产生的废矿物油</w:t>
            </w:r>
            <w:r>
              <w:rPr>
                <w:rFonts w:hint="default" w:eastAsia="宋体" w:cs="Times New Roman"/>
                <w:color w:val="000000" w:themeColor="text1"/>
                <w:kern w:val="0"/>
                <w:sz w:val="21"/>
                <w:szCs w:val="21"/>
                <w:highlight w:val="none"/>
                <w:lang w:val="en-US" w:eastAsia="zh-CN" w:bidi="ar"/>
                <w14:textFill>
                  <w14:solidFill>
                    <w14:schemeClr w14:val="tx1"/>
                  </w14:solidFill>
                </w14:textFill>
              </w:rPr>
              <w:t>、含油抹布和废手套等废危险废物</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分类收集、即产即清，不在站区储存。</w:t>
            </w:r>
            <w:r>
              <w:rPr>
                <w:rFonts w:hint="default" w:ascii="Times New Roman" w:hAnsi="Times New Roman" w:cs="Times New Roman" w:eastAsiaTheme="minorEastAsia"/>
                <w:color w:val="000000" w:themeColor="text1"/>
                <w:kern w:val="2"/>
                <w:sz w:val="21"/>
                <w:szCs w:val="21"/>
                <w:highlight w:val="none"/>
                <w:u w:val="none"/>
                <w:lang w:bidi="ar-SA"/>
                <w14:textFill>
                  <w14:solidFill>
                    <w14:schemeClr w14:val="tx1"/>
                  </w14:solidFill>
                </w14:textFill>
              </w:rPr>
              <w:t>运营期固体废物均得到合理妥善处置，不外排。</w:t>
            </w:r>
          </w:p>
          <w:p w14:paraId="1A1F4401">
            <w:pPr>
              <w:keepNext w:val="0"/>
              <w:keepLines w:val="0"/>
              <w:pageBreakBefore w:val="0"/>
              <w:kinsoku/>
              <w:wordWrap w:val="0"/>
              <w:overflowPunct/>
              <w:topLinePunct/>
              <w:autoSpaceDE/>
              <w:autoSpaceDN/>
              <w:bidi w:val="0"/>
              <w:adjustRightInd/>
              <w:snapToGrid/>
              <w:spacing w:line="240" w:lineRule="auto"/>
              <w:ind w:left="0" w:leftChars="0" w:right="0" w:rightChars="0"/>
              <w:jc w:val="both"/>
              <w:textAlignment w:val="auto"/>
              <w:rPr>
                <w:rFonts w:hint="default" w:ascii="Times New Roman" w:hAnsi="Times New Roman" w:cs="Times New Roman" w:eastAsiaTheme="minorEastAsia"/>
                <w:color w:val="000000" w:themeColor="text1"/>
                <w:kern w:val="2"/>
                <w:sz w:val="21"/>
                <w:szCs w:val="21"/>
                <w:highlight w:val="none"/>
                <w:u w:val="none"/>
                <w:lang w:bidi="ar-SA"/>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施工营地内设置沉淀池，车辆冲洗废水沉淀池处理后循环利用，不外排；设置移动环保厕所及防渗污水收集池，生活污水集中收集后，定期委托环卫部门采用吸污车清运至污水处理厂处理，不外排。施工期无弃方，生活垃圾集中收集拉运之附近生活垃圾转运站，由环卫部门清运统一处置，废包装材料集中收集外售综合利用，不外排，建筑垃圾集中收集后清运至乌鲁木齐市建筑垃圾填埋场处置。</w:t>
            </w:r>
            <w:r>
              <w:rPr>
                <w:rFonts w:hint="default" w:ascii="Times New Roman" w:hAnsi="Times New Roman" w:cs="Times New Roman" w:eastAsiaTheme="minorEastAsia"/>
                <w:color w:val="000000" w:themeColor="text1"/>
                <w:kern w:val="2"/>
                <w:sz w:val="21"/>
                <w:szCs w:val="21"/>
                <w:highlight w:val="none"/>
                <w:u w:val="none"/>
                <w:lang w:bidi="ar-SA"/>
                <w14:textFill>
                  <w14:solidFill>
                    <w14:schemeClr w14:val="tx1"/>
                  </w14:solidFill>
                </w14:textFill>
              </w:rPr>
              <w:t>项目施工期回填土、临时堆料在指定地点堆放，采取围挡、覆盖措施，临时弃土及时回填；装卸建筑材料(尤其是泥沙石)，必须采用封闭式车辆运输；定期洒水降尘，运输大风天禁止作业。本项目施工期采取有效措施防治大气、水以及固废污染。运营期生产无大气、水污染物排放。</w:t>
            </w:r>
          </w:p>
          <w:p w14:paraId="7D12A503">
            <w:pPr>
              <w:keepNext w:val="0"/>
              <w:keepLines w:val="0"/>
              <w:pageBreakBefore w:val="0"/>
              <w:kinsoku/>
              <w:wordWrap w:val="0"/>
              <w:overflowPunct/>
              <w:topLinePunct/>
              <w:autoSpaceDE/>
              <w:autoSpaceDN/>
              <w:bidi w:val="0"/>
              <w:adjustRightInd/>
              <w:snapToGrid/>
              <w:spacing w:line="240" w:lineRule="auto"/>
              <w:ind w:left="0" w:leftChars="0" w:right="0" w:rightChars="0" w:firstLine="420" w:firstLineChars="200"/>
              <w:jc w:val="both"/>
              <w:textAlignment w:val="auto"/>
              <w:rPr>
                <w:rFonts w:hint="default" w:ascii="Times New Roman" w:hAnsi="Times New Roman" w:cs="Times New Roman" w:eastAsiaTheme="minorEastAsia"/>
                <w:color w:val="FF0000"/>
                <w:kern w:val="2"/>
                <w:sz w:val="21"/>
                <w:szCs w:val="21"/>
                <w:highlight w:val="none"/>
                <w:u w:val="single"/>
                <w:lang w:bidi="ar-SA"/>
              </w:rPr>
            </w:pPr>
            <w:r>
              <w:rPr>
                <w:rFonts w:hint="default" w:ascii="Times New Roman" w:hAnsi="Times New Roman" w:cs="Times New Roman" w:eastAsiaTheme="minorEastAsia"/>
                <w:color w:val="000000" w:themeColor="text1"/>
                <w:kern w:val="2"/>
                <w:sz w:val="21"/>
                <w:szCs w:val="21"/>
                <w:highlight w:val="none"/>
                <w:u w:val="none"/>
                <w:lang w:bidi="ar-SA"/>
                <w14:textFill>
                  <w14:solidFill>
                    <w14:schemeClr w14:val="tx1"/>
                  </w14:solidFill>
                </w14:textFill>
              </w:rPr>
              <w:t>综上，本项目建设对区域环境空气质量、水环境特别是</w:t>
            </w:r>
            <w:r>
              <w:rPr>
                <w:rFonts w:hint="eastAsia" w:ascii="Times New Roman" w:hAnsi="Times New Roman" w:cs="Times New Roman" w:eastAsiaTheme="minorEastAsia"/>
                <w:color w:val="000000" w:themeColor="text1"/>
                <w:kern w:val="2"/>
                <w:sz w:val="21"/>
                <w:szCs w:val="21"/>
                <w:highlight w:val="none"/>
                <w:u w:val="none"/>
                <w:lang w:val="en-US" w:eastAsia="zh-CN" w:bidi="ar-SA"/>
                <w14:textFill>
                  <w14:solidFill>
                    <w14:schemeClr w14:val="tx1"/>
                  </w14:solidFill>
                </w14:textFill>
              </w:rPr>
              <w:t>西山地下饮用水源地二级保护区</w:t>
            </w:r>
            <w:r>
              <w:rPr>
                <w:rFonts w:hint="eastAsia" w:cs="Times New Roman" w:eastAsiaTheme="minorEastAsia"/>
                <w:color w:val="000000" w:themeColor="text1"/>
                <w:kern w:val="2"/>
                <w:sz w:val="21"/>
                <w:szCs w:val="21"/>
                <w:highlight w:val="none"/>
                <w:u w:val="none"/>
                <w:lang w:val="en-US" w:eastAsia="zh-CN" w:bidi="ar-SA"/>
                <w14:textFill>
                  <w14:solidFill>
                    <w14:schemeClr w14:val="tx1"/>
                  </w14:solidFill>
                </w14:textFill>
              </w:rPr>
              <w:t>、</w:t>
            </w:r>
            <w:r>
              <w:rPr>
                <w:rFonts w:hint="eastAsia" w:ascii="Times New Roman" w:hAnsi="Times New Roman" w:cs="Times New Roman" w:eastAsiaTheme="minorEastAsia"/>
                <w:color w:val="000000" w:themeColor="text1"/>
                <w:kern w:val="2"/>
                <w:sz w:val="21"/>
                <w:szCs w:val="21"/>
                <w:highlight w:val="none"/>
                <w:u w:val="none"/>
                <w:lang w:bidi="ar-SA"/>
                <w14:textFill>
                  <w14:solidFill>
                    <w14:schemeClr w14:val="tx1"/>
                  </w14:solidFill>
                </w14:textFill>
              </w:rPr>
              <w:t>甘河子（含铁路专供）</w:t>
            </w:r>
            <w:r>
              <w:rPr>
                <w:rFonts w:hint="eastAsia" w:ascii="Times New Roman" w:hAnsi="Times New Roman" w:cs="Times New Roman" w:eastAsiaTheme="minorEastAsia"/>
                <w:color w:val="000000" w:themeColor="text1"/>
                <w:kern w:val="2"/>
                <w:sz w:val="21"/>
                <w:szCs w:val="21"/>
                <w:highlight w:val="none"/>
                <w:u w:val="none"/>
                <w:lang w:val="en-US" w:eastAsia="zh-CN" w:bidi="ar-SA"/>
                <w14:textFill>
                  <w14:solidFill>
                    <w14:schemeClr w14:val="tx1"/>
                  </w14:solidFill>
                </w14:textFill>
              </w:rPr>
              <w:t>地下饮用</w:t>
            </w:r>
            <w:r>
              <w:rPr>
                <w:rFonts w:hint="eastAsia" w:ascii="Times New Roman" w:hAnsi="Times New Roman" w:cs="Times New Roman" w:eastAsiaTheme="minorEastAsia"/>
                <w:color w:val="000000" w:themeColor="text1"/>
                <w:kern w:val="2"/>
                <w:sz w:val="21"/>
                <w:szCs w:val="21"/>
                <w:highlight w:val="none"/>
                <w:u w:val="none"/>
                <w:lang w:bidi="ar-SA"/>
                <w14:textFill>
                  <w14:solidFill>
                    <w14:schemeClr w14:val="tx1"/>
                  </w14:solidFill>
                </w14:textFill>
              </w:rPr>
              <w:t>水源地</w:t>
            </w:r>
            <w:r>
              <w:rPr>
                <w:rFonts w:hint="eastAsia" w:ascii="Times New Roman" w:hAnsi="Times New Roman" w:cs="Times New Roman" w:eastAsiaTheme="minorEastAsia"/>
                <w:color w:val="000000" w:themeColor="text1"/>
                <w:kern w:val="2"/>
                <w:sz w:val="21"/>
                <w:szCs w:val="21"/>
                <w:highlight w:val="none"/>
                <w:u w:val="none"/>
                <w:lang w:val="en-US" w:eastAsia="zh-CN" w:bidi="ar-SA"/>
                <w14:textFill>
                  <w14:solidFill>
                    <w14:schemeClr w14:val="tx1"/>
                  </w14:solidFill>
                </w14:textFill>
              </w:rPr>
              <w:t>二级保护区</w:t>
            </w:r>
            <w:r>
              <w:rPr>
                <w:rFonts w:hint="default" w:ascii="Times New Roman" w:hAnsi="Times New Roman" w:cs="Times New Roman" w:eastAsiaTheme="minorEastAsia"/>
                <w:color w:val="000000" w:themeColor="text1"/>
                <w:kern w:val="2"/>
                <w:sz w:val="21"/>
                <w:szCs w:val="21"/>
                <w:highlight w:val="none"/>
                <w:u w:val="none"/>
                <w:lang w:bidi="ar-SA"/>
                <w14:textFill>
                  <w14:solidFill>
                    <w14:schemeClr w14:val="tx1"/>
                  </w14:solidFill>
                </w14:textFill>
              </w:rPr>
              <w:t>和乌拉泊、柴西、柴北、西山、甘河子（含铁路专供）准保护区以及土壤环境影响较小，不突破所在区域环境质量底线。</w:t>
            </w:r>
          </w:p>
        </w:tc>
        <w:tc>
          <w:tcPr>
            <w:tcW w:w="365" w:type="pct"/>
            <w:tcBorders>
              <w:tl2br w:val="nil"/>
              <w:tr2bl w:val="nil"/>
            </w:tcBorders>
            <w:vAlign w:val="center"/>
          </w:tcPr>
          <w:p w14:paraId="3C17F24E">
            <w:pPr>
              <w:keepNext w:val="0"/>
              <w:keepLines w:val="0"/>
              <w:pageBreakBefore w:val="0"/>
              <w:kinsoku/>
              <w:wordWrap w:val="0"/>
              <w:overflowPunct/>
              <w:topLinePunct/>
              <w:autoSpaceDE/>
              <w:autoSpaceDN/>
              <w:bidi w:val="0"/>
              <w:adjustRightInd/>
              <w:snapToGrid/>
              <w:spacing w:line="240" w:lineRule="auto"/>
              <w:ind w:left="0" w:leftChars="0" w:right="0" w:rightChars="0"/>
              <w:jc w:val="center"/>
              <w:textAlignment w:val="auto"/>
              <w:rPr>
                <w:rFonts w:hint="default" w:ascii="Times New Roman" w:hAnsi="Times New Roman" w:cs="Times New Roman" w:eastAsiaTheme="minorEastAsia"/>
                <w:color w:val="000000" w:themeColor="text1"/>
                <w:kern w:val="2"/>
                <w:sz w:val="21"/>
                <w:szCs w:val="21"/>
                <w:highlight w:val="none"/>
                <w:u w:val="singl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符合</w:t>
            </w:r>
          </w:p>
        </w:tc>
      </w:tr>
      <w:tr w14:paraId="209B20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76" w:type="pct"/>
            <w:tcBorders>
              <w:tl2br w:val="nil"/>
              <w:tr2bl w:val="nil"/>
            </w:tcBorders>
            <w:vAlign w:val="center"/>
          </w:tcPr>
          <w:p w14:paraId="53E35D59">
            <w:pPr>
              <w:keepNext w:val="0"/>
              <w:keepLines w:val="0"/>
              <w:pageBreakBefore w:val="0"/>
              <w:kinsoku/>
              <w:wordWrap w:val="0"/>
              <w:overflowPunct/>
              <w:topLinePunct/>
              <w:autoSpaceDE/>
              <w:autoSpaceDN/>
              <w:bidi w:val="0"/>
              <w:adjustRightInd/>
              <w:snapToGrid/>
              <w:spacing w:line="240" w:lineRule="auto"/>
              <w:ind w:left="0" w:leftChars="0" w:right="0" w:rightChars="0"/>
              <w:jc w:val="center"/>
              <w:textAlignment w:val="auto"/>
              <w:rPr>
                <w:rFonts w:hint="default" w:ascii="Times New Roman" w:hAnsi="Times New Roman" w:cs="Times New Roman" w:eastAsiaTheme="minorEastAsia"/>
                <w:color w:val="000000" w:themeColor="text1"/>
                <w:kern w:val="2"/>
                <w:sz w:val="21"/>
                <w:szCs w:val="21"/>
                <w:highlight w:val="none"/>
                <w:u w:val="singl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资源利用上线</w:t>
            </w:r>
          </w:p>
        </w:tc>
        <w:tc>
          <w:tcPr>
            <w:tcW w:w="1928" w:type="pct"/>
            <w:tcBorders>
              <w:tl2br w:val="nil"/>
              <w:tr2bl w:val="nil"/>
            </w:tcBorders>
            <w:vAlign w:val="center"/>
          </w:tcPr>
          <w:p w14:paraId="317066D9">
            <w:pPr>
              <w:keepNext w:val="0"/>
              <w:keepLines w:val="0"/>
              <w:pageBreakBefore w:val="0"/>
              <w:kinsoku/>
              <w:wordWrap w:val="0"/>
              <w:overflowPunct/>
              <w:topLinePunct/>
              <w:autoSpaceDE/>
              <w:autoSpaceDN/>
              <w:bidi w:val="0"/>
              <w:adjustRightInd/>
              <w:snapToGrid/>
              <w:spacing w:line="240" w:lineRule="auto"/>
              <w:ind w:left="0" w:leftChars="0" w:right="0" w:rightChars="0"/>
              <w:jc w:val="left"/>
              <w:textAlignment w:val="auto"/>
              <w:rPr>
                <w:rFonts w:hint="default" w:ascii="Times New Roman" w:hAnsi="Times New Roman" w:cs="Times New Roman" w:eastAsiaTheme="minorEastAsia"/>
                <w:color w:val="000000" w:themeColor="text1"/>
                <w:kern w:val="2"/>
                <w:sz w:val="21"/>
                <w:szCs w:val="21"/>
                <w:highlight w:val="none"/>
                <w:u w:val="singl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强化节约集约利用，持续提升资源能源利用效率，水资源、土地资源、能源消耗等达到国家、自治区下达的总量和强度控制目标。加快区域低碳发展，积极推动乌鲁木齐市、昌吉市、伊宁市、和田市等4个国家级低碳试点城市发挥低碳试点示范和引领作用。</w:t>
            </w:r>
          </w:p>
        </w:tc>
        <w:tc>
          <w:tcPr>
            <w:tcW w:w="2328" w:type="pct"/>
            <w:tcBorders>
              <w:tl2br w:val="nil"/>
              <w:tr2bl w:val="nil"/>
            </w:tcBorders>
            <w:vAlign w:val="center"/>
          </w:tcPr>
          <w:p w14:paraId="1AE188B9">
            <w:pPr>
              <w:keepNext w:val="0"/>
              <w:keepLines w:val="0"/>
              <w:pageBreakBefore w:val="0"/>
              <w:kinsoku/>
              <w:wordWrap w:val="0"/>
              <w:overflowPunct/>
              <w:topLinePunct/>
              <w:autoSpaceDE/>
              <w:autoSpaceDN/>
              <w:bidi w:val="0"/>
              <w:adjustRightInd/>
              <w:snapToGrid/>
              <w:spacing w:line="240" w:lineRule="auto"/>
              <w:ind w:left="0" w:leftChars="0" w:right="0" w:rightChars="0"/>
              <w:jc w:val="both"/>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本项目为</w:t>
            </w: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风电</w:t>
            </w: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项目，项目的建设运营对水资源及其他资源能源消耗量极小，设计严格控制用地指标、节约土地资源，不突破当地土地资源利用上线，且项目为新能源发电项目，积极推进低碳发展，项目建设符合资源利用上线要求。</w:t>
            </w:r>
          </w:p>
        </w:tc>
        <w:tc>
          <w:tcPr>
            <w:tcW w:w="365" w:type="pct"/>
            <w:tcBorders>
              <w:tl2br w:val="nil"/>
              <w:tr2bl w:val="nil"/>
            </w:tcBorders>
            <w:vAlign w:val="center"/>
          </w:tcPr>
          <w:p w14:paraId="1CB9C515">
            <w:pPr>
              <w:keepNext w:val="0"/>
              <w:keepLines w:val="0"/>
              <w:pageBreakBefore w:val="0"/>
              <w:kinsoku/>
              <w:wordWrap w:val="0"/>
              <w:overflowPunct/>
              <w:topLinePunct/>
              <w:autoSpaceDE/>
              <w:autoSpaceDN/>
              <w:bidi w:val="0"/>
              <w:adjustRightInd/>
              <w:snapToGrid/>
              <w:spacing w:line="240" w:lineRule="auto"/>
              <w:ind w:left="0" w:leftChars="0" w:right="0" w:right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符合</w:t>
            </w:r>
          </w:p>
        </w:tc>
      </w:tr>
      <w:tr w14:paraId="3DE952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76" w:type="pct"/>
            <w:tcBorders>
              <w:tl2br w:val="nil"/>
              <w:tr2bl w:val="nil"/>
            </w:tcBorders>
            <w:vAlign w:val="center"/>
          </w:tcPr>
          <w:p w14:paraId="53D239A6">
            <w:pPr>
              <w:keepNext w:val="0"/>
              <w:keepLines w:val="0"/>
              <w:pageBreakBefore w:val="0"/>
              <w:kinsoku/>
              <w:wordWrap w:val="0"/>
              <w:overflowPunct/>
              <w:topLinePunct/>
              <w:autoSpaceDE/>
              <w:autoSpaceDN/>
              <w:bidi w:val="0"/>
              <w:adjustRightInd/>
              <w:snapToGrid/>
              <w:spacing w:line="240" w:lineRule="auto"/>
              <w:ind w:left="0" w:leftChars="0" w:right="0" w:rightChars="0"/>
              <w:jc w:val="center"/>
              <w:textAlignment w:val="auto"/>
              <w:rPr>
                <w:rFonts w:hint="default" w:ascii="Times New Roman" w:hAnsi="Times New Roman" w:cs="Times New Roman" w:eastAsiaTheme="minorEastAsia"/>
                <w:color w:val="000000" w:themeColor="text1"/>
                <w:kern w:val="2"/>
                <w:sz w:val="21"/>
                <w:szCs w:val="21"/>
                <w:highlight w:val="none"/>
                <w:u w:val="singl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生态环境准入清单</w:t>
            </w:r>
          </w:p>
        </w:tc>
        <w:tc>
          <w:tcPr>
            <w:tcW w:w="1928" w:type="pct"/>
            <w:tcBorders>
              <w:tl2br w:val="nil"/>
              <w:tr2bl w:val="nil"/>
            </w:tcBorders>
            <w:vAlign w:val="center"/>
          </w:tcPr>
          <w:p w14:paraId="675F3266">
            <w:pPr>
              <w:pStyle w:val="24"/>
              <w:keepNext w:val="0"/>
              <w:keepLines w:val="0"/>
              <w:pageBreakBefore w:val="0"/>
              <w:widowControl w:val="0"/>
              <w:kinsoku/>
              <w:wordWrap/>
              <w:overflowPunct/>
              <w:topLinePunct w:val="0"/>
              <w:autoSpaceDE/>
              <w:autoSpaceDN/>
              <w:bidi w:val="0"/>
              <w:snapToGrid w:val="0"/>
              <w:spacing w:line="320" w:lineRule="exact"/>
              <w:ind w:left="0" w:leftChars="0" w:firstLine="0" w:firstLineChars="0"/>
              <w:jc w:val="left"/>
              <w:textAlignment w:val="auto"/>
              <w:rPr>
                <w:rFonts w:hint="eastAsia" w:ascii="Times New Roman" w:hAnsi="Times New Roman" w:cs="Times New Roman" w:eastAsiaTheme="minorEastAsia"/>
                <w:color w:val="000000" w:themeColor="text1"/>
                <w:kern w:val="2"/>
                <w:sz w:val="21"/>
                <w:szCs w:val="21"/>
                <w:highlight w:val="none"/>
                <w:lang w:val="zh-CN"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自治区共划定1777个环境管控单元，分为优先保护单元、重点管控单元、一般管控单元三大类。</w:t>
            </w:r>
          </w:p>
          <w:p w14:paraId="6A17CFF8">
            <w:pPr>
              <w:keepNext w:val="0"/>
              <w:keepLines w:val="0"/>
              <w:pageBreakBefore w:val="0"/>
              <w:widowControl w:val="0"/>
              <w:kinsoku/>
              <w:wordWrap/>
              <w:overflowPunct/>
              <w:topLinePunct w:val="0"/>
              <w:autoSpaceDE/>
              <w:autoSpaceDN/>
              <w:bidi w:val="0"/>
              <w:adjustRightInd w:val="0"/>
              <w:snapToGrid w:val="0"/>
              <w:spacing w:line="320" w:lineRule="exact"/>
              <w:ind w:left="0" w:leftChars="0" w:firstLine="0" w:firstLineChars="0"/>
              <w:jc w:val="left"/>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优先保护单元925个，主要包括生态保护红线区和生态保护红线区以外的饮用水水源保护区、水源涵养区、防风固沙区、土地沙化防控区、水土流失防控区等一般生态空间管控区。生态保护红线区执行生态保护红线管理办法的有关要求；一般生态空间管控区应以生态环境保护优先为原则，开发建设活动应严格执行相关法律法规要求，严守生态环境质量底线，确保生态功能不降低。</w:t>
            </w:r>
          </w:p>
          <w:p w14:paraId="78D58894">
            <w:pPr>
              <w:keepNext w:val="0"/>
              <w:keepLines w:val="0"/>
              <w:pageBreakBefore w:val="0"/>
              <w:widowControl w:val="0"/>
              <w:kinsoku/>
              <w:wordWrap/>
              <w:overflowPunct/>
              <w:topLinePunct w:val="0"/>
              <w:autoSpaceDE/>
              <w:autoSpaceDN/>
              <w:bidi w:val="0"/>
              <w:adjustRightInd w:val="0"/>
              <w:snapToGrid w:val="0"/>
              <w:spacing w:line="320" w:lineRule="exact"/>
              <w:ind w:left="0" w:leftChars="0" w:firstLine="0" w:firstLineChars="0"/>
              <w:jc w:val="left"/>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重点管控单元713个，主要包括城镇建成区、工业园区和开发强度大、污染物排放强度高的工业聚集区等。重点管控单元要着力优化空间布局，不断提升资源利用效率，不断提升资源利用效率，有针对性地加强污染物排放管控和环境风险防控，解决生态环境质量不达标、生态环境风险高等问题。</w:t>
            </w:r>
          </w:p>
          <w:p w14:paraId="4B86B9FC">
            <w:pPr>
              <w:pStyle w:val="24"/>
              <w:keepNext w:val="0"/>
              <w:keepLines w:val="0"/>
              <w:pageBreakBefore w:val="0"/>
              <w:widowControl w:val="0"/>
              <w:kinsoku/>
              <w:wordWrap/>
              <w:overflowPunct/>
              <w:topLinePunct w:val="0"/>
              <w:autoSpaceDE/>
              <w:autoSpaceDN/>
              <w:bidi w:val="0"/>
              <w:snapToGrid w:val="0"/>
              <w:spacing w:line="320" w:lineRule="exact"/>
              <w:ind w:left="0" w:leftChars="0" w:firstLine="0" w:firstLineChars="0"/>
              <w:jc w:val="left"/>
              <w:textAlignment w:val="auto"/>
              <w:rPr>
                <w:rFonts w:hint="default" w:ascii="Times New Roman" w:hAnsi="Times New Roman" w:cs="Times New Roman" w:eastAsiaTheme="minorEastAsia"/>
                <w:color w:val="000000" w:themeColor="text1"/>
                <w:kern w:val="2"/>
                <w:sz w:val="21"/>
                <w:szCs w:val="21"/>
                <w:highlight w:val="none"/>
                <w:u w:val="singl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一般管控单元139个，主要包括优先保护单元和重点管控单元之外的区域。一般管控单元主要落实生态环境保护基本要求，推动区域环境质量持续改善</w:t>
            </w:r>
            <w:r>
              <w:rPr>
                <w:rFonts w:hint="eastAsia"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w:t>
            </w:r>
          </w:p>
        </w:tc>
        <w:tc>
          <w:tcPr>
            <w:tcW w:w="2328" w:type="pct"/>
            <w:tcBorders>
              <w:tl2br w:val="nil"/>
              <w:tr2bl w:val="nil"/>
            </w:tcBorders>
            <w:vAlign w:val="center"/>
          </w:tcPr>
          <w:p w14:paraId="43331E6E">
            <w:pPr>
              <w:keepNext w:val="0"/>
              <w:keepLines w:val="0"/>
              <w:pageBreakBefore w:val="0"/>
              <w:kinsoku/>
              <w:wordWrap w:val="0"/>
              <w:overflowPunct/>
              <w:topLinePunct/>
              <w:autoSpaceDE/>
              <w:autoSpaceDN/>
              <w:bidi w:val="0"/>
              <w:adjustRightInd/>
              <w:snapToGrid/>
              <w:spacing w:line="240" w:lineRule="auto"/>
              <w:ind w:left="0" w:leftChars="0" w:right="0" w:rightChars="0"/>
              <w:jc w:val="both"/>
              <w:textAlignment w:val="auto"/>
              <w:rPr>
                <w:rFonts w:hint="default" w:ascii="Times New Roman" w:hAnsi="Times New Roman" w:cs="Times New Roman" w:eastAsiaTheme="minorEastAsia"/>
                <w:color w:val="FF0000"/>
                <w:kern w:val="2"/>
                <w:sz w:val="21"/>
                <w:szCs w:val="21"/>
                <w:highlight w:val="none"/>
                <w:u w:val="single"/>
                <w:lang w:val="en-US" w:eastAsia="zh-CN" w:bidi="ar-SA"/>
              </w:rPr>
            </w:pPr>
            <w:r>
              <w:rPr>
                <w:rFonts w:hint="eastAsia" w:cs="Times New Roman" w:eastAsiaTheme="minorEastAsia"/>
                <w:b w:val="0"/>
                <w:bCs w:val="0"/>
                <w:color w:val="000000" w:themeColor="text1"/>
                <w:kern w:val="2"/>
                <w:sz w:val="21"/>
                <w:szCs w:val="21"/>
                <w:highlight w:val="none"/>
                <w:u w:val="none"/>
                <w:lang w:val="en-US" w:eastAsia="zh-CN" w:bidi="ar-SA"/>
                <w14:textFill>
                  <w14:solidFill>
                    <w14:schemeClr w14:val="tx1"/>
                  </w14:solidFill>
                </w14:textFill>
              </w:rPr>
              <w:t>本项目符合自治区生态环境准入清单总体要求，详见表3.3-10。</w:t>
            </w:r>
            <w:r>
              <w:rPr>
                <w:rFonts w:hint="default" w:cs="Times New Roman" w:eastAsiaTheme="minorEastAsia"/>
                <w:b w:val="0"/>
                <w:bCs w:val="0"/>
                <w:color w:val="000000" w:themeColor="text1"/>
                <w:kern w:val="2"/>
                <w:sz w:val="21"/>
                <w:szCs w:val="21"/>
                <w:highlight w:val="none"/>
                <w:u w:val="none"/>
                <w:lang w:val="en-US" w:eastAsia="zh-CN" w:bidi="ar-SA"/>
                <w14:textFill>
                  <w14:solidFill>
                    <w14:schemeClr w14:val="tx1"/>
                  </w14:solidFill>
                </w14:textFill>
              </w:rPr>
              <w:t>对照</w:t>
            </w:r>
            <w:r>
              <w:rPr>
                <w:rFonts w:hint="default" w:ascii="Times New Roman" w:hAnsi="Times New Roman" w:cs="Times New Roman" w:eastAsiaTheme="minorEastAsia"/>
                <w:b w:val="0"/>
                <w:bCs w:val="0"/>
                <w:color w:val="000000" w:themeColor="text1"/>
                <w:kern w:val="2"/>
                <w:sz w:val="21"/>
                <w:szCs w:val="21"/>
                <w:highlight w:val="none"/>
                <w:u w:val="none"/>
                <w:lang w:val="en-US" w:eastAsia="zh-CN" w:bidi="ar-SA"/>
                <w14:textFill>
                  <w14:solidFill>
                    <w14:schemeClr w14:val="tx1"/>
                  </w14:solidFill>
                </w14:textFill>
              </w:rPr>
              <w:t>《乌鲁木齐市生态环境分区管控动态更新成果(2023)》，本项目涉及的管控单元主要有ZH6501</w:t>
            </w:r>
            <w:r>
              <w:rPr>
                <w:rFonts w:hint="eastAsia" w:cs="Times New Roman" w:eastAsiaTheme="minorEastAsia"/>
                <w:b w:val="0"/>
                <w:bCs w:val="0"/>
                <w:color w:val="000000" w:themeColor="text1"/>
                <w:kern w:val="2"/>
                <w:sz w:val="21"/>
                <w:szCs w:val="21"/>
                <w:highlight w:val="none"/>
                <w:u w:val="none"/>
                <w:lang w:val="en-US" w:eastAsia="zh-CN" w:bidi="ar-SA"/>
                <w14:textFill>
                  <w14:solidFill>
                    <w14:schemeClr w14:val="tx1"/>
                  </w14:solidFill>
                </w14:textFill>
              </w:rPr>
              <w:t>0310001</w:t>
            </w:r>
            <w:r>
              <w:rPr>
                <w:rFonts w:hint="default" w:ascii="Times New Roman" w:hAnsi="Times New Roman" w:cs="Times New Roman" w:eastAsiaTheme="minorEastAsia"/>
                <w:b w:val="0"/>
                <w:bCs w:val="0"/>
                <w:color w:val="000000" w:themeColor="text1"/>
                <w:kern w:val="2"/>
                <w:sz w:val="21"/>
                <w:szCs w:val="21"/>
                <w:highlight w:val="none"/>
                <w:u w:val="none"/>
                <w:lang w:val="en-US" w:eastAsia="zh-CN" w:bidi="ar-SA"/>
                <w14:textFill>
                  <w14:solidFill>
                    <w14:schemeClr w14:val="tx1"/>
                  </w14:solidFill>
                </w14:textFill>
              </w:rPr>
              <w:t>(</w:t>
            </w:r>
            <w:r>
              <w:rPr>
                <w:rFonts w:hint="eastAsia" w:cs="Times New Roman" w:eastAsiaTheme="minorEastAsia"/>
                <w:b w:val="0"/>
                <w:bCs w:val="0"/>
                <w:color w:val="000000" w:themeColor="text1"/>
                <w:kern w:val="2"/>
                <w:sz w:val="21"/>
                <w:szCs w:val="21"/>
                <w:highlight w:val="none"/>
                <w:u w:val="none"/>
                <w:lang w:val="en-US" w:eastAsia="zh-CN" w:bidi="ar-SA"/>
                <w14:textFill>
                  <w14:solidFill>
                    <w14:schemeClr w14:val="tx1"/>
                  </w14:solidFill>
                </w14:textFill>
              </w:rPr>
              <w:t>沙依巴克区水源地优先保护单元</w:t>
            </w:r>
            <w:r>
              <w:rPr>
                <w:rFonts w:hint="default" w:ascii="Times New Roman" w:hAnsi="Times New Roman" w:cs="Times New Roman" w:eastAsiaTheme="minorEastAsia"/>
                <w:b w:val="0"/>
                <w:bCs w:val="0"/>
                <w:color w:val="000000" w:themeColor="text1"/>
                <w:kern w:val="2"/>
                <w:sz w:val="21"/>
                <w:szCs w:val="21"/>
                <w:highlight w:val="none"/>
                <w:u w:val="none"/>
                <w:lang w:val="en-US" w:eastAsia="zh-CN" w:bidi="ar-SA"/>
                <w14:textFill>
                  <w14:solidFill>
                    <w14:schemeClr w14:val="tx1"/>
                  </w14:solidFill>
                </w14:textFill>
              </w:rPr>
              <w:t>)、ZH</w:t>
            </w:r>
            <w:r>
              <w:rPr>
                <w:rFonts w:hint="eastAsia" w:cs="Times New Roman" w:eastAsiaTheme="minorEastAsia"/>
                <w:b w:val="0"/>
                <w:bCs w:val="0"/>
                <w:color w:val="000000" w:themeColor="text1"/>
                <w:kern w:val="2"/>
                <w:sz w:val="21"/>
                <w:szCs w:val="21"/>
                <w:highlight w:val="none"/>
                <w:u w:val="none"/>
                <w:lang w:val="en-US" w:eastAsia="zh-CN" w:bidi="ar-SA"/>
                <w14:textFill>
                  <w14:solidFill>
                    <w14:schemeClr w14:val="tx1"/>
                  </w14:solidFill>
                </w14:textFill>
              </w:rPr>
              <w:t>65010320001</w:t>
            </w:r>
            <w:r>
              <w:rPr>
                <w:rFonts w:hint="default" w:ascii="Times New Roman" w:hAnsi="Times New Roman" w:cs="Times New Roman" w:eastAsiaTheme="minorEastAsia"/>
                <w:b w:val="0"/>
                <w:bCs w:val="0"/>
                <w:color w:val="000000" w:themeColor="text1"/>
                <w:kern w:val="2"/>
                <w:sz w:val="21"/>
                <w:szCs w:val="21"/>
                <w:highlight w:val="none"/>
                <w:u w:val="none"/>
                <w:lang w:val="en-US" w:eastAsia="zh-CN" w:bidi="ar-SA"/>
                <w14:textFill>
                  <w14:solidFill>
                    <w14:schemeClr w14:val="tx1"/>
                  </w14:solidFill>
                </w14:textFill>
              </w:rPr>
              <w:t>(</w:t>
            </w:r>
            <w:r>
              <w:rPr>
                <w:rFonts w:hint="eastAsia" w:cs="Times New Roman" w:eastAsiaTheme="minorEastAsia"/>
                <w:b w:val="0"/>
                <w:bCs w:val="0"/>
                <w:color w:val="000000" w:themeColor="text1"/>
                <w:kern w:val="2"/>
                <w:sz w:val="21"/>
                <w:szCs w:val="21"/>
                <w:highlight w:val="none"/>
                <w:u w:val="none"/>
                <w:lang w:val="en-US" w:eastAsia="zh-CN" w:bidi="ar-SA"/>
                <w14:textFill>
                  <w14:solidFill>
                    <w14:schemeClr w14:val="tx1"/>
                  </w14:solidFill>
                </w14:textFill>
              </w:rPr>
              <w:t>沙依巴克区城镇重点管控单元</w:t>
            </w:r>
            <w:r>
              <w:rPr>
                <w:rFonts w:hint="default" w:ascii="Times New Roman" w:hAnsi="Times New Roman" w:cs="Times New Roman" w:eastAsiaTheme="minorEastAsia"/>
                <w:b w:val="0"/>
                <w:bCs w:val="0"/>
                <w:color w:val="000000" w:themeColor="text1"/>
                <w:kern w:val="2"/>
                <w:sz w:val="21"/>
                <w:szCs w:val="21"/>
                <w:highlight w:val="none"/>
                <w:u w:val="none"/>
                <w:lang w:val="en-US" w:eastAsia="zh-CN" w:bidi="ar-SA"/>
                <w14:textFill>
                  <w14:solidFill>
                    <w14:schemeClr w14:val="tx1"/>
                  </w14:solidFill>
                </w14:textFill>
              </w:rPr>
              <w:t>)。本项目符合以上管控单元管控要求，详见</w:t>
            </w:r>
            <w:r>
              <w:rPr>
                <w:rFonts w:hint="eastAsia" w:cs="Times New Roman" w:eastAsiaTheme="minorEastAsia"/>
                <w:b w:val="0"/>
                <w:bCs w:val="0"/>
                <w:color w:val="000000" w:themeColor="text1"/>
                <w:kern w:val="2"/>
                <w:sz w:val="21"/>
                <w:szCs w:val="21"/>
                <w:highlight w:val="none"/>
                <w:u w:val="none"/>
                <w:lang w:val="en-US" w:eastAsia="zh-CN" w:bidi="ar-SA"/>
                <w14:textFill>
                  <w14:solidFill>
                    <w14:schemeClr w14:val="tx1"/>
                  </w14:solidFill>
                </w14:textFill>
              </w:rPr>
              <w:t>表</w:t>
            </w:r>
            <w:r>
              <w:rPr>
                <w:rFonts w:hint="default" w:ascii="Times New Roman" w:hAnsi="Times New Roman" w:cs="Times New Roman" w:eastAsiaTheme="minorEastAsia"/>
                <w:b w:val="0"/>
                <w:bCs w:val="0"/>
                <w:color w:val="000000" w:themeColor="text1"/>
                <w:kern w:val="2"/>
                <w:sz w:val="21"/>
                <w:szCs w:val="21"/>
                <w:highlight w:val="none"/>
                <w:u w:val="none"/>
                <w:lang w:val="en-US" w:eastAsia="zh-CN" w:bidi="ar-SA"/>
                <w14:textFill>
                  <w14:solidFill>
                    <w14:schemeClr w14:val="tx1"/>
                  </w14:solidFill>
                </w14:textFill>
              </w:rPr>
              <w:t>3.</w:t>
            </w:r>
            <w:r>
              <w:rPr>
                <w:rFonts w:hint="eastAsia" w:cs="Times New Roman" w:eastAsiaTheme="minorEastAsia"/>
                <w:b w:val="0"/>
                <w:bCs w:val="0"/>
                <w:color w:val="000000" w:themeColor="text1"/>
                <w:kern w:val="2"/>
                <w:sz w:val="21"/>
                <w:szCs w:val="21"/>
                <w:highlight w:val="none"/>
                <w:u w:val="none"/>
                <w:lang w:val="en-US" w:eastAsia="zh-CN" w:bidi="ar-SA"/>
                <w14:textFill>
                  <w14:solidFill>
                    <w14:schemeClr w14:val="tx1"/>
                  </w14:solidFill>
                </w14:textFill>
              </w:rPr>
              <w:t>3</w:t>
            </w:r>
            <w:r>
              <w:rPr>
                <w:rFonts w:hint="default" w:ascii="Times New Roman" w:hAnsi="Times New Roman" w:cs="Times New Roman" w:eastAsiaTheme="minorEastAsia"/>
                <w:b w:val="0"/>
                <w:bCs w:val="0"/>
                <w:color w:val="000000" w:themeColor="text1"/>
                <w:kern w:val="2"/>
                <w:sz w:val="21"/>
                <w:szCs w:val="21"/>
                <w:highlight w:val="none"/>
                <w:u w:val="none"/>
                <w:lang w:val="en-US" w:eastAsia="zh-CN" w:bidi="ar-SA"/>
                <w14:textFill>
                  <w14:solidFill>
                    <w14:schemeClr w14:val="tx1"/>
                  </w14:solidFill>
                </w14:textFill>
              </w:rPr>
              <w:t>-</w:t>
            </w:r>
            <w:r>
              <w:rPr>
                <w:rFonts w:hint="eastAsia" w:cs="Times New Roman" w:eastAsiaTheme="minorEastAsia"/>
                <w:b w:val="0"/>
                <w:bCs w:val="0"/>
                <w:color w:val="000000" w:themeColor="text1"/>
                <w:kern w:val="2"/>
                <w:sz w:val="21"/>
                <w:szCs w:val="21"/>
                <w:highlight w:val="none"/>
                <w:u w:val="none"/>
                <w:lang w:val="en-US" w:eastAsia="zh-CN" w:bidi="ar-SA"/>
                <w14:textFill>
                  <w14:solidFill>
                    <w14:schemeClr w14:val="tx1"/>
                  </w14:solidFill>
                </w14:textFill>
              </w:rPr>
              <w:t>12</w:t>
            </w:r>
            <w:r>
              <w:rPr>
                <w:rFonts w:hint="default" w:ascii="Times New Roman" w:hAnsi="Times New Roman" w:cs="Times New Roman" w:eastAsiaTheme="minorEastAsia"/>
                <w:b w:val="0"/>
                <w:bCs w:val="0"/>
                <w:color w:val="000000" w:themeColor="text1"/>
                <w:kern w:val="2"/>
                <w:sz w:val="21"/>
                <w:szCs w:val="21"/>
                <w:highlight w:val="none"/>
                <w:u w:val="none"/>
                <w:lang w:val="en-US" w:eastAsia="zh-CN" w:bidi="ar-SA"/>
                <w14:textFill>
                  <w14:solidFill>
                    <w14:schemeClr w14:val="tx1"/>
                  </w14:solidFill>
                </w14:textFill>
              </w:rPr>
              <w:t>。</w:t>
            </w:r>
          </w:p>
        </w:tc>
        <w:tc>
          <w:tcPr>
            <w:tcW w:w="365" w:type="pct"/>
            <w:tcBorders>
              <w:tl2br w:val="nil"/>
              <w:tr2bl w:val="nil"/>
            </w:tcBorders>
            <w:vAlign w:val="center"/>
          </w:tcPr>
          <w:p w14:paraId="2C20B862">
            <w:pPr>
              <w:keepNext w:val="0"/>
              <w:keepLines w:val="0"/>
              <w:pageBreakBefore w:val="0"/>
              <w:kinsoku/>
              <w:wordWrap w:val="0"/>
              <w:overflowPunct/>
              <w:topLinePunct/>
              <w:autoSpaceDE/>
              <w:autoSpaceDN/>
              <w:bidi w:val="0"/>
              <w:adjustRightInd/>
              <w:snapToGrid/>
              <w:spacing w:line="240" w:lineRule="auto"/>
              <w:ind w:left="0" w:leftChars="0" w:right="0" w:rightChars="0"/>
              <w:jc w:val="center"/>
              <w:textAlignment w:val="auto"/>
              <w:rPr>
                <w:rFonts w:hint="default" w:ascii="Times New Roman" w:hAnsi="Times New Roman" w:cs="Times New Roman" w:eastAsiaTheme="minorEastAsia"/>
                <w:color w:val="000000" w:themeColor="text1"/>
                <w:kern w:val="2"/>
                <w:sz w:val="21"/>
                <w:szCs w:val="21"/>
                <w:highlight w:val="none"/>
                <w:u w:val="singl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符合</w:t>
            </w:r>
          </w:p>
        </w:tc>
      </w:tr>
    </w:tbl>
    <w:p w14:paraId="170E4800">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ind w:leftChars="0"/>
        <w:textAlignment w:val="auto"/>
        <w:rPr>
          <w:rFonts w:hint="default" w:ascii="Times New Roman" w:hAnsi="Times New Roman" w:cs="Times New Roman" w:eastAsiaTheme="minorEastAsia"/>
          <w:b/>
          <w:bCs/>
          <w:color w:val="FF0000"/>
          <w:kern w:val="2"/>
          <w:sz w:val="24"/>
          <w:highlight w:val="none"/>
          <w:lang w:val="en-US" w:eastAsia="zh-CN" w:bidi="ar-SA"/>
        </w:rPr>
        <w:sectPr>
          <w:pgSz w:w="16838" w:h="11906" w:orient="landscape"/>
          <w:pgMar w:top="1587" w:right="1418" w:bottom="1361" w:left="1418" w:header="1304" w:footer="992" w:gutter="0"/>
          <w:pgBorders>
            <w:top w:val="none" w:sz="0" w:space="0"/>
            <w:left w:val="none" w:sz="0" w:space="0"/>
            <w:bottom w:val="none" w:sz="0" w:space="0"/>
            <w:right w:val="none" w:sz="0" w:space="0"/>
          </w:pgBorders>
          <w:pgNumType w:fmt="decimal"/>
          <w:cols w:space="720" w:num="1"/>
          <w:docGrid w:type="linesAndChars" w:linePitch="312" w:charSpace="0"/>
        </w:sectPr>
      </w:pPr>
    </w:p>
    <w:p w14:paraId="38A4304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eastAsiaTheme="minorEastAsia"/>
          <w:b/>
          <w:bCs/>
          <w:snapToGrid w:val="0"/>
          <w:color w:val="000000" w:themeColor="text1"/>
          <w:sz w:val="24"/>
          <w:highlight w:val="none"/>
          <w:lang w:val="en-US" w:eastAsia="zh-CN"/>
          <w14:textFill>
            <w14:solidFill>
              <w14:schemeClr w14:val="tx1"/>
            </w14:solidFill>
          </w14:textFill>
        </w:rPr>
      </w:pPr>
      <w:r>
        <w:rPr>
          <w:rFonts w:hint="eastAsia" w:cs="Times New Roman" w:eastAsiaTheme="minorEastAsia"/>
          <w:b/>
          <w:bCs/>
          <w:snapToGrid w:val="0"/>
          <w:color w:val="000000" w:themeColor="text1"/>
          <w:sz w:val="24"/>
          <w:highlight w:val="none"/>
          <w:lang w:val="en-US" w:eastAsia="zh-CN"/>
          <w14:textFill>
            <w14:solidFill>
              <w14:schemeClr w14:val="tx1"/>
            </w14:solidFill>
          </w14:textFill>
        </w:rPr>
        <w:t>表3.3-10   与《新疆维吾尔自治区生态环境分区管控动态更新成果》符合性分析表</w:t>
      </w:r>
    </w:p>
    <w:tbl>
      <w:tblPr>
        <w:tblStyle w:val="75"/>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12"/>
        <w:gridCol w:w="1097"/>
        <w:gridCol w:w="5021"/>
        <w:gridCol w:w="1186"/>
        <w:gridCol w:w="951"/>
      </w:tblGrid>
      <w:tr w14:paraId="167436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95" w:type="pct"/>
            <w:gridSpan w:val="2"/>
            <w:tcBorders>
              <w:tl2br w:val="nil"/>
              <w:tr2bl w:val="nil"/>
            </w:tcBorders>
            <w:noWrap w:val="0"/>
            <w:vAlign w:val="center"/>
          </w:tcPr>
          <w:p w14:paraId="13B4CC38">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jc w:val="center"/>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管控维度</w:t>
            </w:r>
          </w:p>
        </w:tc>
        <w:tc>
          <w:tcPr>
            <w:tcW w:w="2738" w:type="pct"/>
            <w:tcBorders>
              <w:tl2br w:val="nil"/>
              <w:tr2bl w:val="nil"/>
            </w:tcBorders>
            <w:noWrap w:val="0"/>
            <w:vAlign w:val="center"/>
          </w:tcPr>
          <w:p w14:paraId="46B3CBA2">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jc w:val="center"/>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管控要求</w:t>
            </w:r>
          </w:p>
        </w:tc>
        <w:tc>
          <w:tcPr>
            <w:tcW w:w="646" w:type="pct"/>
            <w:tcBorders>
              <w:tl2br w:val="nil"/>
              <w:tr2bl w:val="nil"/>
            </w:tcBorders>
            <w:noWrap w:val="0"/>
            <w:vAlign w:val="center"/>
          </w:tcPr>
          <w:p w14:paraId="0AA4A19F">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jc w:val="center"/>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本期工程情况</w:t>
            </w:r>
          </w:p>
        </w:tc>
        <w:tc>
          <w:tcPr>
            <w:tcW w:w="518" w:type="pct"/>
            <w:tcBorders>
              <w:tl2br w:val="nil"/>
              <w:tr2bl w:val="nil"/>
            </w:tcBorders>
            <w:noWrap w:val="0"/>
            <w:vAlign w:val="center"/>
          </w:tcPr>
          <w:p w14:paraId="1CC586A5">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jc w:val="center"/>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符合性</w:t>
            </w:r>
          </w:p>
        </w:tc>
      </w:tr>
      <w:tr w14:paraId="5378EB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7" w:type="pct"/>
            <w:vMerge w:val="restart"/>
            <w:tcBorders>
              <w:tl2br w:val="nil"/>
              <w:tr2bl w:val="nil"/>
            </w:tcBorders>
            <w:noWrap w:val="0"/>
            <w:vAlign w:val="center"/>
          </w:tcPr>
          <w:p w14:paraId="3BB04C22">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A1空间布局约束</w:t>
            </w:r>
          </w:p>
        </w:tc>
        <w:tc>
          <w:tcPr>
            <w:tcW w:w="598" w:type="pct"/>
            <w:vMerge w:val="restart"/>
            <w:tcBorders>
              <w:tl2br w:val="nil"/>
              <w:tr2bl w:val="nil"/>
            </w:tcBorders>
            <w:noWrap w:val="0"/>
            <w:vAlign w:val="center"/>
          </w:tcPr>
          <w:p w14:paraId="7012F043">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A1.1禁止开发建设的活动</w:t>
            </w:r>
          </w:p>
        </w:tc>
        <w:tc>
          <w:tcPr>
            <w:tcW w:w="2738" w:type="pct"/>
            <w:tcBorders>
              <w:tl2br w:val="nil"/>
              <w:tr2bl w:val="nil"/>
            </w:tcBorders>
            <w:noWrap w:val="0"/>
            <w:vAlign w:val="center"/>
          </w:tcPr>
          <w:p w14:paraId="1D17AAB9">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〔A1.1-1〕禁止新建、扩建《产业结构调整指导目录（2024年本）》中淘汰类项目。禁止引入《市场准入负面清单（2022年版）》禁止准入类事项。</w:t>
            </w:r>
          </w:p>
        </w:tc>
        <w:tc>
          <w:tcPr>
            <w:tcW w:w="646" w:type="pct"/>
            <w:tcBorders>
              <w:tl2br w:val="nil"/>
              <w:tr2bl w:val="nil"/>
            </w:tcBorders>
            <w:noWrap w:val="0"/>
            <w:vAlign w:val="center"/>
          </w:tcPr>
          <w:p w14:paraId="4750F323">
            <w:pPr>
              <w:keepNext w:val="0"/>
              <w:keepLines w:val="0"/>
              <w:pageBreakBefore w:val="0"/>
              <w:kinsoku/>
              <w:wordWrap/>
              <w:overflowPunct/>
              <w:topLinePunct w:val="0"/>
              <w:bidi w:val="0"/>
              <w:adjustRightInd/>
              <w:snapToGrid w:val="0"/>
              <w:spacing w:line="320" w:lineRule="exact"/>
              <w:ind w:left="0" w:leftChars="0" w:firstLine="0" w:firstLineChars="0"/>
              <w:jc w:val="left"/>
              <w:textAlignment w:val="auto"/>
              <w:rPr>
                <w:rFonts w:hint="eastAsia" w:ascii="宋体" w:hAnsi="宋体" w:eastAsia="宋体"/>
                <w:color w:val="000000" w:themeColor="text1"/>
                <w:sz w:val="21"/>
                <w14:textFill>
                  <w14:solidFill>
                    <w14:schemeClr w14:val="tx1"/>
                  </w14:solidFill>
                </w14:textFill>
              </w:rPr>
            </w:pPr>
            <w:r>
              <w:rPr>
                <w:rFonts w:hint="eastAsia" w:ascii="宋体" w:hAnsi="宋体" w:eastAsia="宋体"/>
                <w:color w:val="000000" w:themeColor="text1"/>
                <w:sz w:val="21"/>
                <w14:textFill>
                  <w14:solidFill>
                    <w14:schemeClr w14:val="tx1"/>
                  </w14:solidFill>
                </w14:textFill>
              </w:rPr>
              <w:t>本项目属清洁能源开发，不属于淘汰类和限制类项目，属于允许类，</w:t>
            </w:r>
          </w:p>
          <w:p w14:paraId="2522BAA5">
            <w:pPr>
              <w:keepNext w:val="0"/>
              <w:keepLines w:val="0"/>
              <w:pageBreakBefore w:val="0"/>
              <w:kinsoku/>
              <w:wordWrap/>
              <w:overflowPunct/>
              <w:topLinePunct w:val="0"/>
              <w:bidi w:val="0"/>
              <w:adjustRightInd/>
              <w:snapToGrid w:val="0"/>
              <w:spacing w:line="320" w:lineRule="exact"/>
              <w:ind w:left="0" w:leftChars="0" w:firstLine="0" w:firstLineChars="0"/>
              <w:jc w:val="left"/>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olor w:val="000000" w:themeColor="text1"/>
                <w:sz w:val="21"/>
                <w14:textFill>
                  <w14:solidFill>
                    <w14:schemeClr w14:val="tx1"/>
                  </w14:solidFill>
                </w14:textFill>
              </w:rPr>
              <w:t>符合国家现行产业政策要求。</w:t>
            </w:r>
          </w:p>
        </w:tc>
        <w:tc>
          <w:tcPr>
            <w:tcW w:w="518" w:type="pct"/>
            <w:tcBorders>
              <w:tl2br w:val="nil"/>
              <w:tr2bl w:val="nil"/>
            </w:tcBorders>
            <w:noWrap w:val="0"/>
            <w:vAlign w:val="center"/>
          </w:tcPr>
          <w:p w14:paraId="1EAADE72">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2005F4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7" w:type="pct"/>
            <w:vMerge w:val="continue"/>
            <w:tcBorders>
              <w:tl2br w:val="nil"/>
              <w:tr2bl w:val="nil"/>
            </w:tcBorders>
            <w:noWrap w:val="0"/>
            <w:vAlign w:val="center"/>
          </w:tcPr>
          <w:p w14:paraId="4688E786">
            <w:pPr>
              <w:keepNext w:val="0"/>
              <w:keepLines w:val="0"/>
              <w:pageBreakBefore w:val="0"/>
              <w:widowControl/>
              <w:kinsoku/>
              <w:wordWrap/>
              <w:overflowPunct/>
              <w:topLinePunct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p>
        </w:tc>
        <w:tc>
          <w:tcPr>
            <w:tcW w:w="598" w:type="pct"/>
            <w:vMerge w:val="continue"/>
            <w:tcBorders>
              <w:tl2br w:val="nil"/>
              <w:tr2bl w:val="nil"/>
            </w:tcBorders>
            <w:noWrap w:val="0"/>
            <w:vAlign w:val="center"/>
          </w:tcPr>
          <w:p w14:paraId="4F7401B6">
            <w:pPr>
              <w:keepNext w:val="0"/>
              <w:keepLines w:val="0"/>
              <w:pageBreakBefore w:val="0"/>
              <w:widowControl/>
              <w:kinsoku/>
              <w:wordWrap/>
              <w:overflowPunct/>
              <w:topLinePunct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p>
        </w:tc>
        <w:tc>
          <w:tcPr>
            <w:tcW w:w="2738" w:type="pct"/>
            <w:tcBorders>
              <w:tl2br w:val="nil"/>
              <w:tr2bl w:val="nil"/>
            </w:tcBorders>
            <w:noWrap w:val="0"/>
            <w:vAlign w:val="center"/>
          </w:tcPr>
          <w:p w14:paraId="1E8EDBDF">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〔A1.1-2〕禁止建设不符合国家和自治区环境保护标准的项目。</w:t>
            </w:r>
          </w:p>
        </w:tc>
        <w:tc>
          <w:tcPr>
            <w:tcW w:w="646" w:type="pct"/>
            <w:tcBorders>
              <w:tl2br w:val="nil"/>
              <w:tr2bl w:val="nil"/>
            </w:tcBorders>
            <w:noWrap w:val="0"/>
            <w:vAlign w:val="center"/>
          </w:tcPr>
          <w:p w14:paraId="36EB63BB">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不涉及</w:t>
            </w:r>
          </w:p>
        </w:tc>
        <w:tc>
          <w:tcPr>
            <w:tcW w:w="518" w:type="pct"/>
            <w:tcBorders>
              <w:tl2br w:val="nil"/>
              <w:tr2bl w:val="nil"/>
            </w:tcBorders>
            <w:noWrap w:val="0"/>
            <w:vAlign w:val="center"/>
          </w:tcPr>
          <w:p w14:paraId="00A5E8D1">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070E2C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7" w:type="pct"/>
            <w:vMerge w:val="continue"/>
            <w:tcBorders>
              <w:tl2br w:val="nil"/>
              <w:tr2bl w:val="nil"/>
            </w:tcBorders>
            <w:noWrap w:val="0"/>
            <w:vAlign w:val="center"/>
          </w:tcPr>
          <w:p w14:paraId="5D1B446F">
            <w:pPr>
              <w:keepNext w:val="0"/>
              <w:keepLines w:val="0"/>
              <w:pageBreakBefore w:val="0"/>
              <w:widowControl/>
              <w:kinsoku/>
              <w:wordWrap/>
              <w:overflowPunct/>
              <w:topLinePunct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p>
        </w:tc>
        <w:tc>
          <w:tcPr>
            <w:tcW w:w="598" w:type="pct"/>
            <w:vMerge w:val="continue"/>
            <w:tcBorders>
              <w:tl2br w:val="nil"/>
              <w:tr2bl w:val="nil"/>
            </w:tcBorders>
            <w:noWrap w:val="0"/>
            <w:vAlign w:val="center"/>
          </w:tcPr>
          <w:p w14:paraId="21C594F7">
            <w:pPr>
              <w:keepNext w:val="0"/>
              <w:keepLines w:val="0"/>
              <w:pageBreakBefore w:val="0"/>
              <w:widowControl/>
              <w:kinsoku/>
              <w:wordWrap/>
              <w:overflowPunct/>
              <w:topLinePunct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p>
        </w:tc>
        <w:tc>
          <w:tcPr>
            <w:tcW w:w="2738" w:type="pct"/>
            <w:tcBorders>
              <w:tl2br w:val="nil"/>
              <w:tr2bl w:val="nil"/>
            </w:tcBorders>
            <w:noWrap w:val="0"/>
            <w:vAlign w:val="center"/>
          </w:tcPr>
          <w:p w14:paraId="2FE9DC29">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〔A1.1-3〕禁止在饮用水水源保护区、风景名胜区、自然保护区的核心区和缓冲区、城镇居民区、文化教育科学研究区等人口集中区域以及法律、法规规定的其他禁止养殖区域建设畜禽养殖场、养殖小区。</w:t>
            </w:r>
          </w:p>
        </w:tc>
        <w:tc>
          <w:tcPr>
            <w:tcW w:w="646" w:type="pct"/>
            <w:tcBorders>
              <w:tl2br w:val="nil"/>
              <w:tr2bl w:val="nil"/>
            </w:tcBorders>
            <w:noWrap w:val="0"/>
            <w:vAlign w:val="center"/>
          </w:tcPr>
          <w:p w14:paraId="6661CFFE">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不涉及</w:t>
            </w:r>
          </w:p>
        </w:tc>
        <w:tc>
          <w:tcPr>
            <w:tcW w:w="518" w:type="pct"/>
            <w:tcBorders>
              <w:tl2br w:val="nil"/>
              <w:tr2bl w:val="nil"/>
            </w:tcBorders>
            <w:noWrap w:val="0"/>
            <w:vAlign w:val="center"/>
          </w:tcPr>
          <w:p w14:paraId="6FAAE700">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2A2C0C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7" w:type="pct"/>
            <w:vMerge w:val="continue"/>
            <w:tcBorders>
              <w:tl2br w:val="nil"/>
              <w:tr2bl w:val="nil"/>
            </w:tcBorders>
            <w:noWrap w:val="0"/>
            <w:vAlign w:val="center"/>
          </w:tcPr>
          <w:p w14:paraId="33920969">
            <w:pPr>
              <w:keepNext w:val="0"/>
              <w:keepLines w:val="0"/>
              <w:pageBreakBefore w:val="0"/>
              <w:widowControl/>
              <w:kinsoku/>
              <w:wordWrap/>
              <w:overflowPunct/>
              <w:topLinePunct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p>
        </w:tc>
        <w:tc>
          <w:tcPr>
            <w:tcW w:w="598" w:type="pct"/>
            <w:vMerge w:val="continue"/>
            <w:tcBorders>
              <w:tl2br w:val="nil"/>
              <w:tr2bl w:val="nil"/>
            </w:tcBorders>
            <w:noWrap w:val="0"/>
            <w:vAlign w:val="center"/>
          </w:tcPr>
          <w:p w14:paraId="598A9784">
            <w:pPr>
              <w:keepNext w:val="0"/>
              <w:keepLines w:val="0"/>
              <w:pageBreakBefore w:val="0"/>
              <w:widowControl/>
              <w:kinsoku/>
              <w:wordWrap/>
              <w:overflowPunct/>
              <w:topLinePunct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p>
        </w:tc>
        <w:tc>
          <w:tcPr>
            <w:tcW w:w="2738" w:type="pct"/>
            <w:tcBorders>
              <w:tl2br w:val="nil"/>
              <w:tr2bl w:val="nil"/>
            </w:tcBorders>
            <w:noWrap w:val="0"/>
            <w:vAlign w:val="center"/>
          </w:tcPr>
          <w:p w14:paraId="6FC24FD1">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〔A1.1-4〕禁止在水源涵养区、地下水源、饮用水源、自然保护区、风景名胜区、森林公园、重要湿地及人群密集区等生态敏感区域内进行煤炭、石油、天然气开发。</w:t>
            </w:r>
          </w:p>
        </w:tc>
        <w:tc>
          <w:tcPr>
            <w:tcW w:w="646" w:type="pct"/>
            <w:tcBorders>
              <w:tl2br w:val="nil"/>
              <w:tr2bl w:val="nil"/>
            </w:tcBorders>
            <w:noWrap w:val="0"/>
            <w:vAlign w:val="center"/>
          </w:tcPr>
          <w:p w14:paraId="317BEE40">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不涉及</w:t>
            </w:r>
          </w:p>
        </w:tc>
        <w:tc>
          <w:tcPr>
            <w:tcW w:w="518" w:type="pct"/>
            <w:tcBorders>
              <w:tl2br w:val="nil"/>
              <w:tr2bl w:val="nil"/>
            </w:tcBorders>
            <w:noWrap w:val="0"/>
            <w:vAlign w:val="center"/>
          </w:tcPr>
          <w:p w14:paraId="77B95036">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46AAA5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7" w:type="pct"/>
            <w:vMerge w:val="continue"/>
            <w:tcBorders>
              <w:tl2br w:val="nil"/>
              <w:tr2bl w:val="nil"/>
            </w:tcBorders>
            <w:noWrap w:val="0"/>
            <w:vAlign w:val="center"/>
          </w:tcPr>
          <w:p w14:paraId="2D7A2C70">
            <w:pPr>
              <w:keepNext w:val="0"/>
              <w:keepLines w:val="0"/>
              <w:pageBreakBefore w:val="0"/>
              <w:widowControl/>
              <w:kinsoku/>
              <w:wordWrap/>
              <w:overflowPunct/>
              <w:topLinePunct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p>
        </w:tc>
        <w:tc>
          <w:tcPr>
            <w:tcW w:w="598" w:type="pct"/>
            <w:vMerge w:val="continue"/>
            <w:tcBorders>
              <w:tl2br w:val="nil"/>
              <w:tr2bl w:val="nil"/>
            </w:tcBorders>
            <w:noWrap w:val="0"/>
            <w:vAlign w:val="center"/>
          </w:tcPr>
          <w:p w14:paraId="68EA25EA">
            <w:pPr>
              <w:keepNext w:val="0"/>
              <w:keepLines w:val="0"/>
              <w:pageBreakBefore w:val="0"/>
              <w:widowControl/>
              <w:kinsoku/>
              <w:wordWrap/>
              <w:overflowPunct/>
              <w:topLinePunct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p>
        </w:tc>
        <w:tc>
          <w:tcPr>
            <w:tcW w:w="2738" w:type="pct"/>
            <w:tcBorders>
              <w:tl2br w:val="nil"/>
              <w:tr2bl w:val="nil"/>
            </w:tcBorders>
            <w:noWrap w:val="0"/>
            <w:vAlign w:val="center"/>
          </w:tcPr>
          <w:p w14:paraId="458DC052">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〔A1.1-5〕禁止下列破坏湿地及其生态功能的行为：</w:t>
            </w:r>
          </w:p>
          <w:p w14:paraId="4595B576">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（一）开（围）垦、排干自然湿地，永久性截断自然湿地水源；</w:t>
            </w:r>
          </w:p>
          <w:p w14:paraId="460EF8A0">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（二）擅自填埋自然湿地，擅自采砂、采矿、取土；</w:t>
            </w:r>
          </w:p>
          <w:p w14:paraId="1302D1F1">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（三）排放不符合水污染物排放标准的工业废水、生活污水及其他污染湿地的废水、污水，倾倒、堆放、丢弃、遗撒固体废物；</w:t>
            </w:r>
          </w:p>
          <w:p w14:paraId="48DBB3E9">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（四）过度放牧或者滥采野生植物，过度捕捞或者灭绝式捕捞，过度施肥、投药、投放饵料等污染湿地的种植养殖行为；</w:t>
            </w:r>
          </w:p>
          <w:p w14:paraId="17F96AD2">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（五）其他破坏湿地及其生态功能的行为。</w:t>
            </w:r>
          </w:p>
        </w:tc>
        <w:tc>
          <w:tcPr>
            <w:tcW w:w="646" w:type="pct"/>
            <w:tcBorders>
              <w:tl2br w:val="nil"/>
              <w:tr2bl w:val="nil"/>
            </w:tcBorders>
            <w:noWrap w:val="0"/>
            <w:vAlign w:val="center"/>
          </w:tcPr>
          <w:p w14:paraId="3C57BF32">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不涉及</w:t>
            </w:r>
          </w:p>
        </w:tc>
        <w:tc>
          <w:tcPr>
            <w:tcW w:w="518" w:type="pct"/>
            <w:tcBorders>
              <w:tl2br w:val="nil"/>
              <w:tr2bl w:val="nil"/>
            </w:tcBorders>
            <w:noWrap w:val="0"/>
            <w:vAlign w:val="center"/>
          </w:tcPr>
          <w:p w14:paraId="512C5C45">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25D420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7" w:type="pct"/>
            <w:vMerge w:val="continue"/>
            <w:tcBorders>
              <w:tl2br w:val="nil"/>
              <w:tr2bl w:val="nil"/>
            </w:tcBorders>
            <w:noWrap w:val="0"/>
            <w:vAlign w:val="center"/>
          </w:tcPr>
          <w:p w14:paraId="432EF8B2">
            <w:pPr>
              <w:keepNext w:val="0"/>
              <w:keepLines w:val="0"/>
              <w:pageBreakBefore w:val="0"/>
              <w:widowControl/>
              <w:kinsoku/>
              <w:wordWrap/>
              <w:overflowPunct/>
              <w:topLinePunct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p>
        </w:tc>
        <w:tc>
          <w:tcPr>
            <w:tcW w:w="598" w:type="pct"/>
            <w:vMerge w:val="continue"/>
            <w:tcBorders>
              <w:tl2br w:val="nil"/>
              <w:tr2bl w:val="nil"/>
            </w:tcBorders>
            <w:noWrap w:val="0"/>
            <w:vAlign w:val="center"/>
          </w:tcPr>
          <w:p w14:paraId="12C419A5">
            <w:pPr>
              <w:keepNext w:val="0"/>
              <w:keepLines w:val="0"/>
              <w:pageBreakBefore w:val="0"/>
              <w:widowControl/>
              <w:kinsoku/>
              <w:wordWrap/>
              <w:overflowPunct/>
              <w:topLinePunct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p>
        </w:tc>
        <w:tc>
          <w:tcPr>
            <w:tcW w:w="2738" w:type="pct"/>
            <w:tcBorders>
              <w:tl2br w:val="nil"/>
              <w:tr2bl w:val="nil"/>
            </w:tcBorders>
            <w:noWrap w:val="0"/>
            <w:vAlign w:val="center"/>
          </w:tcPr>
          <w:p w14:paraId="64311A6F">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A1.1-6〕禁止在自治区行政区域内引进能（水）耗不符合相关国家标准中准入值要求且污染物排放和环境风险防控不符合国家（地方）标准及有关产业准入条件的高污染（排放）、高能（水）耗、高环境风险的工业项目。</w:t>
            </w:r>
          </w:p>
        </w:tc>
        <w:tc>
          <w:tcPr>
            <w:tcW w:w="646" w:type="pct"/>
            <w:tcBorders>
              <w:tl2br w:val="nil"/>
              <w:tr2bl w:val="nil"/>
            </w:tcBorders>
            <w:noWrap w:val="0"/>
            <w:vAlign w:val="center"/>
          </w:tcPr>
          <w:p w14:paraId="4BD750FE">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不涉及</w:t>
            </w:r>
          </w:p>
        </w:tc>
        <w:tc>
          <w:tcPr>
            <w:tcW w:w="518" w:type="pct"/>
            <w:tcBorders>
              <w:tl2br w:val="nil"/>
              <w:tr2bl w:val="nil"/>
            </w:tcBorders>
            <w:noWrap w:val="0"/>
            <w:vAlign w:val="center"/>
          </w:tcPr>
          <w:p w14:paraId="2F11AB87">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15FCAA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7" w:type="pct"/>
            <w:vMerge w:val="continue"/>
            <w:tcBorders>
              <w:tl2br w:val="nil"/>
              <w:tr2bl w:val="nil"/>
            </w:tcBorders>
            <w:noWrap w:val="0"/>
            <w:vAlign w:val="center"/>
          </w:tcPr>
          <w:p w14:paraId="49CB79DA">
            <w:pPr>
              <w:keepNext w:val="0"/>
              <w:keepLines w:val="0"/>
              <w:pageBreakBefore w:val="0"/>
              <w:widowControl/>
              <w:kinsoku/>
              <w:wordWrap/>
              <w:overflowPunct/>
              <w:topLinePunct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p>
        </w:tc>
        <w:tc>
          <w:tcPr>
            <w:tcW w:w="598" w:type="pct"/>
            <w:vMerge w:val="continue"/>
            <w:tcBorders>
              <w:tl2br w:val="nil"/>
              <w:tr2bl w:val="nil"/>
            </w:tcBorders>
            <w:noWrap w:val="0"/>
            <w:vAlign w:val="center"/>
          </w:tcPr>
          <w:p w14:paraId="085E77A0">
            <w:pPr>
              <w:keepNext w:val="0"/>
              <w:keepLines w:val="0"/>
              <w:pageBreakBefore w:val="0"/>
              <w:widowControl/>
              <w:kinsoku/>
              <w:wordWrap/>
              <w:overflowPunct/>
              <w:topLinePunct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p>
        </w:tc>
        <w:tc>
          <w:tcPr>
            <w:tcW w:w="2738" w:type="pct"/>
            <w:tcBorders>
              <w:tl2br w:val="nil"/>
              <w:tr2bl w:val="nil"/>
            </w:tcBorders>
            <w:noWrap w:val="0"/>
            <w:vAlign w:val="center"/>
          </w:tcPr>
          <w:p w14:paraId="0EAA7AAF">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〔A1.1-7〕①坚决遏制高耗能高排放低水平项目盲目发展。严把高耗能高排放低水平项目准入关口，严格落实污染物排放区域削减要求，对不符合规定的项目坚决停批停建。依法依规淘汰落后产能和化解过剩产能。</w:t>
            </w:r>
          </w:p>
          <w:p w14:paraId="553FF84F">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②重点行业企业纳入重污染天气绩效分级，制定“一厂一策”应急减排清单，实现应纳尽纳；引导重点企业在秋冬季安排停产检修计划，减少冬季和采暖期排放。推进重点行业深度治理，实施全工况脱硫脱硝提标改造，加大无组织排放治理力度，深度开展工业炉窑综合整治，全面提升电解铝、活性炭、硅冶炼、纯碱、电石、聚氯乙烯、石化等行业污染治理水平。</w:t>
            </w:r>
          </w:p>
        </w:tc>
        <w:tc>
          <w:tcPr>
            <w:tcW w:w="646" w:type="pct"/>
            <w:tcBorders>
              <w:tl2br w:val="nil"/>
              <w:tr2bl w:val="nil"/>
            </w:tcBorders>
            <w:noWrap w:val="0"/>
            <w:vAlign w:val="center"/>
          </w:tcPr>
          <w:p w14:paraId="7E732A28">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不涉及</w:t>
            </w:r>
          </w:p>
        </w:tc>
        <w:tc>
          <w:tcPr>
            <w:tcW w:w="518" w:type="pct"/>
            <w:tcBorders>
              <w:tl2br w:val="nil"/>
              <w:tr2bl w:val="nil"/>
            </w:tcBorders>
            <w:noWrap w:val="0"/>
            <w:vAlign w:val="center"/>
          </w:tcPr>
          <w:p w14:paraId="13203E20">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6064CC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7" w:type="pct"/>
            <w:vMerge w:val="continue"/>
            <w:tcBorders>
              <w:tl2br w:val="nil"/>
              <w:tr2bl w:val="nil"/>
            </w:tcBorders>
            <w:noWrap w:val="0"/>
            <w:vAlign w:val="center"/>
          </w:tcPr>
          <w:p w14:paraId="250BE662">
            <w:pPr>
              <w:keepNext w:val="0"/>
              <w:keepLines w:val="0"/>
              <w:pageBreakBefore w:val="0"/>
              <w:widowControl/>
              <w:kinsoku/>
              <w:wordWrap/>
              <w:overflowPunct/>
              <w:topLinePunct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sz w:val="21"/>
                <w:szCs w:val="21"/>
              </w:rPr>
            </w:pPr>
          </w:p>
        </w:tc>
        <w:tc>
          <w:tcPr>
            <w:tcW w:w="598" w:type="pct"/>
            <w:vMerge w:val="continue"/>
            <w:tcBorders>
              <w:tl2br w:val="nil"/>
              <w:tr2bl w:val="nil"/>
            </w:tcBorders>
            <w:noWrap w:val="0"/>
            <w:vAlign w:val="center"/>
          </w:tcPr>
          <w:p w14:paraId="5022ACD9">
            <w:pPr>
              <w:keepNext w:val="0"/>
              <w:keepLines w:val="0"/>
              <w:pageBreakBefore w:val="0"/>
              <w:widowControl/>
              <w:kinsoku/>
              <w:wordWrap/>
              <w:overflowPunct/>
              <w:topLinePunct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sz w:val="21"/>
                <w:szCs w:val="21"/>
              </w:rPr>
            </w:pPr>
          </w:p>
        </w:tc>
        <w:tc>
          <w:tcPr>
            <w:tcW w:w="2738" w:type="pct"/>
            <w:tcBorders>
              <w:tl2br w:val="nil"/>
              <w:tr2bl w:val="nil"/>
            </w:tcBorders>
            <w:noWrap w:val="0"/>
            <w:vAlign w:val="center"/>
          </w:tcPr>
          <w:p w14:paraId="4C040585">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〔A1.1-8〕严格执行危险化学品“禁限控”目录，新建危险化学品生产项目必须进入一般或较低安全风险的化工园区（与其他行业生产装置配套建设的项目除外）；引导其他石化化工项目在化工园区发展。</w:t>
            </w:r>
          </w:p>
        </w:tc>
        <w:tc>
          <w:tcPr>
            <w:tcW w:w="646" w:type="pct"/>
            <w:tcBorders>
              <w:tl2br w:val="nil"/>
              <w:tr2bl w:val="nil"/>
            </w:tcBorders>
            <w:noWrap w:val="0"/>
            <w:vAlign w:val="center"/>
          </w:tcPr>
          <w:p w14:paraId="190C6484">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不涉及</w:t>
            </w:r>
          </w:p>
        </w:tc>
        <w:tc>
          <w:tcPr>
            <w:tcW w:w="518" w:type="pct"/>
            <w:tcBorders>
              <w:tl2br w:val="nil"/>
              <w:tr2bl w:val="nil"/>
            </w:tcBorders>
            <w:noWrap w:val="0"/>
            <w:vAlign w:val="center"/>
          </w:tcPr>
          <w:p w14:paraId="638FE387">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3E4F7D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7" w:type="pct"/>
            <w:vMerge w:val="continue"/>
            <w:tcBorders>
              <w:tl2br w:val="nil"/>
              <w:tr2bl w:val="nil"/>
            </w:tcBorders>
            <w:noWrap w:val="0"/>
            <w:vAlign w:val="center"/>
          </w:tcPr>
          <w:p w14:paraId="0CD1FDAC">
            <w:pPr>
              <w:keepNext w:val="0"/>
              <w:keepLines w:val="0"/>
              <w:pageBreakBefore w:val="0"/>
              <w:widowControl/>
              <w:kinsoku/>
              <w:wordWrap/>
              <w:overflowPunct/>
              <w:topLinePunct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sz w:val="21"/>
                <w:szCs w:val="21"/>
              </w:rPr>
            </w:pPr>
          </w:p>
        </w:tc>
        <w:tc>
          <w:tcPr>
            <w:tcW w:w="598" w:type="pct"/>
            <w:vMerge w:val="continue"/>
            <w:tcBorders>
              <w:tl2br w:val="nil"/>
              <w:tr2bl w:val="nil"/>
            </w:tcBorders>
            <w:noWrap w:val="0"/>
            <w:vAlign w:val="center"/>
          </w:tcPr>
          <w:p w14:paraId="329260CB">
            <w:pPr>
              <w:keepNext w:val="0"/>
              <w:keepLines w:val="0"/>
              <w:pageBreakBefore w:val="0"/>
              <w:widowControl/>
              <w:kinsoku/>
              <w:wordWrap/>
              <w:overflowPunct/>
              <w:topLinePunct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sz w:val="21"/>
                <w:szCs w:val="21"/>
              </w:rPr>
            </w:pPr>
          </w:p>
        </w:tc>
        <w:tc>
          <w:tcPr>
            <w:tcW w:w="2738" w:type="pct"/>
            <w:tcBorders>
              <w:tl2br w:val="nil"/>
              <w:tr2bl w:val="nil"/>
            </w:tcBorders>
            <w:noWrap w:val="0"/>
            <w:vAlign w:val="center"/>
          </w:tcPr>
          <w:p w14:paraId="7D365369">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A1.1-9〕严禁新建自治区《禁止、控制和限制危险化学品目录》中淘汰类、禁止类危险化学品化工项目。严格执行生态保护红线、永久基本农田管控要求，禁止新（改、扩）建化工项目违规占用生态保护红线和永久基本农田。在塔里木河、伊犁河、额尔齐斯河干流及主要支流岸线1公里范围内，除提升安全、环保、节能、智能化、产品质量水平的技术改造项目外，严格禁止新建、扩建化工项目，不得布局新的化工园区（含化工集中区）。</w:t>
            </w:r>
          </w:p>
        </w:tc>
        <w:tc>
          <w:tcPr>
            <w:tcW w:w="646" w:type="pct"/>
            <w:tcBorders>
              <w:tl2br w:val="nil"/>
              <w:tr2bl w:val="nil"/>
            </w:tcBorders>
            <w:noWrap w:val="0"/>
            <w:vAlign w:val="center"/>
          </w:tcPr>
          <w:p w14:paraId="5039734C">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不涉及</w:t>
            </w:r>
          </w:p>
        </w:tc>
        <w:tc>
          <w:tcPr>
            <w:tcW w:w="518" w:type="pct"/>
            <w:tcBorders>
              <w:tl2br w:val="nil"/>
              <w:tr2bl w:val="nil"/>
            </w:tcBorders>
            <w:noWrap w:val="0"/>
            <w:vAlign w:val="center"/>
          </w:tcPr>
          <w:p w14:paraId="24EEED5B">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51C39F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7" w:type="pct"/>
            <w:vMerge w:val="continue"/>
            <w:tcBorders>
              <w:tl2br w:val="nil"/>
              <w:tr2bl w:val="nil"/>
            </w:tcBorders>
            <w:noWrap w:val="0"/>
            <w:vAlign w:val="center"/>
          </w:tcPr>
          <w:p w14:paraId="6418EE0C">
            <w:pPr>
              <w:keepNext w:val="0"/>
              <w:keepLines w:val="0"/>
              <w:pageBreakBefore w:val="0"/>
              <w:widowControl/>
              <w:kinsoku/>
              <w:wordWrap/>
              <w:overflowPunct/>
              <w:topLinePunct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sz w:val="21"/>
                <w:szCs w:val="21"/>
              </w:rPr>
            </w:pPr>
          </w:p>
        </w:tc>
        <w:tc>
          <w:tcPr>
            <w:tcW w:w="598" w:type="pct"/>
            <w:vMerge w:val="continue"/>
            <w:tcBorders>
              <w:tl2br w:val="nil"/>
              <w:tr2bl w:val="nil"/>
            </w:tcBorders>
            <w:noWrap w:val="0"/>
            <w:vAlign w:val="center"/>
          </w:tcPr>
          <w:p w14:paraId="27C56A5E">
            <w:pPr>
              <w:keepNext w:val="0"/>
              <w:keepLines w:val="0"/>
              <w:pageBreakBefore w:val="0"/>
              <w:widowControl/>
              <w:kinsoku/>
              <w:wordWrap/>
              <w:overflowPunct/>
              <w:topLinePunct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sz w:val="21"/>
                <w:szCs w:val="21"/>
              </w:rPr>
            </w:pPr>
          </w:p>
        </w:tc>
        <w:tc>
          <w:tcPr>
            <w:tcW w:w="2738" w:type="pct"/>
            <w:tcBorders>
              <w:tl2br w:val="nil"/>
              <w:tr2bl w:val="nil"/>
            </w:tcBorders>
            <w:noWrap w:val="0"/>
            <w:vAlign w:val="center"/>
          </w:tcPr>
          <w:p w14:paraId="6A93624D">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A1.1-10〕推动涉重金属产业集中优化发展，禁止新建用汞的电石法（聚）氯乙烯生产工艺，新建、扩建的重有色金属冶炼、电镀、制革企业优先选择布设在依法合规设立并依法开展规划环境影响评价的产业园区。</w:t>
            </w:r>
          </w:p>
        </w:tc>
        <w:tc>
          <w:tcPr>
            <w:tcW w:w="646" w:type="pct"/>
            <w:tcBorders>
              <w:tl2br w:val="nil"/>
              <w:tr2bl w:val="nil"/>
            </w:tcBorders>
            <w:noWrap w:val="0"/>
            <w:vAlign w:val="center"/>
          </w:tcPr>
          <w:p w14:paraId="3D8F505E">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不涉及</w:t>
            </w:r>
          </w:p>
        </w:tc>
        <w:tc>
          <w:tcPr>
            <w:tcW w:w="518" w:type="pct"/>
            <w:tcBorders>
              <w:tl2br w:val="nil"/>
              <w:tr2bl w:val="nil"/>
            </w:tcBorders>
            <w:noWrap w:val="0"/>
            <w:vAlign w:val="center"/>
          </w:tcPr>
          <w:p w14:paraId="53EAD901">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0361CE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7" w:type="pct"/>
            <w:vMerge w:val="continue"/>
            <w:tcBorders>
              <w:tl2br w:val="nil"/>
              <w:tr2bl w:val="nil"/>
            </w:tcBorders>
            <w:noWrap w:val="0"/>
            <w:vAlign w:val="center"/>
          </w:tcPr>
          <w:p w14:paraId="075B4A36">
            <w:pPr>
              <w:keepNext w:val="0"/>
              <w:keepLines w:val="0"/>
              <w:pageBreakBefore w:val="0"/>
              <w:widowControl/>
              <w:kinsoku/>
              <w:wordWrap/>
              <w:overflowPunct/>
              <w:topLinePunct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sz w:val="21"/>
                <w:szCs w:val="21"/>
              </w:rPr>
            </w:pPr>
          </w:p>
        </w:tc>
        <w:tc>
          <w:tcPr>
            <w:tcW w:w="598" w:type="pct"/>
            <w:vMerge w:val="continue"/>
            <w:tcBorders>
              <w:tl2br w:val="nil"/>
              <w:tr2bl w:val="nil"/>
            </w:tcBorders>
            <w:noWrap w:val="0"/>
            <w:vAlign w:val="center"/>
          </w:tcPr>
          <w:p w14:paraId="36F3905F">
            <w:pPr>
              <w:keepNext w:val="0"/>
              <w:keepLines w:val="0"/>
              <w:pageBreakBefore w:val="0"/>
              <w:widowControl/>
              <w:kinsoku/>
              <w:wordWrap/>
              <w:overflowPunct/>
              <w:topLinePunct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sz w:val="21"/>
                <w:szCs w:val="21"/>
              </w:rPr>
            </w:pPr>
          </w:p>
        </w:tc>
        <w:tc>
          <w:tcPr>
            <w:tcW w:w="2738" w:type="pct"/>
            <w:tcBorders>
              <w:tl2br w:val="nil"/>
              <w:tr2bl w:val="nil"/>
            </w:tcBorders>
            <w:noWrap w:val="0"/>
            <w:vAlign w:val="center"/>
          </w:tcPr>
          <w:p w14:paraId="52286D08">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A1.1-11〕国务院有关部门和青藏高原县级以上地方人民政府应当建立健全青藏高原雪山冰川冻土保护制度，加强对雪山冰川冻土的监测预警和系统保护。青藏高原省级人民政府应当将大型冰帽冰川、小规模冰川群等划入生态保护红线，对重要雪山冰川实施封禁保护，采取有效措施，严格控制人为扰动。青藏高原省级人民政府应当划定冻土区保护范围，加强对多年冻土区和中深季节冻土区的保护，严格控制多年冻土区资源开发，严格审批多年冻土区城镇规划和交通、管线、输变电等重大工程项目。青藏高原省级人民政府应当开展雪山冰川冻土与周边生态系统的协同保护，维持有利于雪山冰川冻土保护的自然生态环境。</w:t>
            </w:r>
          </w:p>
        </w:tc>
        <w:tc>
          <w:tcPr>
            <w:tcW w:w="646" w:type="pct"/>
            <w:tcBorders>
              <w:tl2br w:val="nil"/>
              <w:tr2bl w:val="nil"/>
            </w:tcBorders>
            <w:noWrap w:val="0"/>
            <w:vAlign w:val="center"/>
          </w:tcPr>
          <w:p w14:paraId="7F15943B">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不涉及</w:t>
            </w:r>
          </w:p>
        </w:tc>
        <w:tc>
          <w:tcPr>
            <w:tcW w:w="518" w:type="pct"/>
            <w:tcBorders>
              <w:tl2br w:val="nil"/>
              <w:tr2bl w:val="nil"/>
            </w:tcBorders>
            <w:noWrap w:val="0"/>
            <w:vAlign w:val="center"/>
          </w:tcPr>
          <w:p w14:paraId="270F3162">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68F438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7" w:type="pct"/>
            <w:vMerge w:val="continue"/>
            <w:tcBorders>
              <w:tl2br w:val="nil"/>
              <w:tr2bl w:val="nil"/>
            </w:tcBorders>
            <w:noWrap w:val="0"/>
            <w:vAlign w:val="center"/>
          </w:tcPr>
          <w:p w14:paraId="6D955E5B">
            <w:pPr>
              <w:keepNext w:val="0"/>
              <w:keepLines w:val="0"/>
              <w:pageBreakBefore w:val="0"/>
              <w:widowControl/>
              <w:kinsoku/>
              <w:wordWrap/>
              <w:overflowPunct/>
              <w:topLinePunct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sz w:val="21"/>
                <w:szCs w:val="21"/>
              </w:rPr>
            </w:pPr>
          </w:p>
        </w:tc>
        <w:tc>
          <w:tcPr>
            <w:tcW w:w="598" w:type="pct"/>
            <w:vMerge w:val="restart"/>
            <w:tcBorders>
              <w:tl2br w:val="nil"/>
              <w:tr2bl w:val="nil"/>
            </w:tcBorders>
            <w:noWrap w:val="0"/>
            <w:vAlign w:val="center"/>
          </w:tcPr>
          <w:p w14:paraId="4C474A3F">
            <w:pPr>
              <w:keepNext w:val="0"/>
              <w:keepLines w:val="0"/>
              <w:pageBreakBefore w:val="0"/>
              <w:widowControl/>
              <w:kinsoku/>
              <w:wordWrap/>
              <w:overflowPunct/>
              <w:topLinePunct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A1.2限制开发建设的活动</w:t>
            </w:r>
          </w:p>
        </w:tc>
        <w:tc>
          <w:tcPr>
            <w:tcW w:w="2738" w:type="pct"/>
            <w:tcBorders>
              <w:tl2br w:val="nil"/>
              <w:tr2bl w:val="nil"/>
            </w:tcBorders>
            <w:noWrap w:val="0"/>
            <w:vAlign w:val="center"/>
          </w:tcPr>
          <w:p w14:paraId="7CAB09E9">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〔A1.2-1〕严格控制缺水地区、水污染严重区域和敏感区域高耗水、高污染行业发展。</w:t>
            </w:r>
          </w:p>
        </w:tc>
        <w:tc>
          <w:tcPr>
            <w:tcW w:w="646" w:type="pct"/>
            <w:tcBorders>
              <w:tl2br w:val="nil"/>
              <w:tr2bl w:val="nil"/>
            </w:tcBorders>
            <w:noWrap w:val="0"/>
            <w:vAlign w:val="center"/>
          </w:tcPr>
          <w:p w14:paraId="13ED0F12">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不涉及</w:t>
            </w:r>
          </w:p>
        </w:tc>
        <w:tc>
          <w:tcPr>
            <w:tcW w:w="518" w:type="pct"/>
            <w:tcBorders>
              <w:tl2br w:val="nil"/>
              <w:tr2bl w:val="nil"/>
            </w:tcBorders>
            <w:noWrap w:val="0"/>
            <w:vAlign w:val="center"/>
          </w:tcPr>
          <w:p w14:paraId="7489372A">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符合</w:t>
            </w:r>
          </w:p>
        </w:tc>
      </w:tr>
      <w:tr w14:paraId="388402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7" w:type="pct"/>
            <w:vMerge w:val="continue"/>
            <w:tcBorders>
              <w:tl2br w:val="nil"/>
              <w:tr2bl w:val="nil"/>
            </w:tcBorders>
            <w:noWrap w:val="0"/>
            <w:vAlign w:val="center"/>
          </w:tcPr>
          <w:p w14:paraId="32FF6743">
            <w:pPr>
              <w:keepNext w:val="0"/>
              <w:keepLines w:val="0"/>
              <w:pageBreakBefore w:val="0"/>
              <w:widowControl/>
              <w:kinsoku/>
              <w:wordWrap/>
              <w:overflowPunct/>
              <w:topLinePunct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sz w:val="21"/>
                <w:szCs w:val="21"/>
              </w:rPr>
            </w:pPr>
          </w:p>
        </w:tc>
        <w:tc>
          <w:tcPr>
            <w:tcW w:w="598" w:type="pct"/>
            <w:vMerge w:val="continue"/>
            <w:tcBorders>
              <w:tl2br w:val="nil"/>
              <w:tr2bl w:val="nil"/>
            </w:tcBorders>
            <w:noWrap w:val="0"/>
            <w:vAlign w:val="center"/>
          </w:tcPr>
          <w:p w14:paraId="6FC52B6C">
            <w:pPr>
              <w:keepNext w:val="0"/>
              <w:keepLines w:val="0"/>
              <w:pageBreakBefore w:val="0"/>
              <w:widowControl/>
              <w:kinsoku/>
              <w:wordWrap/>
              <w:overflowPunct/>
              <w:topLinePunct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sz w:val="21"/>
                <w:szCs w:val="21"/>
              </w:rPr>
            </w:pPr>
          </w:p>
        </w:tc>
        <w:tc>
          <w:tcPr>
            <w:tcW w:w="2738" w:type="pct"/>
            <w:tcBorders>
              <w:tl2br w:val="nil"/>
              <w:tr2bl w:val="nil"/>
            </w:tcBorders>
            <w:noWrap w:val="0"/>
            <w:vAlign w:val="center"/>
          </w:tcPr>
          <w:p w14:paraId="362576E2">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A1.2-2〕建设项目用地原则上不得占用永久基本农田，确需占用永久基本农田的建设项目须符合《中华人民共和国基本农田保护条例》中相关要求，占用耕地、林地或草地的建设项目须按照国家、自治区相关补偿要求进行补偿。</w:t>
            </w:r>
          </w:p>
        </w:tc>
        <w:tc>
          <w:tcPr>
            <w:tcW w:w="646" w:type="pct"/>
            <w:vMerge w:val="restart"/>
            <w:tcBorders>
              <w:tl2br w:val="nil"/>
              <w:tr2bl w:val="nil"/>
            </w:tcBorders>
            <w:noWrap w:val="0"/>
            <w:vAlign w:val="center"/>
          </w:tcPr>
          <w:p w14:paraId="72E67E49">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不涉及</w:t>
            </w:r>
          </w:p>
        </w:tc>
        <w:tc>
          <w:tcPr>
            <w:tcW w:w="518" w:type="pct"/>
            <w:tcBorders>
              <w:tl2br w:val="nil"/>
              <w:tr2bl w:val="nil"/>
            </w:tcBorders>
            <w:noWrap w:val="0"/>
            <w:vAlign w:val="center"/>
          </w:tcPr>
          <w:p w14:paraId="4A574C2E">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符合</w:t>
            </w:r>
          </w:p>
        </w:tc>
      </w:tr>
      <w:tr w14:paraId="26D6A6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7" w:type="pct"/>
            <w:vMerge w:val="continue"/>
            <w:tcBorders>
              <w:tl2br w:val="nil"/>
              <w:tr2bl w:val="nil"/>
            </w:tcBorders>
            <w:noWrap w:val="0"/>
            <w:vAlign w:val="center"/>
          </w:tcPr>
          <w:p w14:paraId="03AEFFBA">
            <w:pPr>
              <w:keepNext w:val="0"/>
              <w:keepLines w:val="0"/>
              <w:pageBreakBefore w:val="0"/>
              <w:widowControl/>
              <w:kinsoku/>
              <w:wordWrap/>
              <w:overflowPunct/>
              <w:topLinePunct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sz w:val="21"/>
                <w:szCs w:val="21"/>
              </w:rPr>
            </w:pPr>
          </w:p>
        </w:tc>
        <w:tc>
          <w:tcPr>
            <w:tcW w:w="598" w:type="pct"/>
            <w:vMerge w:val="continue"/>
            <w:tcBorders>
              <w:tl2br w:val="nil"/>
              <w:tr2bl w:val="nil"/>
            </w:tcBorders>
            <w:noWrap w:val="0"/>
            <w:vAlign w:val="center"/>
          </w:tcPr>
          <w:p w14:paraId="6687BD24">
            <w:pPr>
              <w:keepNext w:val="0"/>
              <w:keepLines w:val="0"/>
              <w:pageBreakBefore w:val="0"/>
              <w:widowControl/>
              <w:kinsoku/>
              <w:wordWrap/>
              <w:overflowPunct/>
              <w:topLinePunct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sz w:val="21"/>
                <w:szCs w:val="21"/>
              </w:rPr>
            </w:pPr>
          </w:p>
        </w:tc>
        <w:tc>
          <w:tcPr>
            <w:tcW w:w="2738" w:type="pct"/>
            <w:tcBorders>
              <w:tl2br w:val="nil"/>
              <w:tr2bl w:val="nil"/>
            </w:tcBorders>
            <w:noWrap w:val="0"/>
            <w:vAlign w:val="center"/>
          </w:tcPr>
          <w:p w14:paraId="11FA5D7F">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〔A1.2-3〕以用途变更为住宅、公共管理与公共服务用地的地块为重点，严格建设用地准入管理和风险管控，未依法完成土壤污染状况调查或风险评估的地块，不得开工建设与风险管控和修复无关的项目。</w:t>
            </w:r>
          </w:p>
        </w:tc>
        <w:tc>
          <w:tcPr>
            <w:tcW w:w="646" w:type="pct"/>
            <w:vMerge w:val="continue"/>
            <w:tcBorders>
              <w:tl2br w:val="nil"/>
              <w:tr2bl w:val="nil"/>
            </w:tcBorders>
            <w:noWrap w:val="0"/>
            <w:vAlign w:val="center"/>
          </w:tcPr>
          <w:p w14:paraId="6AE34D8F">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p>
        </w:tc>
        <w:tc>
          <w:tcPr>
            <w:tcW w:w="518" w:type="pct"/>
            <w:tcBorders>
              <w:tl2br w:val="nil"/>
              <w:tr2bl w:val="nil"/>
            </w:tcBorders>
            <w:noWrap w:val="0"/>
            <w:vAlign w:val="center"/>
          </w:tcPr>
          <w:p w14:paraId="0211839A">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符合</w:t>
            </w:r>
          </w:p>
        </w:tc>
      </w:tr>
      <w:tr w14:paraId="30AC08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7" w:type="pct"/>
            <w:vMerge w:val="continue"/>
            <w:tcBorders>
              <w:tl2br w:val="nil"/>
              <w:tr2bl w:val="nil"/>
            </w:tcBorders>
            <w:noWrap w:val="0"/>
            <w:vAlign w:val="center"/>
          </w:tcPr>
          <w:p w14:paraId="1E086C4B">
            <w:pPr>
              <w:keepNext w:val="0"/>
              <w:keepLines w:val="0"/>
              <w:pageBreakBefore w:val="0"/>
              <w:widowControl/>
              <w:kinsoku/>
              <w:wordWrap/>
              <w:overflowPunct/>
              <w:topLinePunct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sz w:val="21"/>
                <w:szCs w:val="21"/>
              </w:rPr>
            </w:pPr>
          </w:p>
        </w:tc>
        <w:tc>
          <w:tcPr>
            <w:tcW w:w="598" w:type="pct"/>
            <w:vMerge w:val="continue"/>
            <w:tcBorders>
              <w:tl2br w:val="nil"/>
              <w:tr2bl w:val="nil"/>
            </w:tcBorders>
            <w:noWrap w:val="0"/>
            <w:vAlign w:val="center"/>
          </w:tcPr>
          <w:p w14:paraId="76E9D38C">
            <w:pPr>
              <w:keepNext w:val="0"/>
              <w:keepLines w:val="0"/>
              <w:pageBreakBefore w:val="0"/>
              <w:widowControl/>
              <w:kinsoku/>
              <w:wordWrap/>
              <w:overflowPunct/>
              <w:topLinePunct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sz w:val="21"/>
                <w:szCs w:val="21"/>
              </w:rPr>
            </w:pPr>
          </w:p>
        </w:tc>
        <w:tc>
          <w:tcPr>
            <w:tcW w:w="2738" w:type="pct"/>
            <w:tcBorders>
              <w:tl2br w:val="nil"/>
              <w:tr2bl w:val="nil"/>
            </w:tcBorders>
            <w:noWrap w:val="0"/>
            <w:vAlign w:val="center"/>
          </w:tcPr>
          <w:p w14:paraId="74F015B4">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〔A1.2-4〕严格控制建设项目占用湿地。因国家和自治区重点建设工程、基础设施建设，以及重点公益性项目建设，确需占用湿地的，应当按照有关法律、法规规定的权限和程序办理批准手续。</w:t>
            </w:r>
          </w:p>
        </w:tc>
        <w:tc>
          <w:tcPr>
            <w:tcW w:w="646" w:type="pct"/>
            <w:vMerge w:val="restart"/>
            <w:tcBorders>
              <w:tl2br w:val="nil"/>
              <w:tr2bl w:val="nil"/>
            </w:tcBorders>
            <w:noWrap w:val="0"/>
            <w:vAlign w:val="center"/>
          </w:tcPr>
          <w:p w14:paraId="5987AC91">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不涉及</w:t>
            </w:r>
          </w:p>
        </w:tc>
        <w:tc>
          <w:tcPr>
            <w:tcW w:w="518" w:type="pct"/>
            <w:tcBorders>
              <w:tl2br w:val="nil"/>
              <w:tr2bl w:val="nil"/>
            </w:tcBorders>
            <w:noWrap w:val="0"/>
            <w:vAlign w:val="center"/>
          </w:tcPr>
          <w:p w14:paraId="7FB4A8F5">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符合</w:t>
            </w:r>
          </w:p>
        </w:tc>
      </w:tr>
      <w:tr w14:paraId="3DBB9B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7" w:type="pct"/>
            <w:vMerge w:val="continue"/>
            <w:tcBorders>
              <w:tl2br w:val="nil"/>
              <w:tr2bl w:val="nil"/>
            </w:tcBorders>
            <w:noWrap w:val="0"/>
            <w:vAlign w:val="center"/>
          </w:tcPr>
          <w:p w14:paraId="7AB744B6">
            <w:pPr>
              <w:keepNext w:val="0"/>
              <w:keepLines w:val="0"/>
              <w:pageBreakBefore w:val="0"/>
              <w:widowControl/>
              <w:kinsoku/>
              <w:wordWrap/>
              <w:overflowPunct/>
              <w:topLinePunct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sz w:val="21"/>
                <w:szCs w:val="21"/>
              </w:rPr>
            </w:pPr>
          </w:p>
        </w:tc>
        <w:tc>
          <w:tcPr>
            <w:tcW w:w="598" w:type="pct"/>
            <w:vMerge w:val="continue"/>
            <w:tcBorders>
              <w:tl2br w:val="nil"/>
              <w:tr2bl w:val="nil"/>
            </w:tcBorders>
            <w:noWrap w:val="0"/>
            <w:vAlign w:val="center"/>
          </w:tcPr>
          <w:p w14:paraId="10398C2E">
            <w:pPr>
              <w:keepNext w:val="0"/>
              <w:keepLines w:val="0"/>
              <w:pageBreakBefore w:val="0"/>
              <w:widowControl/>
              <w:kinsoku/>
              <w:wordWrap/>
              <w:overflowPunct/>
              <w:topLinePunct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sz w:val="21"/>
                <w:szCs w:val="21"/>
              </w:rPr>
            </w:pPr>
          </w:p>
        </w:tc>
        <w:tc>
          <w:tcPr>
            <w:tcW w:w="2738" w:type="pct"/>
            <w:tcBorders>
              <w:tl2br w:val="nil"/>
              <w:tr2bl w:val="nil"/>
            </w:tcBorders>
            <w:noWrap w:val="0"/>
            <w:vAlign w:val="center"/>
          </w:tcPr>
          <w:p w14:paraId="361AF9D7">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〔A1.2-5〕严格管控自然保护地范围内非生态活动，稳妥推进核心区内居民、耕地有序退出，矿权依法依规退出。</w:t>
            </w:r>
          </w:p>
        </w:tc>
        <w:tc>
          <w:tcPr>
            <w:tcW w:w="646" w:type="pct"/>
            <w:vMerge w:val="continue"/>
            <w:tcBorders>
              <w:tl2br w:val="nil"/>
              <w:tr2bl w:val="nil"/>
            </w:tcBorders>
            <w:noWrap w:val="0"/>
            <w:vAlign w:val="center"/>
          </w:tcPr>
          <w:p w14:paraId="1439A407">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sz w:val="21"/>
                <w:szCs w:val="21"/>
              </w:rPr>
            </w:pPr>
          </w:p>
        </w:tc>
        <w:tc>
          <w:tcPr>
            <w:tcW w:w="518" w:type="pct"/>
            <w:tcBorders>
              <w:tl2br w:val="nil"/>
              <w:tr2bl w:val="nil"/>
            </w:tcBorders>
            <w:noWrap w:val="0"/>
            <w:vAlign w:val="center"/>
          </w:tcPr>
          <w:p w14:paraId="4C00ECAC">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符合</w:t>
            </w:r>
          </w:p>
        </w:tc>
      </w:tr>
      <w:tr w14:paraId="09BED5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7" w:type="pct"/>
            <w:vMerge w:val="continue"/>
            <w:tcBorders>
              <w:tl2br w:val="nil"/>
              <w:tr2bl w:val="nil"/>
            </w:tcBorders>
            <w:noWrap w:val="0"/>
            <w:vAlign w:val="center"/>
          </w:tcPr>
          <w:p w14:paraId="3A947E3C">
            <w:pPr>
              <w:keepNext w:val="0"/>
              <w:keepLines w:val="0"/>
              <w:pageBreakBefore w:val="0"/>
              <w:widowControl/>
              <w:kinsoku/>
              <w:wordWrap/>
              <w:overflowPunct/>
              <w:topLinePunct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p>
        </w:tc>
        <w:tc>
          <w:tcPr>
            <w:tcW w:w="598" w:type="pct"/>
            <w:vMerge w:val="restart"/>
            <w:tcBorders>
              <w:tl2br w:val="nil"/>
              <w:tr2bl w:val="nil"/>
            </w:tcBorders>
            <w:noWrap w:val="0"/>
            <w:vAlign w:val="center"/>
          </w:tcPr>
          <w:p w14:paraId="79C4DDC0">
            <w:pPr>
              <w:keepNext w:val="0"/>
              <w:keepLines w:val="0"/>
              <w:pageBreakBefore w:val="0"/>
              <w:widowControl/>
              <w:kinsoku/>
              <w:wordWrap/>
              <w:overflowPunct/>
              <w:topLinePunct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A1.3不符合空间布局要求活动的退出要求</w:t>
            </w:r>
          </w:p>
        </w:tc>
        <w:tc>
          <w:tcPr>
            <w:tcW w:w="2738" w:type="pct"/>
            <w:tcBorders>
              <w:tl2br w:val="nil"/>
              <w:tr2bl w:val="nil"/>
            </w:tcBorders>
            <w:noWrap w:val="0"/>
            <w:vAlign w:val="center"/>
          </w:tcPr>
          <w:p w14:paraId="3982A39E">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〔A1.3-1〕任何单位和个人不得在水源涵养区、饮用水水源保护区内和河流、湖泊、水库周围建设重化工、涉重金属等工业污染项目；对已建成的工业污染项目，当地人民政府应当组织限期搬迁。</w:t>
            </w:r>
          </w:p>
        </w:tc>
        <w:tc>
          <w:tcPr>
            <w:tcW w:w="646" w:type="pct"/>
            <w:tcBorders>
              <w:tl2br w:val="nil"/>
              <w:tr2bl w:val="nil"/>
            </w:tcBorders>
            <w:noWrap w:val="0"/>
            <w:vAlign w:val="center"/>
          </w:tcPr>
          <w:p w14:paraId="7F7ECD74">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不涉及</w:t>
            </w:r>
          </w:p>
        </w:tc>
        <w:tc>
          <w:tcPr>
            <w:tcW w:w="518" w:type="pct"/>
            <w:tcBorders>
              <w:tl2br w:val="nil"/>
              <w:tr2bl w:val="nil"/>
            </w:tcBorders>
            <w:noWrap w:val="0"/>
            <w:vAlign w:val="center"/>
          </w:tcPr>
          <w:p w14:paraId="162A2863">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3AE02C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7" w:type="pct"/>
            <w:vMerge w:val="continue"/>
            <w:tcBorders>
              <w:tl2br w:val="nil"/>
              <w:tr2bl w:val="nil"/>
            </w:tcBorders>
            <w:noWrap w:val="0"/>
            <w:vAlign w:val="center"/>
          </w:tcPr>
          <w:p w14:paraId="749BC4A9">
            <w:pPr>
              <w:keepNext w:val="0"/>
              <w:keepLines w:val="0"/>
              <w:pageBreakBefore w:val="0"/>
              <w:widowControl/>
              <w:kinsoku/>
              <w:wordWrap/>
              <w:overflowPunct/>
              <w:topLinePunct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p>
        </w:tc>
        <w:tc>
          <w:tcPr>
            <w:tcW w:w="598" w:type="pct"/>
            <w:vMerge w:val="continue"/>
            <w:tcBorders>
              <w:tl2br w:val="nil"/>
              <w:tr2bl w:val="nil"/>
            </w:tcBorders>
            <w:noWrap w:val="0"/>
            <w:vAlign w:val="center"/>
          </w:tcPr>
          <w:p w14:paraId="20099366">
            <w:pPr>
              <w:keepNext w:val="0"/>
              <w:keepLines w:val="0"/>
              <w:pageBreakBefore w:val="0"/>
              <w:widowControl/>
              <w:kinsoku/>
              <w:wordWrap/>
              <w:overflowPunct/>
              <w:topLinePunct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p>
        </w:tc>
        <w:tc>
          <w:tcPr>
            <w:tcW w:w="2738" w:type="pct"/>
            <w:tcBorders>
              <w:tl2br w:val="nil"/>
              <w:tr2bl w:val="nil"/>
            </w:tcBorders>
            <w:noWrap w:val="0"/>
            <w:vAlign w:val="center"/>
          </w:tcPr>
          <w:p w14:paraId="10CCCE3D">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〔A1.3-2〕对不符合国家产业政策、严重污染水环境的生产项目全部予以取缔。</w:t>
            </w:r>
          </w:p>
        </w:tc>
        <w:tc>
          <w:tcPr>
            <w:tcW w:w="646" w:type="pct"/>
            <w:tcBorders>
              <w:tl2br w:val="nil"/>
              <w:tr2bl w:val="nil"/>
            </w:tcBorders>
            <w:noWrap w:val="0"/>
            <w:vAlign w:val="center"/>
          </w:tcPr>
          <w:p w14:paraId="3DB7B494">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不涉及</w:t>
            </w:r>
          </w:p>
        </w:tc>
        <w:tc>
          <w:tcPr>
            <w:tcW w:w="518" w:type="pct"/>
            <w:tcBorders>
              <w:tl2br w:val="nil"/>
              <w:tr2bl w:val="nil"/>
            </w:tcBorders>
            <w:noWrap w:val="0"/>
            <w:vAlign w:val="center"/>
          </w:tcPr>
          <w:p w14:paraId="417967E2">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337AEE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7" w:type="pct"/>
            <w:vMerge w:val="continue"/>
            <w:tcBorders>
              <w:tl2br w:val="nil"/>
              <w:tr2bl w:val="nil"/>
            </w:tcBorders>
            <w:noWrap w:val="0"/>
            <w:vAlign w:val="center"/>
          </w:tcPr>
          <w:p w14:paraId="1A6169FA">
            <w:pPr>
              <w:keepNext w:val="0"/>
              <w:keepLines w:val="0"/>
              <w:pageBreakBefore w:val="0"/>
              <w:widowControl/>
              <w:kinsoku/>
              <w:wordWrap/>
              <w:overflowPunct/>
              <w:topLinePunct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p>
        </w:tc>
        <w:tc>
          <w:tcPr>
            <w:tcW w:w="598" w:type="pct"/>
            <w:vMerge w:val="continue"/>
            <w:tcBorders>
              <w:tl2br w:val="nil"/>
              <w:tr2bl w:val="nil"/>
            </w:tcBorders>
            <w:noWrap w:val="0"/>
            <w:vAlign w:val="center"/>
          </w:tcPr>
          <w:p w14:paraId="77A2E44C">
            <w:pPr>
              <w:keepNext w:val="0"/>
              <w:keepLines w:val="0"/>
              <w:pageBreakBefore w:val="0"/>
              <w:widowControl/>
              <w:kinsoku/>
              <w:wordWrap/>
              <w:overflowPunct/>
              <w:topLinePunct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p>
        </w:tc>
        <w:tc>
          <w:tcPr>
            <w:tcW w:w="2738" w:type="pct"/>
            <w:tcBorders>
              <w:tl2br w:val="nil"/>
              <w:tr2bl w:val="nil"/>
            </w:tcBorders>
            <w:noWrap w:val="0"/>
            <w:vAlign w:val="center"/>
          </w:tcPr>
          <w:p w14:paraId="527D3091">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A1.3-3〕根据《产业结构调整指导目录》《限期淘汰产生严重污染环境的工业固体废物的落后生产工艺设备名录》等要求，配合有关部门依法淘汰烧结-鼓风炉5炼铅工艺炼铅等涉重金属落后产能和化解过剩产能。严格执行生态环境保护等相关法规标准，推动经整改仍达不到要求的产能依法依规关闭退出。</w:t>
            </w:r>
          </w:p>
        </w:tc>
        <w:tc>
          <w:tcPr>
            <w:tcW w:w="646" w:type="pct"/>
            <w:tcBorders>
              <w:tl2br w:val="nil"/>
              <w:tr2bl w:val="nil"/>
            </w:tcBorders>
            <w:noWrap w:val="0"/>
            <w:vAlign w:val="center"/>
          </w:tcPr>
          <w:p w14:paraId="4751516B">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不涉及</w:t>
            </w:r>
          </w:p>
        </w:tc>
        <w:tc>
          <w:tcPr>
            <w:tcW w:w="518" w:type="pct"/>
            <w:tcBorders>
              <w:tl2br w:val="nil"/>
              <w:tr2bl w:val="nil"/>
            </w:tcBorders>
            <w:noWrap w:val="0"/>
            <w:vAlign w:val="center"/>
          </w:tcPr>
          <w:p w14:paraId="347787EB">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5578FA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7" w:type="pct"/>
            <w:vMerge w:val="continue"/>
            <w:tcBorders>
              <w:tl2br w:val="nil"/>
              <w:tr2bl w:val="nil"/>
            </w:tcBorders>
            <w:noWrap w:val="0"/>
            <w:vAlign w:val="center"/>
          </w:tcPr>
          <w:p w14:paraId="11384395">
            <w:pPr>
              <w:keepNext w:val="0"/>
              <w:keepLines w:val="0"/>
              <w:pageBreakBefore w:val="0"/>
              <w:widowControl/>
              <w:kinsoku/>
              <w:wordWrap/>
              <w:overflowPunct/>
              <w:topLinePunct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sz w:val="21"/>
                <w:szCs w:val="21"/>
              </w:rPr>
            </w:pPr>
          </w:p>
        </w:tc>
        <w:tc>
          <w:tcPr>
            <w:tcW w:w="598" w:type="pct"/>
            <w:vMerge w:val="continue"/>
            <w:tcBorders>
              <w:tl2br w:val="nil"/>
              <w:tr2bl w:val="nil"/>
            </w:tcBorders>
            <w:noWrap w:val="0"/>
            <w:vAlign w:val="center"/>
          </w:tcPr>
          <w:p w14:paraId="08B9D24F">
            <w:pPr>
              <w:keepNext w:val="0"/>
              <w:keepLines w:val="0"/>
              <w:pageBreakBefore w:val="0"/>
              <w:widowControl/>
              <w:kinsoku/>
              <w:wordWrap/>
              <w:overflowPunct/>
              <w:topLinePunct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sz w:val="21"/>
                <w:szCs w:val="21"/>
              </w:rPr>
            </w:pPr>
          </w:p>
        </w:tc>
        <w:tc>
          <w:tcPr>
            <w:tcW w:w="2738" w:type="pct"/>
            <w:tcBorders>
              <w:tl2br w:val="nil"/>
              <w:tr2bl w:val="nil"/>
            </w:tcBorders>
            <w:noWrap w:val="0"/>
            <w:vAlign w:val="center"/>
          </w:tcPr>
          <w:p w14:paraId="50DA8077">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〔A1.3-4〕城市建成区、重点流域内已建成投产化工企业和危险化学品生产企业应加快退城入园，搬入化工园区前企业不应实施改扩建工程扩大生产规模。</w:t>
            </w:r>
          </w:p>
        </w:tc>
        <w:tc>
          <w:tcPr>
            <w:tcW w:w="646" w:type="pct"/>
            <w:tcBorders>
              <w:tl2br w:val="nil"/>
              <w:tr2bl w:val="nil"/>
            </w:tcBorders>
            <w:noWrap w:val="0"/>
            <w:vAlign w:val="center"/>
          </w:tcPr>
          <w:p w14:paraId="5F1BE3CF">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不涉及</w:t>
            </w:r>
          </w:p>
        </w:tc>
        <w:tc>
          <w:tcPr>
            <w:tcW w:w="518" w:type="pct"/>
            <w:tcBorders>
              <w:tl2br w:val="nil"/>
              <w:tr2bl w:val="nil"/>
            </w:tcBorders>
            <w:noWrap w:val="0"/>
            <w:vAlign w:val="center"/>
          </w:tcPr>
          <w:p w14:paraId="73A7F622">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0CA476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7" w:type="pct"/>
            <w:vMerge w:val="continue"/>
            <w:tcBorders>
              <w:tl2br w:val="nil"/>
              <w:tr2bl w:val="nil"/>
            </w:tcBorders>
            <w:noWrap w:val="0"/>
            <w:vAlign w:val="center"/>
          </w:tcPr>
          <w:p w14:paraId="08E80C5C">
            <w:pPr>
              <w:keepNext w:val="0"/>
              <w:keepLines w:val="0"/>
              <w:pageBreakBefore w:val="0"/>
              <w:widowControl/>
              <w:kinsoku/>
              <w:wordWrap/>
              <w:overflowPunct/>
              <w:topLinePunct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sz w:val="21"/>
                <w:szCs w:val="21"/>
              </w:rPr>
            </w:pPr>
          </w:p>
        </w:tc>
        <w:tc>
          <w:tcPr>
            <w:tcW w:w="598" w:type="pct"/>
            <w:vMerge w:val="restart"/>
            <w:tcBorders>
              <w:tl2br w:val="nil"/>
              <w:tr2bl w:val="nil"/>
            </w:tcBorders>
            <w:noWrap w:val="0"/>
            <w:vAlign w:val="center"/>
          </w:tcPr>
          <w:p w14:paraId="0F781617">
            <w:pPr>
              <w:keepNext w:val="0"/>
              <w:keepLines w:val="0"/>
              <w:pageBreakBefore w:val="0"/>
              <w:widowControl/>
              <w:kinsoku/>
              <w:wordWrap/>
              <w:overflowPunct/>
              <w:topLinePunct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A1.4其它布局要求</w:t>
            </w:r>
          </w:p>
        </w:tc>
        <w:tc>
          <w:tcPr>
            <w:tcW w:w="2738" w:type="pct"/>
            <w:tcBorders>
              <w:tl2br w:val="nil"/>
              <w:tr2bl w:val="nil"/>
            </w:tcBorders>
            <w:noWrap w:val="0"/>
            <w:vAlign w:val="center"/>
          </w:tcPr>
          <w:p w14:paraId="3015DB05">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A1.4-1〕一切开发建设活动应符合国家、自治区主体功能区规划、自治区和各地颁布实施的生态环境功能区划、国民经济发展规划、产业发展规划、国土空间规划等相关规划及重点生态功能区负面清单要求，符合区域或产业规划环评要求。</w:t>
            </w:r>
          </w:p>
        </w:tc>
        <w:tc>
          <w:tcPr>
            <w:tcW w:w="646" w:type="pct"/>
            <w:tcBorders>
              <w:tl2br w:val="nil"/>
              <w:tr2bl w:val="nil"/>
            </w:tcBorders>
            <w:noWrap w:val="0"/>
            <w:vAlign w:val="center"/>
          </w:tcPr>
          <w:p w14:paraId="7ED45162">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本期工程符合国家、自治区、国土空间规划等相关规划及重点生态功能区负面清单要求，符合区域或产业规划环评要求。</w:t>
            </w:r>
          </w:p>
        </w:tc>
        <w:tc>
          <w:tcPr>
            <w:tcW w:w="518" w:type="pct"/>
            <w:tcBorders>
              <w:tl2br w:val="nil"/>
              <w:tr2bl w:val="nil"/>
            </w:tcBorders>
            <w:noWrap w:val="0"/>
            <w:vAlign w:val="center"/>
          </w:tcPr>
          <w:p w14:paraId="3D8B783C">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符合</w:t>
            </w:r>
          </w:p>
        </w:tc>
      </w:tr>
      <w:tr w14:paraId="775F64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7" w:type="pct"/>
            <w:vMerge w:val="continue"/>
            <w:tcBorders>
              <w:tl2br w:val="nil"/>
              <w:tr2bl w:val="nil"/>
            </w:tcBorders>
            <w:noWrap w:val="0"/>
            <w:vAlign w:val="center"/>
          </w:tcPr>
          <w:p w14:paraId="616BB289">
            <w:pPr>
              <w:keepNext w:val="0"/>
              <w:keepLines w:val="0"/>
              <w:pageBreakBefore w:val="0"/>
              <w:widowControl/>
              <w:kinsoku/>
              <w:wordWrap/>
              <w:overflowPunct/>
              <w:topLinePunct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sz w:val="21"/>
                <w:szCs w:val="21"/>
              </w:rPr>
            </w:pPr>
          </w:p>
        </w:tc>
        <w:tc>
          <w:tcPr>
            <w:tcW w:w="598" w:type="pct"/>
            <w:vMerge w:val="continue"/>
            <w:tcBorders>
              <w:tl2br w:val="nil"/>
              <w:tr2bl w:val="nil"/>
            </w:tcBorders>
            <w:noWrap w:val="0"/>
            <w:vAlign w:val="center"/>
          </w:tcPr>
          <w:p w14:paraId="3A0B25F5">
            <w:pPr>
              <w:keepNext w:val="0"/>
              <w:keepLines w:val="0"/>
              <w:pageBreakBefore w:val="0"/>
              <w:widowControl/>
              <w:kinsoku/>
              <w:wordWrap/>
              <w:overflowPunct/>
              <w:topLinePunct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sz w:val="21"/>
                <w:szCs w:val="21"/>
              </w:rPr>
            </w:pPr>
          </w:p>
        </w:tc>
        <w:tc>
          <w:tcPr>
            <w:tcW w:w="2738" w:type="pct"/>
            <w:tcBorders>
              <w:tl2br w:val="nil"/>
              <w:tr2bl w:val="nil"/>
            </w:tcBorders>
            <w:noWrap w:val="0"/>
            <w:vAlign w:val="center"/>
          </w:tcPr>
          <w:p w14:paraId="5204816A">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〔A1.4-2〕新建、扩建石化、化工、焦化、有色金属冶炼、平板玻璃项目应布设在依法合规设立并经规划环评的产业园区。</w:t>
            </w:r>
          </w:p>
        </w:tc>
        <w:tc>
          <w:tcPr>
            <w:tcW w:w="646" w:type="pct"/>
            <w:tcBorders>
              <w:tl2br w:val="nil"/>
              <w:tr2bl w:val="nil"/>
            </w:tcBorders>
            <w:noWrap w:val="0"/>
            <w:vAlign w:val="center"/>
          </w:tcPr>
          <w:p w14:paraId="379F4AB8">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val="en-US" w:eastAsia="zh-CN"/>
              </w:rPr>
              <w:t>不涉及</w:t>
            </w:r>
          </w:p>
        </w:tc>
        <w:tc>
          <w:tcPr>
            <w:tcW w:w="518" w:type="pct"/>
            <w:tcBorders>
              <w:tl2br w:val="nil"/>
              <w:tr2bl w:val="nil"/>
            </w:tcBorders>
            <w:noWrap w:val="0"/>
            <w:vAlign w:val="center"/>
          </w:tcPr>
          <w:p w14:paraId="75B0FB73">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符合</w:t>
            </w:r>
          </w:p>
        </w:tc>
      </w:tr>
      <w:tr w14:paraId="3DBA89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7" w:type="pct"/>
            <w:vMerge w:val="continue"/>
            <w:tcBorders>
              <w:tl2br w:val="nil"/>
              <w:tr2bl w:val="nil"/>
            </w:tcBorders>
            <w:noWrap w:val="0"/>
            <w:vAlign w:val="center"/>
          </w:tcPr>
          <w:p w14:paraId="0BEEF153">
            <w:pPr>
              <w:keepNext w:val="0"/>
              <w:keepLines w:val="0"/>
              <w:pageBreakBefore w:val="0"/>
              <w:widowControl/>
              <w:kinsoku/>
              <w:wordWrap/>
              <w:overflowPunct/>
              <w:topLinePunct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sz w:val="21"/>
                <w:szCs w:val="21"/>
              </w:rPr>
            </w:pPr>
          </w:p>
        </w:tc>
        <w:tc>
          <w:tcPr>
            <w:tcW w:w="598" w:type="pct"/>
            <w:vMerge w:val="continue"/>
            <w:tcBorders>
              <w:tl2br w:val="nil"/>
              <w:tr2bl w:val="nil"/>
            </w:tcBorders>
            <w:noWrap w:val="0"/>
            <w:vAlign w:val="center"/>
          </w:tcPr>
          <w:p w14:paraId="190AEACB">
            <w:pPr>
              <w:keepNext w:val="0"/>
              <w:keepLines w:val="0"/>
              <w:pageBreakBefore w:val="0"/>
              <w:widowControl/>
              <w:kinsoku/>
              <w:wordWrap/>
              <w:overflowPunct/>
              <w:topLinePunct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sz w:val="21"/>
                <w:szCs w:val="21"/>
              </w:rPr>
            </w:pPr>
          </w:p>
        </w:tc>
        <w:tc>
          <w:tcPr>
            <w:tcW w:w="2738" w:type="pct"/>
            <w:tcBorders>
              <w:tl2br w:val="nil"/>
              <w:tr2bl w:val="nil"/>
            </w:tcBorders>
            <w:noWrap w:val="0"/>
            <w:vAlign w:val="center"/>
          </w:tcPr>
          <w:p w14:paraId="7A46797B">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A1.4-3〕危险化学品生产企业搬迁改造及新建化工项目必须进入国家及自治区各级人民政府正式批准设立，规划环评通过审查，规划通过审批且环保基础设施完善的工业园区，并符合国土空间规划、产业发展规划和生态红线管控要求。</w:t>
            </w:r>
          </w:p>
        </w:tc>
        <w:tc>
          <w:tcPr>
            <w:tcW w:w="646" w:type="pct"/>
            <w:tcBorders>
              <w:tl2br w:val="nil"/>
              <w:tr2bl w:val="nil"/>
            </w:tcBorders>
            <w:noWrap w:val="0"/>
            <w:vAlign w:val="center"/>
          </w:tcPr>
          <w:p w14:paraId="178A24DF">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不涉及</w:t>
            </w:r>
          </w:p>
        </w:tc>
        <w:tc>
          <w:tcPr>
            <w:tcW w:w="518" w:type="pct"/>
            <w:tcBorders>
              <w:tl2br w:val="nil"/>
              <w:tr2bl w:val="nil"/>
            </w:tcBorders>
            <w:noWrap w:val="0"/>
            <w:vAlign w:val="center"/>
          </w:tcPr>
          <w:p w14:paraId="0596B97D">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符合</w:t>
            </w:r>
          </w:p>
        </w:tc>
      </w:tr>
      <w:tr w14:paraId="27BED6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7" w:type="pct"/>
            <w:vMerge w:val="restart"/>
            <w:tcBorders>
              <w:tl2br w:val="nil"/>
              <w:tr2bl w:val="nil"/>
            </w:tcBorders>
            <w:noWrap w:val="0"/>
            <w:vAlign w:val="center"/>
          </w:tcPr>
          <w:p w14:paraId="3AEAEFA7">
            <w:pPr>
              <w:keepNext w:val="0"/>
              <w:keepLines w:val="0"/>
              <w:pageBreakBefore w:val="0"/>
              <w:widowControl/>
              <w:kinsoku/>
              <w:wordWrap/>
              <w:overflowPunct/>
              <w:topLinePunct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A2污染物排放管控</w:t>
            </w:r>
          </w:p>
        </w:tc>
        <w:tc>
          <w:tcPr>
            <w:tcW w:w="598" w:type="pct"/>
            <w:vMerge w:val="restart"/>
            <w:tcBorders>
              <w:tl2br w:val="nil"/>
              <w:tr2bl w:val="nil"/>
            </w:tcBorders>
            <w:noWrap w:val="0"/>
            <w:vAlign w:val="center"/>
          </w:tcPr>
          <w:p w14:paraId="2C795046">
            <w:pPr>
              <w:keepNext w:val="0"/>
              <w:keepLines w:val="0"/>
              <w:pageBreakBefore w:val="0"/>
              <w:widowControl/>
              <w:kinsoku/>
              <w:wordWrap/>
              <w:overflowPunct/>
              <w:topLinePunct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A2.1污染物消减/替代要求</w:t>
            </w:r>
          </w:p>
        </w:tc>
        <w:tc>
          <w:tcPr>
            <w:tcW w:w="2738" w:type="pct"/>
            <w:tcBorders>
              <w:tl2br w:val="nil"/>
              <w:tr2bl w:val="nil"/>
            </w:tcBorders>
            <w:noWrap w:val="0"/>
            <w:vAlign w:val="center"/>
          </w:tcPr>
          <w:p w14:paraId="37B47CE0">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A2.1-1〕新、改、扩建重点行业建设项目应符合“三线一单”、产业政策、区域环评、规划环评和行业环境准入管控要求。重点区域的新、改、扩建重点行业建设项目应遵循重点重金属污染物排放“减量替代”原则。</w:t>
            </w:r>
          </w:p>
        </w:tc>
        <w:tc>
          <w:tcPr>
            <w:tcW w:w="646" w:type="pct"/>
            <w:tcBorders>
              <w:tl2br w:val="nil"/>
              <w:tr2bl w:val="nil"/>
            </w:tcBorders>
            <w:noWrap w:val="0"/>
            <w:vAlign w:val="center"/>
          </w:tcPr>
          <w:p w14:paraId="28C16FE3">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不涉及</w:t>
            </w:r>
          </w:p>
        </w:tc>
        <w:tc>
          <w:tcPr>
            <w:tcW w:w="518" w:type="pct"/>
            <w:tcBorders>
              <w:tl2br w:val="nil"/>
              <w:tr2bl w:val="nil"/>
            </w:tcBorders>
            <w:noWrap w:val="0"/>
            <w:vAlign w:val="center"/>
          </w:tcPr>
          <w:p w14:paraId="33A6F5BC">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符合</w:t>
            </w:r>
          </w:p>
        </w:tc>
      </w:tr>
      <w:tr w14:paraId="334ACB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7" w:type="pct"/>
            <w:vMerge w:val="continue"/>
            <w:tcBorders>
              <w:tl2br w:val="nil"/>
              <w:tr2bl w:val="nil"/>
            </w:tcBorders>
            <w:noWrap w:val="0"/>
            <w:vAlign w:val="center"/>
          </w:tcPr>
          <w:p w14:paraId="7D6B888C">
            <w:pPr>
              <w:keepNext w:val="0"/>
              <w:keepLines w:val="0"/>
              <w:pageBreakBefore w:val="0"/>
              <w:widowControl/>
              <w:kinsoku/>
              <w:wordWrap/>
              <w:overflowPunct/>
              <w:topLinePunct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sz w:val="21"/>
                <w:szCs w:val="21"/>
              </w:rPr>
            </w:pPr>
          </w:p>
        </w:tc>
        <w:tc>
          <w:tcPr>
            <w:tcW w:w="598" w:type="pct"/>
            <w:vMerge w:val="continue"/>
            <w:tcBorders>
              <w:tl2br w:val="nil"/>
              <w:tr2bl w:val="nil"/>
            </w:tcBorders>
            <w:noWrap w:val="0"/>
            <w:vAlign w:val="center"/>
          </w:tcPr>
          <w:p w14:paraId="0BD529A0">
            <w:pPr>
              <w:keepNext w:val="0"/>
              <w:keepLines w:val="0"/>
              <w:pageBreakBefore w:val="0"/>
              <w:widowControl/>
              <w:kinsoku/>
              <w:wordWrap/>
              <w:overflowPunct/>
              <w:topLinePunct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sz w:val="21"/>
                <w:szCs w:val="21"/>
              </w:rPr>
            </w:pPr>
          </w:p>
        </w:tc>
        <w:tc>
          <w:tcPr>
            <w:tcW w:w="2738" w:type="pct"/>
            <w:tcBorders>
              <w:tl2br w:val="nil"/>
              <w:tr2bl w:val="nil"/>
            </w:tcBorders>
            <w:noWrap w:val="0"/>
            <w:vAlign w:val="center"/>
          </w:tcPr>
          <w:p w14:paraId="08A81EB9">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〔A2.1-2〕以石化、化工、涂装、医药、包装印刷、油品储运销等行业领域为重点，安全高效推进挥发性有机物综合治理，实施原辅材料和产品源头替代工程。</w:t>
            </w:r>
          </w:p>
        </w:tc>
        <w:tc>
          <w:tcPr>
            <w:tcW w:w="646" w:type="pct"/>
            <w:tcBorders>
              <w:tl2br w:val="nil"/>
              <w:tr2bl w:val="nil"/>
            </w:tcBorders>
            <w:noWrap w:val="0"/>
            <w:vAlign w:val="center"/>
          </w:tcPr>
          <w:p w14:paraId="70DB271D">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kern w:val="2"/>
                <w:sz w:val="21"/>
                <w:szCs w:val="21"/>
              </w:rPr>
            </w:pPr>
            <w:r>
              <w:rPr>
                <w:rFonts w:hint="eastAsia" w:ascii="宋体" w:hAnsi="宋体" w:eastAsia="宋体" w:cs="宋体"/>
                <w:color w:val="000000"/>
                <w:sz w:val="21"/>
                <w:szCs w:val="21"/>
                <w:lang w:val="en-US" w:eastAsia="zh-CN"/>
              </w:rPr>
              <w:t>不涉及</w:t>
            </w:r>
          </w:p>
        </w:tc>
        <w:tc>
          <w:tcPr>
            <w:tcW w:w="518" w:type="pct"/>
            <w:tcBorders>
              <w:tl2br w:val="nil"/>
              <w:tr2bl w:val="nil"/>
            </w:tcBorders>
            <w:noWrap w:val="0"/>
            <w:vAlign w:val="center"/>
          </w:tcPr>
          <w:p w14:paraId="24829979">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符合</w:t>
            </w:r>
          </w:p>
        </w:tc>
      </w:tr>
      <w:tr w14:paraId="6346A0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7" w:type="pct"/>
            <w:vMerge w:val="continue"/>
            <w:tcBorders>
              <w:tl2br w:val="nil"/>
              <w:tr2bl w:val="nil"/>
            </w:tcBorders>
            <w:noWrap w:val="0"/>
            <w:vAlign w:val="center"/>
          </w:tcPr>
          <w:p w14:paraId="11F31FC3">
            <w:pPr>
              <w:keepNext w:val="0"/>
              <w:keepLines w:val="0"/>
              <w:pageBreakBefore w:val="0"/>
              <w:widowControl/>
              <w:kinsoku/>
              <w:wordWrap/>
              <w:overflowPunct/>
              <w:topLinePunct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sz w:val="21"/>
                <w:szCs w:val="21"/>
              </w:rPr>
            </w:pPr>
          </w:p>
        </w:tc>
        <w:tc>
          <w:tcPr>
            <w:tcW w:w="598" w:type="pct"/>
            <w:vMerge w:val="continue"/>
            <w:tcBorders>
              <w:tl2br w:val="nil"/>
              <w:tr2bl w:val="nil"/>
            </w:tcBorders>
            <w:noWrap w:val="0"/>
            <w:vAlign w:val="center"/>
          </w:tcPr>
          <w:p w14:paraId="5C8EB607">
            <w:pPr>
              <w:keepNext w:val="0"/>
              <w:keepLines w:val="0"/>
              <w:pageBreakBefore w:val="0"/>
              <w:widowControl/>
              <w:kinsoku/>
              <w:wordWrap/>
              <w:overflowPunct/>
              <w:topLinePunct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sz w:val="21"/>
                <w:szCs w:val="21"/>
              </w:rPr>
            </w:pPr>
          </w:p>
        </w:tc>
        <w:tc>
          <w:tcPr>
            <w:tcW w:w="2738" w:type="pct"/>
            <w:tcBorders>
              <w:tl2br w:val="nil"/>
              <w:tr2bl w:val="nil"/>
            </w:tcBorders>
            <w:noWrap w:val="0"/>
            <w:vAlign w:val="center"/>
          </w:tcPr>
          <w:p w14:paraId="2F98CACC">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A2.1-3〕促进大气污染物与温室气体协同控制。实施污染物和温室气体协同控制，实现减污降碳协同效应。开展工业、农业温室气体和污染减排协同控制研究，减少温室气体和污染物排放。强化污水、垃圾等集中处置设施环境管理，协同控制氢氟碳化物、甲烷、氧化亚氮等温室气体。加强节约能源与大气污染防治协同有效衔接，促进大气污染防治协同增效。</w:t>
            </w:r>
          </w:p>
        </w:tc>
        <w:tc>
          <w:tcPr>
            <w:tcW w:w="646" w:type="pct"/>
            <w:tcBorders>
              <w:tl2br w:val="nil"/>
              <w:tr2bl w:val="nil"/>
            </w:tcBorders>
            <w:noWrap w:val="0"/>
            <w:vAlign w:val="center"/>
          </w:tcPr>
          <w:p w14:paraId="2DB7E7B8">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kern w:val="2"/>
                <w:sz w:val="21"/>
                <w:szCs w:val="21"/>
              </w:rPr>
            </w:pPr>
            <w:r>
              <w:rPr>
                <w:rFonts w:hint="eastAsia" w:ascii="宋体" w:hAnsi="宋体" w:eastAsia="宋体" w:cs="宋体"/>
                <w:color w:val="000000"/>
                <w:sz w:val="21"/>
                <w:szCs w:val="21"/>
                <w:lang w:val="en-US" w:eastAsia="zh-CN"/>
              </w:rPr>
              <w:t>不涉及</w:t>
            </w:r>
          </w:p>
        </w:tc>
        <w:tc>
          <w:tcPr>
            <w:tcW w:w="518" w:type="pct"/>
            <w:tcBorders>
              <w:tl2br w:val="nil"/>
              <w:tr2bl w:val="nil"/>
            </w:tcBorders>
            <w:noWrap w:val="0"/>
            <w:vAlign w:val="center"/>
          </w:tcPr>
          <w:p w14:paraId="0E7440D2">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符合</w:t>
            </w:r>
          </w:p>
        </w:tc>
      </w:tr>
      <w:tr w14:paraId="40F286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7" w:type="pct"/>
            <w:vMerge w:val="continue"/>
            <w:tcBorders>
              <w:tl2br w:val="nil"/>
              <w:tr2bl w:val="nil"/>
            </w:tcBorders>
            <w:noWrap w:val="0"/>
            <w:vAlign w:val="center"/>
          </w:tcPr>
          <w:p w14:paraId="733BE4BF">
            <w:pPr>
              <w:keepNext w:val="0"/>
              <w:keepLines w:val="0"/>
              <w:pageBreakBefore w:val="0"/>
              <w:widowControl/>
              <w:kinsoku/>
              <w:wordWrap/>
              <w:overflowPunct/>
              <w:topLinePunct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sz w:val="21"/>
                <w:szCs w:val="21"/>
              </w:rPr>
            </w:pPr>
          </w:p>
        </w:tc>
        <w:tc>
          <w:tcPr>
            <w:tcW w:w="598" w:type="pct"/>
            <w:vMerge w:val="continue"/>
            <w:tcBorders>
              <w:tl2br w:val="nil"/>
              <w:tr2bl w:val="nil"/>
            </w:tcBorders>
            <w:noWrap w:val="0"/>
            <w:vAlign w:val="center"/>
          </w:tcPr>
          <w:p w14:paraId="6327EBB9">
            <w:pPr>
              <w:keepNext w:val="0"/>
              <w:keepLines w:val="0"/>
              <w:pageBreakBefore w:val="0"/>
              <w:widowControl/>
              <w:kinsoku/>
              <w:wordWrap/>
              <w:overflowPunct/>
              <w:topLinePunct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sz w:val="21"/>
                <w:szCs w:val="21"/>
              </w:rPr>
            </w:pPr>
          </w:p>
        </w:tc>
        <w:tc>
          <w:tcPr>
            <w:tcW w:w="2738" w:type="pct"/>
            <w:tcBorders>
              <w:tl2br w:val="nil"/>
              <w:tr2bl w:val="nil"/>
            </w:tcBorders>
            <w:noWrap w:val="0"/>
            <w:vAlign w:val="center"/>
          </w:tcPr>
          <w:p w14:paraId="631ABD64">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A2.1-4〕严控建材、铸造、冶炼等行业无组织排放，推进石化、化工、涂装、医药、包装印刷、油品储运销等行业项目挥发性有机物（VOCs）防治。严格有色金属冶炼、石油加工、化工、焦化等行业项目的土壤、地下水污染防治措施要求。推进工业园区和企业集群建设涉VOCs“绿岛”项目，统筹规划建设一批集中涂装中心、活性炭集中处理中心、溶剂回收中心等，实现VOCs集中高效处理。</w:t>
            </w:r>
          </w:p>
        </w:tc>
        <w:tc>
          <w:tcPr>
            <w:tcW w:w="646" w:type="pct"/>
            <w:tcBorders>
              <w:tl2br w:val="nil"/>
              <w:tr2bl w:val="nil"/>
            </w:tcBorders>
            <w:noWrap w:val="0"/>
            <w:vAlign w:val="center"/>
          </w:tcPr>
          <w:p w14:paraId="1C8C88CD">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kern w:val="2"/>
                <w:sz w:val="21"/>
                <w:szCs w:val="21"/>
              </w:rPr>
            </w:pPr>
            <w:r>
              <w:rPr>
                <w:rFonts w:hint="eastAsia" w:ascii="宋体" w:hAnsi="宋体" w:eastAsia="宋体" w:cs="宋体"/>
                <w:color w:val="000000"/>
                <w:sz w:val="21"/>
                <w:szCs w:val="21"/>
                <w:lang w:val="en-US" w:eastAsia="zh-CN"/>
              </w:rPr>
              <w:t>不涉及</w:t>
            </w:r>
          </w:p>
        </w:tc>
        <w:tc>
          <w:tcPr>
            <w:tcW w:w="518" w:type="pct"/>
            <w:tcBorders>
              <w:tl2br w:val="nil"/>
              <w:tr2bl w:val="nil"/>
            </w:tcBorders>
            <w:noWrap w:val="0"/>
            <w:vAlign w:val="center"/>
          </w:tcPr>
          <w:p w14:paraId="02F0BE73">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符合</w:t>
            </w:r>
          </w:p>
        </w:tc>
      </w:tr>
      <w:tr w14:paraId="43D536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7" w:type="pct"/>
            <w:vMerge w:val="continue"/>
            <w:tcBorders>
              <w:tl2br w:val="nil"/>
              <w:tr2bl w:val="nil"/>
            </w:tcBorders>
            <w:noWrap w:val="0"/>
            <w:vAlign w:val="center"/>
          </w:tcPr>
          <w:p w14:paraId="4A9AC112">
            <w:pPr>
              <w:keepNext w:val="0"/>
              <w:keepLines w:val="0"/>
              <w:pageBreakBefore w:val="0"/>
              <w:widowControl/>
              <w:kinsoku/>
              <w:wordWrap/>
              <w:overflowPunct/>
              <w:topLinePunct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sz w:val="21"/>
                <w:szCs w:val="21"/>
              </w:rPr>
            </w:pPr>
          </w:p>
        </w:tc>
        <w:tc>
          <w:tcPr>
            <w:tcW w:w="598" w:type="pct"/>
            <w:vMerge w:val="restart"/>
            <w:tcBorders>
              <w:tl2br w:val="nil"/>
              <w:tr2bl w:val="nil"/>
            </w:tcBorders>
            <w:noWrap w:val="0"/>
            <w:vAlign w:val="center"/>
          </w:tcPr>
          <w:p w14:paraId="77A831B5">
            <w:pPr>
              <w:keepNext w:val="0"/>
              <w:keepLines w:val="0"/>
              <w:pageBreakBefore w:val="0"/>
              <w:widowControl/>
              <w:kinsoku/>
              <w:wordWrap/>
              <w:overflowPunct/>
              <w:topLinePunct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A2.2污染控制措施要求</w:t>
            </w:r>
          </w:p>
        </w:tc>
        <w:tc>
          <w:tcPr>
            <w:tcW w:w="2738" w:type="pct"/>
            <w:tcBorders>
              <w:tl2br w:val="nil"/>
              <w:tr2bl w:val="nil"/>
            </w:tcBorders>
            <w:noWrap w:val="0"/>
            <w:vAlign w:val="center"/>
          </w:tcPr>
          <w:p w14:paraId="4F85FBB1">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A2.2-1〕推动能源、钢铁、建材、有色、电力、化工等重点领域技术升级，控制工业过程温室气体排放，推动工业领域绿色低碳发展。积极鼓励发展二氧化碳捕集利用与封存等低碳技术。促进大气污染物与温室气体协同控制。实施污染物和温室气体协同控制，实现减污降碳协同效应。强化污水、垃圾等集中处置设施环境管理，协同控制氢氟碳化物、甲烷、氧化亚氮等温室气体。加强节约能源与大气污染防治协同有效衔接，促进大气污染防治协同增效。</w:t>
            </w:r>
          </w:p>
        </w:tc>
        <w:tc>
          <w:tcPr>
            <w:tcW w:w="646" w:type="pct"/>
            <w:tcBorders>
              <w:tl2br w:val="nil"/>
              <w:tr2bl w:val="nil"/>
            </w:tcBorders>
            <w:noWrap w:val="0"/>
            <w:vAlign w:val="center"/>
          </w:tcPr>
          <w:p w14:paraId="49210409">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kern w:val="2"/>
                <w:sz w:val="21"/>
                <w:szCs w:val="21"/>
              </w:rPr>
            </w:pPr>
            <w:r>
              <w:rPr>
                <w:rFonts w:hint="eastAsia" w:ascii="宋体" w:hAnsi="宋体" w:eastAsia="宋体" w:cs="宋体"/>
                <w:color w:val="000000"/>
                <w:sz w:val="21"/>
                <w:szCs w:val="21"/>
                <w:lang w:val="en-US" w:eastAsia="zh-CN"/>
              </w:rPr>
              <w:t>不涉及</w:t>
            </w:r>
          </w:p>
        </w:tc>
        <w:tc>
          <w:tcPr>
            <w:tcW w:w="518" w:type="pct"/>
            <w:tcBorders>
              <w:tl2br w:val="nil"/>
              <w:tr2bl w:val="nil"/>
            </w:tcBorders>
            <w:noWrap w:val="0"/>
            <w:vAlign w:val="center"/>
          </w:tcPr>
          <w:p w14:paraId="4380E3F0">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符合</w:t>
            </w:r>
          </w:p>
        </w:tc>
      </w:tr>
      <w:tr w14:paraId="14D128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7" w:type="pct"/>
            <w:vMerge w:val="continue"/>
            <w:tcBorders>
              <w:tl2br w:val="nil"/>
              <w:tr2bl w:val="nil"/>
            </w:tcBorders>
            <w:noWrap w:val="0"/>
            <w:vAlign w:val="center"/>
          </w:tcPr>
          <w:p w14:paraId="7E462008">
            <w:pPr>
              <w:keepNext w:val="0"/>
              <w:keepLines w:val="0"/>
              <w:pageBreakBefore w:val="0"/>
              <w:widowControl/>
              <w:kinsoku/>
              <w:wordWrap/>
              <w:overflowPunct/>
              <w:topLinePunct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sz w:val="21"/>
                <w:szCs w:val="21"/>
              </w:rPr>
            </w:pPr>
          </w:p>
        </w:tc>
        <w:tc>
          <w:tcPr>
            <w:tcW w:w="598" w:type="pct"/>
            <w:vMerge w:val="continue"/>
            <w:tcBorders>
              <w:tl2br w:val="nil"/>
              <w:tr2bl w:val="nil"/>
            </w:tcBorders>
            <w:noWrap w:val="0"/>
            <w:vAlign w:val="center"/>
          </w:tcPr>
          <w:p w14:paraId="74B9BC43">
            <w:pPr>
              <w:keepNext w:val="0"/>
              <w:keepLines w:val="0"/>
              <w:pageBreakBefore w:val="0"/>
              <w:widowControl/>
              <w:kinsoku/>
              <w:wordWrap/>
              <w:overflowPunct/>
              <w:topLinePunct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sz w:val="21"/>
                <w:szCs w:val="21"/>
              </w:rPr>
            </w:pPr>
          </w:p>
        </w:tc>
        <w:tc>
          <w:tcPr>
            <w:tcW w:w="2738" w:type="pct"/>
            <w:tcBorders>
              <w:tl2br w:val="nil"/>
              <w:tr2bl w:val="nil"/>
            </w:tcBorders>
            <w:noWrap w:val="0"/>
            <w:vAlign w:val="center"/>
          </w:tcPr>
          <w:p w14:paraId="130786C8">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A2.2-2〕实施重点行业氮氧化物等污染物深度治理。持续推进钢铁、水泥、焦化行业超低排放改造。推进玻璃、陶瓷、铸造、铁合金、有色、煤化和石化等行业采取清洁生产、提标改造、深度治理等综合措施。加强自备燃煤机组污染治理设施运行管控，确保按照超低排放标准运行。针对铸造、铁合金、焦化、水泥、砖瓦、石灰、耐火材料、金属冶炼以及煤化工、石油化工等行业，严格控制物料储存、输送及生产工艺过程无组织排放。重点涉气排放企业逐步取消烟气旁路，因安全生产无法取消的，安装在线监控系统。</w:t>
            </w:r>
          </w:p>
        </w:tc>
        <w:tc>
          <w:tcPr>
            <w:tcW w:w="646" w:type="pct"/>
            <w:tcBorders>
              <w:tl2br w:val="nil"/>
              <w:tr2bl w:val="nil"/>
            </w:tcBorders>
            <w:noWrap w:val="0"/>
            <w:vAlign w:val="center"/>
          </w:tcPr>
          <w:p w14:paraId="191D4D1E">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kern w:val="2"/>
                <w:sz w:val="21"/>
                <w:szCs w:val="21"/>
              </w:rPr>
            </w:pPr>
            <w:r>
              <w:rPr>
                <w:rFonts w:hint="eastAsia" w:ascii="宋体" w:hAnsi="宋体" w:eastAsia="宋体" w:cs="宋体"/>
                <w:color w:val="000000"/>
                <w:sz w:val="21"/>
                <w:szCs w:val="21"/>
                <w:lang w:val="en-US" w:eastAsia="zh-CN"/>
              </w:rPr>
              <w:t>不涉及</w:t>
            </w:r>
          </w:p>
        </w:tc>
        <w:tc>
          <w:tcPr>
            <w:tcW w:w="518" w:type="pct"/>
            <w:tcBorders>
              <w:tl2br w:val="nil"/>
              <w:tr2bl w:val="nil"/>
            </w:tcBorders>
            <w:noWrap w:val="0"/>
            <w:vAlign w:val="center"/>
          </w:tcPr>
          <w:p w14:paraId="0989F7AC">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符合</w:t>
            </w:r>
          </w:p>
        </w:tc>
      </w:tr>
      <w:tr w14:paraId="204CBA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7" w:type="pct"/>
            <w:vMerge w:val="continue"/>
            <w:tcBorders>
              <w:tl2br w:val="nil"/>
              <w:tr2bl w:val="nil"/>
            </w:tcBorders>
            <w:noWrap w:val="0"/>
            <w:vAlign w:val="center"/>
          </w:tcPr>
          <w:p w14:paraId="09B4AB3E">
            <w:pPr>
              <w:keepNext w:val="0"/>
              <w:keepLines w:val="0"/>
              <w:pageBreakBefore w:val="0"/>
              <w:widowControl/>
              <w:kinsoku/>
              <w:wordWrap/>
              <w:overflowPunct/>
              <w:topLinePunct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sz w:val="21"/>
                <w:szCs w:val="21"/>
              </w:rPr>
            </w:pPr>
          </w:p>
        </w:tc>
        <w:tc>
          <w:tcPr>
            <w:tcW w:w="598" w:type="pct"/>
            <w:vMerge w:val="continue"/>
            <w:tcBorders>
              <w:tl2br w:val="nil"/>
              <w:tr2bl w:val="nil"/>
            </w:tcBorders>
            <w:noWrap w:val="0"/>
            <w:vAlign w:val="center"/>
          </w:tcPr>
          <w:p w14:paraId="2AD45206">
            <w:pPr>
              <w:keepNext w:val="0"/>
              <w:keepLines w:val="0"/>
              <w:pageBreakBefore w:val="0"/>
              <w:widowControl/>
              <w:kinsoku/>
              <w:wordWrap/>
              <w:overflowPunct/>
              <w:topLinePunct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sz w:val="21"/>
                <w:szCs w:val="21"/>
              </w:rPr>
            </w:pPr>
          </w:p>
        </w:tc>
        <w:tc>
          <w:tcPr>
            <w:tcW w:w="2738" w:type="pct"/>
            <w:tcBorders>
              <w:tl2br w:val="nil"/>
              <w:tr2bl w:val="nil"/>
            </w:tcBorders>
            <w:noWrap w:val="0"/>
            <w:vAlign w:val="center"/>
          </w:tcPr>
          <w:p w14:paraId="4B3680F5">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A2.2-3〕强化重点区域大气污染联防联控，合理确定产业布局，推动区域内统一产业准入和排放标准。实施水泥行业错峰生产，推进散煤整治、挥发性有机污染物综合治理、钢铁、水泥、焦化和燃煤工业锅炉行业超低排放改造、燃气锅炉低氮燃烧改造、工业园区内轨道运输（大宗货物“公转铁”）、柴油货车治理、锅炉炉窑综合治理等工程项目。全面推行绿色施工，持续推动城市建成区重污染企业搬迁或关闭退出。</w:t>
            </w:r>
          </w:p>
        </w:tc>
        <w:tc>
          <w:tcPr>
            <w:tcW w:w="646" w:type="pct"/>
            <w:tcBorders>
              <w:tl2br w:val="nil"/>
              <w:tr2bl w:val="nil"/>
            </w:tcBorders>
            <w:noWrap w:val="0"/>
            <w:vAlign w:val="center"/>
          </w:tcPr>
          <w:p w14:paraId="448C062F">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kern w:val="2"/>
                <w:sz w:val="21"/>
                <w:szCs w:val="21"/>
              </w:rPr>
            </w:pPr>
            <w:r>
              <w:rPr>
                <w:rFonts w:hint="eastAsia" w:ascii="宋体" w:hAnsi="宋体" w:eastAsia="宋体" w:cs="宋体"/>
                <w:color w:val="000000"/>
                <w:sz w:val="21"/>
                <w:szCs w:val="21"/>
                <w:lang w:val="en-US" w:eastAsia="zh-CN"/>
              </w:rPr>
              <w:t>不涉及</w:t>
            </w:r>
          </w:p>
        </w:tc>
        <w:tc>
          <w:tcPr>
            <w:tcW w:w="518" w:type="pct"/>
            <w:tcBorders>
              <w:tl2br w:val="nil"/>
              <w:tr2bl w:val="nil"/>
            </w:tcBorders>
            <w:noWrap w:val="0"/>
            <w:vAlign w:val="center"/>
          </w:tcPr>
          <w:p w14:paraId="29969096">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符合</w:t>
            </w:r>
          </w:p>
        </w:tc>
      </w:tr>
      <w:tr w14:paraId="68C1E8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7" w:type="pct"/>
            <w:vMerge w:val="continue"/>
            <w:tcBorders>
              <w:tl2br w:val="nil"/>
              <w:tr2bl w:val="nil"/>
            </w:tcBorders>
            <w:noWrap w:val="0"/>
            <w:vAlign w:val="center"/>
          </w:tcPr>
          <w:p w14:paraId="38928C64">
            <w:pPr>
              <w:keepNext w:val="0"/>
              <w:keepLines w:val="0"/>
              <w:pageBreakBefore w:val="0"/>
              <w:widowControl/>
              <w:kinsoku/>
              <w:wordWrap/>
              <w:overflowPunct/>
              <w:topLinePunct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sz w:val="21"/>
                <w:szCs w:val="21"/>
              </w:rPr>
            </w:pPr>
          </w:p>
        </w:tc>
        <w:tc>
          <w:tcPr>
            <w:tcW w:w="598" w:type="pct"/>
            <w:vMerge w:val="continue"/>
            <w:tcBorders>
              <w:tl2br w:val="nil"/>
              <w:tr2bl w:val="nil"/>
            </w:tcBorders>
            <w:noWrap w:val="0"/>
            <w:vAlign w:val="center"/>
          </w:tcPr>
          <w:p w14:paraId="122D8143">
            <w:pPr>
              <w:keepNext w:val="0"/>
              <w:keepLines w:val="0"/>
              <w:pageBreakBefore w:val="0"/>
              <w:widowControl/>
              <w:kinsoku/>
              <w:wordWrap/>
              <w:overflowPunct/>
              <w:topLinePunct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sz w:val="21"/>
                <w:szCs w:val="21"/>
              </w:rPr>
            </w:pPr>
          </w:p>
        </w:tc>
        <w:tc>
          <w:tcPr>
            <w:tcW w:w="2738" w:type="pct"/>
            <w:tcBorders>
              <w:tl2br w:val="nil"/>
              <w:tr2bl w:val="nil"/>
            </w:tcBorders>
            <w:noWrap w:val="0"/>
            <w:vAlign w:val="center"/>
          </w:tcPr>
          <w:p w14:paraId="155DF240">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〔A2.2-4〕强化用水定额管理。推进地下水超采综合治理。开展河湖生态流量（水量）确定工作，强化生态用水保障。</w:t>
            </w:r>
          </w:p>
        </w:tc>
        <w:tc>
          <w:tcPr>
            <w:tcW w:w="646" w:type="pct"/>
            <w:tcBorders>
              <w:tl2br w:val="nil"/>
              <w:tr2bl w:val="nil"/>
            </w:tcBorders>
            <w:noWrap w:val="0"/>
            <w:vAlign w:val="center"/>
          </w:tcPr>
          <w:p w14:paraId="6C27BFB9">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jc w:val="both"/>
              <w:textAlignment w:val="auto"/>
              <w:rPr>
                <w:rFonts w:hint="eastAsia" w:ascii="宋体" w:hAnsi="宋体" w:eastAsia="宋体" w:cs="宋体"/>
                <w:color w:val="000000"/>
                <w:kern w:val="2"/>
                <w:sz w:val="21"/>
                <w:szCs w:val="21"/>
              </w:rPr>
            </w:pPr>
            <w:r>
              <w:rPr>
                <w:rFonts w:hint="eastAsia" w:ascii="宋体" w:hAnsi="宋体" w:eastAsia="宋体" w:cs="宋体"/>
                <w:color w:val="000000"/>
                <w:sz w:val="21"/>
                <w:szCs w:val="21"/>
                <w:lang w:val="en-US" w:eastAsia="zh-CN"/>
              </w:rPr>
              <w:t>不涉及</w:t>
            </w:r>
          </w:p>
        </w:tc>
        <w:tc>
          <w:tcPr>
            <w:tcW w:w="518" w:type="pct"/>
            <w:tcBorders>
              <w:tl2br w:val="nil"/>
              <w:tr2bl w:val="nil"/>
            </w:tcBorders>
            <w:noWrap w:val="0"/>
            <w:vAlign w:val="center"/>
          </w:tcPr>
          <w:p w14:paraId="68B73BD5">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符合</w:t>
            </w:r>
          </w:p>
        </w:tc>
      </w:tr>
      <w:tr w14:paraId="6278DD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7" w:type="pct"/>
            <w:vMerge w:val="continue"/>
            <w:tcBorders>
              <w:tl2br w:val="nil"/>
              <w:tr2bl w:val="nil"/>
            </w:tcBorders>
            <w:noWrap w:val="0"/>
            <w:vAlign w:val="center"/>
          </w:tcPr>
          <w:p w14:paraId="51EB293B">
            <w:pPr>
              <w:keepNext w:val="0"/>
              <w:keepLines w:val="0"/>
              <w:pageBreakBefore w:val="0"/>
              <w:widowControl/>
              <w:kinsoku/>
              <w:wordWrap/>
              <w:overflowPunct/>
              <w:topLinePunct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sz w:val="21"/>
                <w:szCs w:val="21"/>
              </w:rPr>
            </w:pPr>
          </w:p>
        </w:tc>
        <w:tc>
          <w:tcPr>
            <w:tcW w:w="598" w:type="pct"/>
            <w:vMerge w:val="continue"/>
            <w:tcBorders>
              <w:tl2br w:val="nil"/>
              <w:tr2bl w:val="nil"/>
            </w:tcBorders>
            <w:noWrap w:val="0"/>
            <w:vAlign w:val="center"/>
          </w:tcPr>
          <w:p w14:paraId="77FF4146">
            <w:pPr>
              <w:keepNext w:val="0"/>
              <w:keepLines w:val="0"/>
              <w:pageBreakBefore w:val="0"/>
              <w:widowControl/>
              <w:kinsoku/>
              <w:wordWrap/>
              <w:overflowPunct/>
              <w:topLinePunct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sz w:val="21"/>
                <w:szCs w:val="21"/>
              </w:rPr>
            </w:pPr>
          </w:p>
        </w:tc>
        <w:tc>
          <w:tcPr>
            <w:tcW w:w="2738" w:type="pct"/>
            <w:tcBorders>
              <w:tl2br w:val="nil"/>
              <w:tr2bl w:val="nil"/>
            </w:tcBorders>
            <w:noWrap w:val="0"/>
            <w:vAlign w:val="center"/>
          </w:tcPr>
          <w:p w14:paraId="21F77EC7">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A2.2-5〕持续推进伊犁河、额尔齐斯河、额敏河、玛纳斯河、乌伦古湖、博斯腾湖等流域生态治理，加强生态修复。推动重点行业、重点企业绿色发展，严格落实水污染物排放标准。加强农副食品加工、化工、印染、棉浆粕、粘胶纤维等企业综合治理和清洁化改造。</w:t>
            </w:r>
          </w:p>
        </w:tc>
        <w:tc>
          <w:tcPr>
            <w:tcW w:w="646" w:type="pct"/>
            <w:tcBorders>
              <w:tl2br w:val="nil"/>
              <w:tr2bl w:val="nil"/>
            </w:tcBorders>
            <w:noWrap w:val="0"/>
            <w:vAlign w:val="center"/>
          </w:tcPr>
          <w:p w14:paraId="0BCFAB3E">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jc w:val="both"/>
              <w:textAlignment w:val="auto"/>
              <w:rPr>
                <w:rFonts w:hint="eastAsia" w:ascii="宋体" w:hAnsi="宋体" w:eastAsia="宋体" w:cs="宋体"/>
                <w:color w:val="000000"/>
                <w:kern w:val="2"/>
                <w:sz w:val="21"/>
                <w:szCs w:val="21"/>
              </w:rPr>
            </w:pPr>
            <w:r>
              <w:rPr>
                <w:rFonts w:hint="eastAsia" w:ascii="宋体" w:hAnsi="宋体" w:eastAsia="宋体" w:cs="宋体"/>
                <w:color w:val="000000"/>
                <w:sz w:val="21"/>
                <w:szCs w:val="21"/>
                <w:lang w:val="en-US" w:eastAsia="zh-CN"/>
              </w:rPr>
              <w:t>不涉及</w:t>
            </w:r>
          </w:p>
        </w:tc>
        <w:tc>
          <w:tcPr>
            <w:tcW w:w="518" w:type="pct"/>
            <w:tcBorders>
              <w:tl2br w:val="nil"/>
              <w:tr2bl w:val="nil"/>
            </w:tcBorders>
            <w:noWrap w:val="0"/>
            <w:vAlign w:val="center"/>
          </w:tcPr>
          <w:p w14:paraId="55BCD9BC">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符合</w:t>
            </w:r>
          </w:p>
        </w:tc>
      </w:tr>
      <w:tr w14:paraId="489931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7" w:type="pct"/>
            <w:vMerge w:val="continue"/>
            <w:tcBorders>
              <w:tl2br w:val="nil"/>
              <w:tr2bl w:val="nil"/>
            </w:tcBorders>
            <w:noWrap w:val="0"/>
            <w:vAlign w:val="center"/>
          </w:tcPr>
          <w:p w14:paraId="1631DD8B">
            <w:pPr>
              <w:keepNext w:val="0"/>
              <w:keepLines w:val="0"/>
              <w:pageBreakBefore w:val="0"/>
              <w:widowControl/>
              <w:kinsoku/>
              <w:wordWrap/>
              <w:overflowPunct/>
              <w:topLinePunct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sz w:val="21"/>
                <w:szCs w:val="21"/>
              </w:rPr>
            </w:pPr>
          </w:p>
        </w:tc>
        <w:tc>
          <w:tcPr>
            <w:tcW w:w="598" w:type="pct"/>
            <w:vMerge w:val="continue"/>
            <w:tcBorders>
              <w:tl2br w:val="nil"/>
              <w:tr2bl w:val="nil"/>
            </w:tcBorders>
            <w:noWrap w:val="0"/>
            <w:vAlign w:val="center"/>
          </w:tcPr>
          <w:p w14:paraId="1E99DFB2">
            <w:pPr>
              <w:keepNext w:val="0"/>
              <w:keepLines w:val="0"/>
              <w:pageBreakBefore w:val="0"/>
              <w:widowControl/>
              <w:kinsoku/>
              <w:wordWrap/>
              <w:overflowPunct/>
              <w:topLinePunct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sz w:val="21"/>
                <w:szCs w:val="21"/>
              </w:rPr>
            </w:pPr>
          </w:p>
        </w:tc>
        <w:tc>
          <w:tcPr>
            <w:tcW w:w="2738" w:type="pct"/>
            <w:tcBorders>
              <w:tl2br w:val="nil"/>
              <w:tr2bl w:val="nil"/>
            </w:tcBorders>
            <w:noWrap w:val="0"/>
            <w:vAlign w:val="center"/>
          </w:tcPr>
          <w:p w14:paraId="4451FF9A">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A2.2-6〕推进地表水与地下水协同防治。以傍河型地下水饮用水水源为重点，防范受污染河段侧渗和垂直补给对地下水污染。加强化学品生产企业、工业聚集区、矿山开采区等污染源的地表、地下协同防治与环境风险管控。加强工业污染防治。推动重点行业、重点企业绿色发展，严格落实水污染物排放标准和排污许可制度。加强农副食品加工、化工、印染、棉浆粕、粘胶纤维、制糖等企业综合治理和清洁化改造。支持企业积极实施节水技术改造，加强工业园区污水集中处理设施运行管理，加快再生水回用设施建设，提升园区水资源循环利用水平。</w:t>
            </w:r>
          </w:p>
        </w:tc>
        <w:tc>
          <w:tcPr>
            <w:tcW w:w="646" w:type="pct"/>
            <w:tcBorders>
              <w:tl2br w:val="nil"/>
              <w:tr2bl w:val="nil"/>
            </w:tcBorders>
            <w:noWrap w:val="0"/>
            <w:vAlign w:val="center"/>
          </w:tcPr>
          <w:p w14:paraId="7D70D7FB">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kern w:val="2"/>
                <w:sz w:val="21"/>
                <w:szCs w:val="21"/>
              </w:rPr>
            </w:pPr>
            <w:r>
              <w:rPr>
                <w:rFonts w:hint="eastAsia" w:ascii="宋体" w:hAnsi="宋体" w:eastAsia="宋体" w:cs="宋体"/>
                <w:color w:val="000000"/>
                <w:sz w:val="21"/>
                <w:szCs w:val="21"/>
                <w:lang w:val="en-US" w:eastAsia="zh-CN"/>
              </w:rPr>
              <w:t>不涉及</w:t>
            </w:r>
          </w:p>
        </w:tc>
        <w:tc>
          <w:tcPr>
            <w:tcW w:w="518" w:type="pct"/>
            <w:tcBorders>
              <w:tl2br w:val="nil"/>
              <w:tr2bl w:val="nil"/>
            </w:tcBorders>
            <w:noWrap w:val="0"/>
            <w:vAlign w:val="center"/>
          </w:tcPr>
          <w:p w14:paraId="7097E43E">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符合</w:t>
            </w:r>
          </w:p>
        </w:tc>
      </w:tr>
      <w:tr w14:paraId="2AADE5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7" w:type="pct"/>
            <w:vMerge w:val="continue"/>
            <w:tcBorders>
              <w:tl2br w:val="nil"/>
              <w:tr2bl w:val="nil"/>
            </w:tcBorders>
            <w:noWrap w:val="0"/>
            <w:vAlign w:val="center"/>
          </w:tcPr>
          <w:p w14:paraId="64643182">
            <w:pPr>
              <w:keepNext w:val="0"/>
              <w:keepLines w:val="0"/>
              <w:pageBreakBefore w:val="0"/>
              <w:widowControl/>
              <w:kinsoku/>
              <w:wordWrap/>
              <w:overflowPunct/>
              <w:topLinePunct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sz w:val="21"/>
                <w:szCs w:val="21"/>
              </w:rPr>
            </w:pPr>
          </w:p>
        </w:tc>
        <w:tc>
          <w:tcPr>
            <w:tcW w:w="598" w:type="pct"/>
            <w:vMerge w:val="continue"/>
            <w:tcBorders>
              <w:tl2br w:val="nil"/>
              <w:tr2bl w:val="nil"/>
            </w:tcBorders>
            <w:noWrap w:val="0"/>
            <w:vAlign w:val="center"/>
          </w:tcPr>
          <w:p w14:paraId="231D0283">
            <w:pPr>
              <w:keepNext w:val="0"/>
              <w:keepLines w:val="0"/>
              <w:pageBreakBefore w:val="0"/>
              <w:widowControl/>
              <w:kinsoku/>
              <w:wordWrap/>
              <w:overflowPunct/>
              <w:topLinePunct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sz w:val="21"/>
                <w:szCs w:val="21"/>
              </w:rPr>
            </w:pPr>
          </w:p>
        </w:tc>
        <w:tc>
          <w:tcPr>
            <w:tcW w:w="2738" w:type="pct"/>
            <w:tcBorders>
              <w:tl2br w:val="nil"/>
              <w:tr2bl w:val="nil"/>
            </w:tcBorders>
            <w:noWrap w:val="0"/>
            <w:vAlign w:val="center"/>
          </w:tcPr>
          <w:p w14:paraId="2CDA3A75">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A2.2-7〕强化重点区域地下水环境风险管控，对化学品生产企业、工业集聚区、尾矿库、矿山开采区、危险废物处置场、垃圾填埋场等地下水污染源及周边区域，逐步开展地下水环境状况调查评估，加强风险管控。</w:t>
            </w:r>
          </w:p>
        </w:tc>
        <w:tc>
          <w:tcPr>
            <w:tcW w:w="646" w:type="pct"/>
            <w:tcBorders>
              <w:tl2br w:val="nil"/>
              <w:tr2bl w:val="nil"/>
            </w:tcBorders>
            <w:noWrap w:val="0"/>
            <w:vAlign w:val="center"/>
          </w:tcPr>
          <w:p w14:paraId="1B4C3590">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jc w:val="both"/>
              <w:textAlignment w:val="auto"/>
              <w:rPr>
                <w:rFonts w:hint="eastAsia" w:ascii="宋体" w:hAnsi="宋体" w:eastAsia="宋体" w:cs="宋体"/>
                <w:color w:val="000000"/>
                <w:kern w:val="2"/>
                <w:sz w:val="21"/>
                <w:szCs w:val="21"/>
              </w:rPr>
            </w:pPr>
            <w:r>
              <w:rPr>
                <w:rFonts w:hint="eastAsia" w:ascii="宋体" w:hAnsi="宋体" w:eastAsia="宋体" w:cs="宋体"/>
                <w:color w:val="000000"/>
                <w:sz w:val="21"/>
                <w:szCs w:val="21"/>
                <w:lang w:val="en-US" w:eastAsia="zh-CN"/>
              </w:rPr>
              <w:t>不涉及</w:t>
            </w:r>
          </w:p>
        </w:tc>
        <w:tc>
          <w:tcPr>
            <w:tcW w:w="518" w:type="pct"/>
            <w:tcBorders>
              <w:tl2br w:val="nil"/>
              <w:tr2bl w:val="nil"/>
            </w:tcBorders>
            <w:noWrap w:val="0"/>
            <w:vAlign w:val="center"/>
          </w:tcPr>
          <w:p w14:paraId="3D4C9A01">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符合</w:t>
            </w:r>
          </w:p>
        </w:tc>
      </w:tr>
      <w:tr w14:paraId="6C9823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7" w:type="pct"/>
            <w:vMerge w:val="continue"/>
            <w:tcBorders>
              <w:tl2br w:val="nil"/>
              <w:tr2bl w:val="nil"/>
            </w:tcBorders>
            <w:noWrap w:val="0"/>
            <w:vAlign w:val="center"/>
          </w:tcPr>
          <w:p w14:paraId="097BB3EC">
            <w:pPr>
              <w:keepNext w:val="0"/>
              <w:keepLines w:val="0"/>
              <w:pageBreakBefore w:val="0"/>
              <w:widowControl/>
              <w:kinsoku/>
              <w:wordWrap/>
              <w:overflowPunct/>
              <w:topLinePunct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sz w:val="21"/>
                <w:szCs w:val="21"/>
              </w:rPr>
            </w:pPr>
          </w:p>
        </w:tc>
        <w:tc>
          <w:tcPr>
            <w:tcW w:w="598" w:type="pct"/>
            <w:vMerge w:val="continue"/>
            <w:tcBorders>
              <w:tl2br w:val="nil"/>
              <w:tr2bl w:val="nil"/>
            </w:tcBorders>
            <w:noWrap w:val="0"/>
            <w:vAlign w:val="center"/>
          </w:tcPr>
          <w:p w14:paraId="56CF07ED">
            <w:pPr>
              <w:keepNext w:val="0"/>
              <w:keepLines w:val="0"/>
              <w:pageBreakBefore w:val="0"/>
              <w:widowControl/>
              <w:kinsoku/>
              <w:wordWrap/>
              <w:overflowPunct/>
              <w:topLinePunct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sz w:val="21"/>
                <w:szCs w:val="21"/>
              </w:rPr>
            </w:pPr>
          </w:p>
        </w:tc>
        <w:tc>
          <w:tcPr>
            <w:tcW w:w="2738" w:type="pct"/>
            <w:tcBorders>
              <w:tl2br w:val="nil"/>
              <w:tr2bl w:val="nil"/>
            </w:tcBorders>
            <w:noWrap w:val="0"/>
            <w:vAlign w:val="center"/>
          </w:tcPr>
          <w:p w14:paraId="358EEF8A">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〔A2.2-8〕严控土壤重金属污染，加强油（气）田开发土壤污染防治，以历史遗留工业企业污染场地为重点，开展土壤污染风险管控与修复工程。</w:t>
            </w:r>
          </w:p>
        </w:tc>
        <w:tc>
          <w:tcPr>
            <w:tcW w:w="646" w:type="pct"/>
            <w:tcBorders>
              <w:tl2br w:val="nil"/>
              <w:tr2bl w:val="nil"/>
            </w:tcBorders>
            <w:noWrap w:val="0"/>
            <w:vAlign w:val="center"/>
          </w:tcPr>
          <w:p w14:paraId="297DB83D">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jc w:val="both"/>
              <w:textAlignment w:val="auto"/>
              <w:rPr>
                <w:rFonts w:hint="eastAsia" w:ascii="宋体" w:hAnsi="宋体" w:eastAsia="宋体" w:cs="宋体"/>
                <w:color w:val="000000"/>
                <w:kern w:val="2"/>
                <w:sz w:val="21"/>
                <w:szCs w:val="21"/>
              </w:rPr>
            </w:pPr>
            <w:r>
              <w:rPr>
                <w:rFonts w:hint="eastAsia" w:ascii="宋体" w:hAnsi="宋体" w:eastAsia="宋体" w:cs="宋体"/>
                <w:color w:val="000000"/>
                <w:sz w:val="21"/>
                <w:szCs w:val="21"/>
                <w:lang w:val="en-US" w:eastAsia="zh-CN"/>
              </w:rPr>
              <w:t>不涉及</w:t>
            </w:r>
          </w:p>
        </w:tc>
        <w:tc>
          <w:tcPr>
            <w:tcW w:w="518" w:type="pct"/>
            <w:tcBorders>
              <w:tl2br w:val="nil"/>
              <w:tr2bl w:val="nil"/>
            </w:tcBorders>
            <w:noWrap w:val="0"/>
            <w:vAlign w:val="center"/>
          </w:tcPr>
          <w:p w14:paraId="34984117">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符合</w:t>
            </w:r>
          </w:p>
        </w:tc>
      </w:tr>
      <w:tr w14:paraId="55BFAB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7" w:type="pct"/>
            <w:vMerge w:val="continue"/>
            <w:tcBorders>
              <w:tl2br w:val="nil"/>
              <w:tr2bl w:val="nil"/>
            </w:tcBorders>
            <w:noWrap w:val="0"/>
            <w:vAlign w:val="center"/>
          </w:tcPr>
          <w:p w14:paraId="7102578A">
            <w:pPr>
              <w:keepNext w:val="0"/>
              <w:keepLines w:val="0"/>
              <w:pageBreakBefore w:val="0"/>
              <w:widowControl/>
              <w:kinsoku/>
              <w:wordWrap/>
              <w:overflowPunct/>
              <w:topLinePunct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sz w:val="21"/>
                <w:szCs w:val="21"/>
              </w:rPr>
            </w:pPr>
          </w:p>
        </w:tc>
        <w:tc>
          <w:tcPr>
            <w:tcW w:w="598" w:type="pct"/>
            <w:vMerge w:val="continue"/>
            <w:tcBorders>
              <w:tl2br w:val="nil"/>
              <w:tr2bl w:val="nil"/>
            </w:tcBorders>
            <w:noWrap w:val="0"/>
            <w:vAlign w:val="center"/>
          </w:tcPr>
          <w:p w14:paraId="73E4668A">
            <w:pPr>
              <w:keepNext w:val="0"/>
              <w:keepLines w:val="0"/>
              <w:pageBreakBefore w:val="0"/>
              <w:widowControl/>
              <w:kinsoku/>
              <w:wordWrap/>
              <w:overflowPunct/>
              <w:topLinePunct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sz w:val="21"/>
                <w:szCs w:val="21"/>
              </w:rPr>
            </w:pPr>
          </w:p>
        </w:tc>
        <w:tc>
          <w:tcPr>
            <w:tcW w:w="2738" w:type="pct"/>
            <w:tcBorders>
              <w:tl2br w:val="nil"/>
              <w:tr2bl w:val="nil"/>
            </w:tcBorders>
            <w:noWrap w:val="0"/>
            <w:vAlign w:val="center"/>
          </w:tcPr>
          <w:p w14:paraId="73A5F916">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A2.2-9〕加强种植业污染防治。深入推进化肥农药减量增效，全面推广测土配方施肥，引导推动有机肥、绿肥替代化肥，集成推广化肥减量增效技术模式，加强农药包装废弃物管理。实施农膜回收行动，健全农田废旧地膜回收利用体系，提高废旧地膜回收率。推进农作物秸秆综合利用，不断完善秸秆收储运用体系，形成布局合理、多元利用的秸秆综合利用格局。</w:t>
            </w:r>
          </w:p>
        </w:tc>
        <w:tc>
          <w:tcPr>
            <w:tcW w:w="646" w:type="pct"/>
            <w:tcBorders>
              <w:tl2br w:val="nil"/>
              <w:tr2bl w:val="nil"/>
            </w:tcBorders>
            <w:noWrap w:val="0"/>
            <w:vAlign w:val="center"/>
          </w:tcPr>
          <w:p w14:paraId="4B4810BB">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jc w:val="both"/>
              <w:textAlignment w:val="auto"/>
              <w:rPr>
                <w:rFonts w:hint="eastAsia" w:ascii="宋体" w:hAnsi="宋体" w:eastAsia="宋体" w:cs="宋体"/>
                <w:color w:val="000000"/>
                <w:kern w:val="2"/>
                <w:sz w:val="21"/>
                <w:szCs w:val="21"/>
              </w:rPr>
            </w:pPr>
            <w:r>
              <w:rPr>
                <w:rFonts w:hint="eastAsia" w:ascii="宋体" w:hAnsi="宋体" w:eastAsia="宋体" w:cs="宋体"/>
                <w:color w:val="000000"/>
                <w:sz w:val="21"/>
                <w:szCs w:val="21"/>
                <w:lang w:val="en-US" w:eastAsia="zh-CN"/>
              </w:rPr>
              <w:t>不涉及</w:t>
            </w:r>
          </w:p>
        </w:tc>
        <w:tc>
          <w:tcPr>
            <w:tcW w:w="518" w:type="pct"/>
            <w:tcBorders>
              <w:tl2br w:val="nil"/>
              <w:tr2bl w:val="nil"/>
            </w:tcBorders>
            <w:noWrap w:val="0"/>
            <w:vAlign w:val="center"/>
          </w:tcPr>
          <w:p w14:paraId="36EA5E69">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符合</w:t>
            </w:r>
          </w:p>
        </w:tc>
      </w:tr>
      <w:tr w14:paraId="39A99C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7" w:type="pct"/>
            <w:vMerge w:val="restart"/>
            <w:tcBorders>
              <w:tl2br w:val="nil"/>
              <w:tr2bl w:val="nil"/>
            </w:tcBorders>
            <w:noWrap w:val="0"/>
            <w:vAlign w:val="center"/>
          </w:tcPr>
          <w:p w14:paraId="5E877B21">
            <w:pPr>
              <w:keepNext w:val="0"/>
              <w:keepLines w:val="0"/>
              <w:pageBreakBefore w:val="0"/>
              <w:widowControl/>
              <w:kinsoku/>
              <w:wordWrap/>
              <w:overflowPunct/>
              <w:topLinePunct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A3环境风险防控</w:t>
            </w:r>
          </w:p>
        </w:tc>
        <w:tc>
          <w:tcPr>
            <w:tcW w:w="598" w:type="pct"/>
            <w:tcBorders>
              <w:tl2br w:val="nil"/>
              <w:tr2bl w:val="nil"/>
            </w:tcBorders>
            <w:noWrap w:val="0"/>
            <w:vAlign w:val="center"/>
          </w:tcPr>
          <w:p w14:paraId="5536B816">
            <w:pPr>
              <w:keepNext w:val="0"/>
              <w:keepLines w:val="0"/>
              <w:pageBreakBefore w:val="0"/>
              <w:widowControl/>
              <w:kinsoku/>
              <w:wordWrap/>
              <w:overflowPunct/>
              <w:topLinePunct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A3.1人居环境要求</w:t>
            </w:r>
          </w:p>
        </w:tc>
        <w:tc>
          <w:tcPr>
            <w:tcW w:w="2738" w:type="pct"/>
            <w:tcBorders>
              <w:tl2br w:val="nil"/>
              <w:tr2bl w:val="nil"/>
            </w:tcBorders>
            <w:noWrap w:val="0"/>
            <w:vAlign w:val="center"/>
          </w:tcPr>
          <w:p w14:paraId="311C26C0">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〔A3.1-1〕建立和完善重污染天气兵地联合应急预案、预报预警应急机制和会商联动机制。“乌-昌-石”区域内可能影响相邻行政区域大气环境的项目，兵地间、城市间必须相互征求意见。</w:t>
            </w:r>
          </w:p>
        </w:tc>
        <w:tc>
          <w:tcPr>
            <w:tcW w:w="646" w:type="pct"/>
            <w:tcBorders>
              <w:tl2br w:val="nil"/>
              <w:tr2bl w:val="nil"/>
            </w:tcBorders>
            <w:noWrap w:val="0"/>
            <w:vAlign w:val="center"/>
          </w:tcPr>
          <w:p w14:paraId="20591A19">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不涉及</w:t>
            </w:r>
          </w:p>
        </w:tc>
        <w:tc>
          <w:tcPr>
            <w:tcW w:w="518" w:type="pct"/>
            <w:tcBorders>
              <w:tl2br w:val="nil"/>
              <w:tr2bl w:val="nil"/>
            </w:tcBorders>
            <w:noWrap w:val="0"/>
            <w:vAlign w:val="center"/>
          </w:tcPr>
          <w:p w14:paraId="5BA58069">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符合</w:t>
            </w:r>
          </w:p>
        </w:tc>
      </w:tr>
      <w:tr w14:paraId="5547CE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7" w:type="pct"/>
            <w:vMerge w:val="continue"/>
            <w:tcBorders>
              <w:tl2br w:val="nil"/>
              <w:tr2bl w:val="nil"/>
            </w:tcBorders>
            <w:noWrap w:val="0"/>
            <w:vAlign w:val="center"/>
          </w:tcPr>
          <w:p w14:paraId="25937D9F">
            <w:pPr>
              <w:keepNext w:val="0"/>
              <w:keepLines w:val="0"/>
              <w:pageBreakBefore w:val="0"/>
              <w:widowControl/>
              <w:kinsoku/>
              <w:wordWrap/>
              <w:overflowPunct/>
              <w:topLinePunct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sz w:val="21"/>
                <w:szCs w:val="21"/>
              </w:rPr>
            </w:pPr>
          </w:p>
        </w:tc>
        <w:tc>
          <w:tcPr>
            <w:tcW w:w="598" w:type="pct"/>
            <w:vMerge w:val="restart"/>
            <w:tcBorders>
              <w:tl2br w:val="nil"/>
              <w:tr2bl w:val="nil"/>
            </w:tcBorders>
            <w:noWrap w:val="0"/>
            <w:vAlign w:val="center"/>
          </w:tcPr>
          <w:p w14:paraId="50B5591C">
            <w:pPr>
              <w:keepNext w:val="0"/>
              <w:keepLines w:val="0"/>
              <w:pageBreakBefore w:val="0"/>
              <w:widowControl/>
              <w:kinsoku/>
              <w:wordWrap/>
              <w:overflowPunct/>
              <w:topLinePunct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A3.2联防联控要求</w:t>
            </w:r>
          </w:p>
        </w:tc>
        <w:tc>
          <w:tcPr>
            <w:tcW w:w="2738" w:type="pct"/>
            <w:tcBorders>
              <w:tl2br w:val="nil"/>
              <w:tr2bl w:val="nil"/>
            </w:tcBorders>
            <w:noWrap w:val="0"/>
            <w:vAlign w:val="center"/>
          </w:tcPr>
          <w:p w14:paraId="34241A02">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A3.2-1〕提升饮用水安全保障水平。以县级及以上集中式饮用水水源地为重点，推进饮用水水源保护区规范化建设，统筹推进备用水源或应急水源建设。单一水源供水的重点城市于2025年底前基本完成备用水源或应急水源建设，有条件的地区开展兵地互为备用水源建设。梯次推进农村集中式饮用水水源保护区划定，到2025年，完成乡镇级集中式饮用水水源保护区划定与勘界立标。开展“千吨万人”农村饮用水水源保护区环境风险排查整治，加强农村水源水质监测，依法清理饮用水水源保护区内违法建筑和排污口，实施从水源到水龙头全过程监管。强化饮用水水源保护区环境应急管理，完善重大突发环境事件的物资和技术储备。针对汇水区、补给区存在兵地跨界的，建立统一的饮用水水源应急和执法机制，共享应急物资。</w:t>
            </w:r>
          </w:p>
        </w:tc>
        <w:tc>
          <w:tcPr>
            <w:tcW w:w="646" w:type="pct"/>
            <w:tcBorders>
              <w:tl2br w:val="nil"/>
              <w:tr2bl w:val="nil"/>
            </w:tcBorders>
            <w:noWrap w:val="0"/>
            <w:vAlign w:val="center"/>
          </w:tcPr>
          <w:p w14:paraId="5CFFA1BD">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不涉及</w:t>
            </w:r>
          </w:p>
        </w:tc>
        <w:tc>
          <w:tcPr>
            <w:tcW w:w="518" w:type="pct"/>
            <w:tcBorders>
              <w:tl2br w:val="nil"/>
              <w:tr2bl w:val="nil"/>
            </w:tcBorders>
            <w:noWrap w:val="0"/>
            <w:vAlign w:val="center"/>
          </w:tcPr>
          <w:p w14:paraId="4E932124">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符合</w:t>
            </w:r>
          </w:p>
        </w:tc>
      </w:tr>
      <w:tr w14:paraId="4E9244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7" w:type="pct"/>
            <w:vMerge w:val="continue"/>
            <w:tcBorders>
              <w:tl2br w:val="nil"/>
              <w:tr2bl w:val="nil"/>
            </w:tcBorders>
            <w:noWrap w:val="0"/>
            <w:vAlign w:val="center"/>
          </w:tcPr>
          <w:p w14:paraId="46735776">
            <w:pPr>
              <w:keepNext w:val="0"/>
              <w:keepLines w:val="0"/>
              <w:pageBreakBefore w:val="0"/>
              <w:widowControl/>
              <w:kinsoku/>
              <w:wordWrap/>
              <w:overflowPunct/>
              <w:topLinePunct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sz w:val="21"/>
                <w:szCs w:val="21"/>
              </w:rPr>
            </w:pPr>
          </w:p>
        </w:tc>
        <w:tc>
          <w:tcPr>
            <w:tcW w:w="598" w:type="pct"/>
            <w:vMerge w:val="continue"/>
            <w:tcBorders>
              <w:tl2br w:val="nil"/>
              <w:tr2bl w:val="nil"/>
            </w:tcBorders>
            <w:noWrap w:val="0"/>
            <w:vAlign w:val="center"/>
          </w:tcPr>
          <w:p w14:paraId="6212E380">
            <w:pPr>
              <w:keepNext w:val="0"/>
              <w:keepLines w:val="0"/>
              <w:pageBreakBefore w:val="0"/>
              <w:widowControl/>
              <w:kinsoku/>
              <w:wordWrap/>
              <w:overflowPunct/>
              <w:topLinePunct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sz w:val="21"/>
                <w:szCs w:val="21"/>
              </w:rPr>
            </w:pPr>
          </w:p>
        </w:tc>
        <w:tc>
          <w:tcPr>
            <w:tcW w:w="2738" w:type="pct"/>
            <w:tcBorders>
              <w:tl2br w:val="nil"/>
              <w:tr2bl w:val="nil"/>
            </w:tcBorders>
            <w:noWrap w:val="0"/>
            <w:vAlign w:val="center"/>
          </w:tcPr>
          <w:p w14:paraId="45D10F29">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〔A3.2-2〕依法推行农用地分类管理制度，强化受污染耕地安全利用和风险管控。因地制宜制定实施安全利用方案，鼓励采取种植结构调整等措施，确保受污染耕地全部实现安全利用。</w:t>
            </w:r>
          </w:p>
        </w:tc>
        <w:tc>
          <w:tcPr>
            <w:tcW w:w="646" w:type="pct"/>
            <w:tcBorders>
              <w:tl2br w:val="nil"/>
              <w:tr2bl w:val="nil"/>
            </w:tcBorders>
            <w:noWrap w:val="0"/>
            <w:vAlign w:val="center"/>
          </w:tcPr>
          <w:p w14:paraId="1ADC6D5F">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不涉及</w:t>
            </w:r>
          </w:p>
        </w:tc>
        <w:tc>
          <w:tcPr>
            <w:tcW w:w="518" w:type="pct"/>
            <w:tcBorders>
              <w:tl2br w:val="nil"/>
              <w:tr2bl w:val="nil"/>
            </w:tcBorders>
            <w:noWrap w:val="0"/>
            <w:vAlign w:val="center"/>
          </w:tcPr>
          <w:p w14:paraId="258D7060">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符合</w:t>
            </w:r>
          </w:p>
        </w:tc>
      </w:tr>
      <w:tr w14:paraId="14A7AA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7" w:type="pct"/>
            <w:vMerge w:val="continue"/>
            <w:tcBorders>
              <w:tl2br w:val="nil"/>
              <w:tr2bl w:val="nil"/>
            </w:tcBorders>
            <w:noWrap w:val="0"/>
            <w:vAlign w:val="center"/>
          </w:tcPr>
          <w:p w14:paraId="3DB603CA">
            <w:pPr>
              <w:keepNext w:val="0"/>
              <w:keepLines w:val="0"/>
              <w:pageBreakBefore w:val="0"/>
              <w:widowControl/>
              <w:kinsoku/>
              <w:wordWrap/>
              <w:overflowPunct/>
              <w:topLinePunct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sz w:val="21"/>
                <w:szCs w:val="21"/>
              </w:rPr>
            </w:pPr>
          </w:p>
        </w:tc>
        <w:tc>
          <w:tcPr>
            <w:tcW w:w="598" w:type="pct"/>
            <w:vMerge w:val="continue"/>
            <w:tcBorders>
              <w:tl2br w:val="nil"/>
              <w:tr2bl w:val="nil"/>
            </w:tcBorders>
            <w:noWrap w:val="0"/>
            <w:vAlign w:val="center"/>
          </w:tcPr>
          <w:p w14:paraId="19730877">
            <w:pPr>
              <w:keepNext w:val="0"/>
              <w:keepLines w:val="0"/>
              <w:pageBreakBefore w:val="0"/>
              <w:widowControl/>
              <w:kinsoku/>
              <w:wordWrap/>
              <w:overflowPunct/>
              <w:topLinePunct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sz w:val="21"/>
                <w:szCs w:val="21"/>
              </w:rPr>
            </w:pPr>
          </w:p>
        </w:tc>
        <w:tc>
          <w:tcPr>
            <w:tcW w:w="2738" w:type="pct"/>
            <w:tcBorders>
              <w:tl2br w:val="nil"/>
              <w:tr2bl w:val="nil"/>
            </w:tcBorders>
            <w:noWrap w:val="0"/>
            <w:vAlign w:val="center"/>
          </w:tcPr>
          <w:p w14:paraId="4449581E">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A3.2-4〕加强环境风险预警防控。加强涉危险废物企业、涉重金属企业、化工园区、集中式饮用水水源地及重点流域环境风险调查评估，实施分类分级风险管控，协同推进重点区域、流域生态环境污染综合防治、风险防控与生态修复。</w:t>
            </w:r>
          </w:p>
        </w:tc>
        <w:tc>
          <w:tcPr>
            <w:tcW w:w="646" w:type="pct"/>
            <w:tcBorders>
              <w:tl2br w:val="nil"/>
              <w:tr2bl w:val="nil"/>
            </w:tcBorders>
            <w:noWrap w:val="0"/>
            <w:vAlign w:val="center"/>
          </w:tcPr>
          <w:p w14:paraId="0EF10E3F">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sz w:val="21"/>
                <w:szCs w:val="21"/>
              </w:rPr>
            </w:pP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本次环评要求建设单位须编制突发环境事件应急预案、备案并定期演练。</w:t>
            </w:r>
          </w:p>
        </w:tc>
        <w:tc>
          <w:tcPr>
            <w:tcW w:w="518" w:type="pct"/>
            <w:tcBorders>
              <w:tl2br w:val="nil"/>
              <w:tr2bl w:val="nil"/>
            </w:tcBorders>
            <w:noWrap w:val="0"/>
            <w:vAlign w:val="center"/>
          </w:tcPr>
          <w:p w14:paraId="6CA6F461">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符合</w:t>
            </w:r>
          </w:p>
        </w:tc>
      </w:tr>
      <w:tr w14:paraId="6C9293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7" w:type="pct"/>
            <w:vMerge w:val="restart"/>
            <w:tcBorders>
              <w:tl2br w:val="nil"/>
              <w:tr2bl w:val="nil"/>
            </w:tcBorders>
            <w:noWrap w:val="0"/>
            <w:vAlign w:val="center"/>
          </w:tcPr>
          <w:p w14:paraId="5A93E6F3">
            <w:pPr>
              <w:keepNext w:val="0"/>
              <w:keepLines w:val="0"/>
              <w:pageBreakBefore w:val="0"/>
              <w:widowControl/>
              <w:kinsoku/>
              <w:wordWrap/>
              <w:overflowPunct/>
              <w:topLinePunct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A4资源利用效率</w:t>
            </w:r>
          </w:p>
        </w:tc>
        <w:tc>
          <w:tcPr>
            <w:tcW w:w="598" w:type="pct"/>
            <w:vMerge w:val="restart"/>
            <w:tcBorders>
              <w:tl2br w:val="nil"/>
              <w:tr2bl w:val="nil"/>
            </w:tcBorders>
            <w:noWrap w:val="0"/>
            <w:vAlign w:val="center"/>
          </w:tcPr>
          <w:p w14:paraId="1E542CBA">
            <w:pPr>
              <w:keepNext w:val="0"/>
              <w:keepLines w:val="0"/>
              <w:pageBreakBefore w:val="0"/>
              <w:widowControl/>
              <w:kinsoku/>
              <w:wordWrap/>
              <w:overflowPunct/>
              <w:topLinePunct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A4.1水资源</w:t>
            </w:r>
          </w:p>
        </w:tc>
        <w:tc>
          <w:tcPr>
            <w:tcW w:w="2738" w:type="pct"/>
            <w:tcBorders>
              <w:tl2br w:val="nil"/>
              <w:tr2bl w:val="nil"/>
            </w:tcBorders>
            <w:noWrap w:val="0"/>
            <w:vAlign w:val="center"/>
          </w:tcPr>
          <w:p w14:paraId="2AD8ED47">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〔A4.1-1〕自治区用水总量2025年、2030年控制在国家下达的指标内。</w:t>
            </w:r>
          </w:p>
        </w:tc>
        <w:tc>
          <w:tcPr>
            <w:tcW w:w="646" w:type="pct"/>
            <w:tcBorders>
              <w:tl2br w:val="nil"/>
              <w:tr2bl w:val="nil"/>
            </w:tcBorders>
            <w:noWrap w:val="0"/>
            <w:vAlign w:val="center"/>
          </w:tcPr>
          <w:p w14:paraId="072A9E56">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sz w:val="21"/>
                <w:szCs w:val="21"/>
              </w:rPr>
            </w:pPr>
            <w:r>
              <w:rPr>
                <w:rFonts w:hint="eastAsia"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本项目施工期用水量较小，运营期不涉及用水，项目建设符合水资源利用上线要求。</w:t>
            </w:r>
          </w:p>
        </w:tc>
        <w:tc>
          <w:tcPr>
            <w:tcW w:w="518" w:type="pct"/>
            <w:tcBorders>
              <w:tl2br w:val="nil"/>
              <w:tr2bl w:val="nil"/>
            </w:tcBorders>
            <w:noWrap w:val="0"/>
            <w:vAlign w:val="center"/>
          </w:tcPr>
          <w:p w14:paraId="5D1FED1A">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符合</w:t>
            </w:r>
          </w:p>
        </w:tc>
      </w:tr>
      <w:tr w14:paraId="025A4B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7" w:type="pct"/>
            <w:vMerge w:val="continue"/>
            <w:tcBorders>
              <w:tl2br w:val="nil"/>
              <w:tr2bl w:val="nil"/>
            </w:tcBorders>
            <w:noWrap w:val="0"/>
            <w:vAlign w:val="center"/>
          </w:tcPr>
          <w:p w14:paraId="34286AAD">
            <w:pPr>
              <w:keepNext w:val="0"/>
              <w:keepLines w:val="0"/>
              <w:pageBreakBefore w:val="0"/>
              <w:widowControl/>
              <w:kinsoku/>
              <w:wordWrap/>
              <w:overflowPunct/>
              <w:topLinePunct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sz w:val="21"/>
                <w:szCs w:val="21"/>
              </w:rPr>
            </w:pPr>
          </w:p>
        </w:tc>
        <w:tc>
          <w:tcPr>
            <w:tcW w:w="598" w:type="pct"/>
            <w:vMerge w:val="continue"/>
            <w:tcBorders>
              <w:tl2br w:val="nil"/>
              <w:tr2bl w:val="nil"/>
            </w:tcBorders>
            <w:noWrap w:val="0"/>
            <w:vAlign w:val="center"/>
          </w:tcPr>
          <w:p w14:paraId="182C9E0F">
            <w:pPr>
              <w:keepNext w:val="0"/>
              <w:keepLines w:val="0"/>
              <w:pageBreakBefore w:val="0"/>
              <w:widowControl/>
              <w:kinsoku/>
              <w:wordWrap/>
              <w:overflowPunct/>
              <w:topLinePunct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sz w:val="21"/>
                <w:szCs w:val="21"/>
              </w:rPr>
            </w:pPr>
          </w:p>
        </w:tc>
        <w:tc>
          <w:tcPr>
            <w:tcW w:w="2738" w:type="pct"/>
            <w:tcBorders>
              <w:tl2br w:val="nil"/>
              <w:tr2bl w:val="nil"/>
            </w:tcBorders>
            <w:noWrap w:val="0"/>
            <w:vAlign w:val="center"/>
          </w:tcPr>
          <w:p w14:paraId="64332B72">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〔A4.1-4〕地下水资源利用实行总量控制和水位控制。取用地下水资源，应当按照国家和自治区有关规定申请取水许可。地下水利用应当以浅层地下水为主。</w:t>
            </w:r>
          </w:p>
        </w:tc>
        <w:tc>
          <w:tcPr>
            <w:tcW w:w="646" w:type="pct"/>
            <w:tcBorders>
              <w:tl2br w:val="nil"/>
              <w:tr2bl w:val="nil"/>
            </w:tcBorders>
            <w:noWrap w:val="0"/>
            <w:vAlign w:val="center"/>
          </w:tcPr>
          <w:p w14:paraId="0AA6A439">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不涉及</w:t>
            </w:r>
          </w:p>
        </w:tc>
        <w:tc>
          <w:tcPr>
            <w:tcW w:w="518" w:type="pct"/>
            <w:tcBorders>
              <w:tl2br w:val="nil"/>
              <w:tr2bl w:val="nil"/>
            </w:tcBorders>
            <w:noWrap w:val="0"/>
            <w:vAlign w:val="center"/>
          </w:tcPr>
          <w:p w14:paraId="4D295D02">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符合</w:t>
            </w:r>
          </w:p>
        </w:tc>
      </w:tr>
      <w:tr w14:paraId="498B6E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7" w:type="pct"/>
            <w:vMerge w:val="continue"/>
            <w:tcBorders>
              <w:tl2br w:val="nil"/>
              <w:tr2bl w:val="nil"/>
            </w:tcBorders>
            <w:noWrap w:val="0"/>
            <w:vAlign w:val="center"/>
          </w:tcPr>
          <w:p w14:paraId="057593B0">
            <w:pPr>
              <w:keepNext w:val="0"/>
              <w:keepLines w:val="0"/>
              <w:pageBreakBefore w:val="0"/>
              <w:widowControl/>
              <w:kinsoku/>
              <w:wordWrap/>
              <w:overflowPunct/>
              <w:topLinePunct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sz w:val="21"/>
                <w:szCs w:val="21"/>
              </w:rPr>
            </w:pPr>
          </w:p>
        </w:tc>
        <w:tc>
          <w:tcPr>
            <w:tcW w:w="598" w:type="pct"/>
            <w:tcBorders>
              <w:tl2br w:val="nil"/>
              <w:tr2bl w:val="nil"/>
            </w:tcBorders>
            <w:noWrap w:val="0"/>
            <w:vAlign w:val="center"/>
          </w:tcPr>
          <w:p w14:paraId="3C7B5394">
            <w:pPr>
              <w:keepNext w:val="0"/>
              <w:keepLines w:val="0"/>
              <w:pageBreakBefore w:val="0"/>
              <w:widowControl/>
              <w:kinsoku/>
              <w:wordWrap/>
              <w:overflowPunct/>
              <w:topLinePunct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A4.2土地资源</w:t>
            </w:r>
          </w:p>
        </w:tc>
        <w:tc>
          <w:tcPr>
            <w:tcW w:w="2738" w:type="pct"/>
            <w:tcBorders>
              <w:tl2br w:val="nil"/>
              <w:tr2bl w:val="nil"/>
            </w:tcBorders>
            <w:noWrap w:val="0"/>
            <w:vAlign w:val="center"/>
          </w:tcPr>
          <w:p w14:paraId="1441C973">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〔A4.2-1〕土地资源上线指标控制在最终批复的国土空间规划控制指标内。</w:t>
            </w:r>
          </w:p>
        </w:tc>
        <w:tc>
          <w:tcPr>
            <w:tcW w:w="646" w:type="pct"/>
            <w:tcBorders>
              <w:tl2br w:val="nil"/>
              <w:tr2bl w:val="nil"/>
            </w:tcBorders>
            <w:noWrap w:val="0"/>
            <w:vAlign w:val="center"/>
          </w:tcPr>
          <w:p w14:paraId="281BE53A">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本项目占地面积较小，符合土地资源上线指标</w:t>
            </w:r>
          </w:p>
        </w:tc>
        <w:tc>
          <w:tcPr>
            <w:tcW w:w="518" w:type="pct"/>
            <w:tcBorders>
              <w:tl2br w:val="nil"/>
              <w:tr2bl w:val="nil"/>
            </w:tcBorders>
            <w:noWrap w:val="0"/>
            <w:vAlign w:val="center"/>
          </w:tcPr>
          <w:p w14:paraId="3825A025">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符合</w:t>
            </w:r>
          </w:p>
        </w:tc>
      </w:tr>
      <w:tr w14:paraId="069C71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7" w:type="pct"/>
            <w:vMerge w:val="continue"/>
            <w:tcBorders>
              <w:tl2br w:val="nil"/>
              <w:tr2bl w:val="nil"/>
            </w:tcBorders>
            <w:noWrap w:val="0"/>
            <w:vAlign w:val="center"/>
          </w:tcPr>
          <w:p w14:paraId="72848AF4">
            <w:pPr>
              <w:keepNext w:val="0"/>
              <w:keepLines w:val="0"/>
              <w:pageBreakBefore w:val="0"/>
              <w:widowControl/>
              <w:kinsoku/>
              <w:wordWrap/>
              <w:overflowPunct/>
              <w:topLinePunct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sz w:val="21"/>
                <w:szCs w:val="21"/>
              </w:rPr>
            </w:pPr>
          </w:p>
        </w:tc>
        <w:tc>
          <w:tcPr>
            <w:tcW w:w="598" w:type="pct"/>
            <w:vMerge w:val="restart"/>
            <w:tcBorders>
              <w:tl2br w:val="nil"/>
              <w:tr2bl w:val="nil"/>
            </w:tcBorders>
            <w:noWrap w:val="0"/>
            <w:vAlign w:val="center"/>
          </w:tcPr>
          <w:p w14:paraId="18067749">
            <w:pPr>
              <w:keepNext w:val="0"/>
              <w:keepLines w:val="0"/>
              <w:pageBreakBefore w:val="0"/>
              <w:widowControl/>
              <w:kinsoku/>
              <w:wordWrap/>
              <w:overflowPunct/>
              <w:topLinePunct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A4.3能源利用</w:t>
            </w:r>
          </w:p>
        </w:tc>
        <w:tc>
          <w:tcPr>
            <w:tcW w:w="2738" w:type="pct"/>
            <w:tcBorders>
              <w:tl2br w:val="nil"/>
              <w:tr2bl w:val="nil"/>
            </w:tcBorders>
            <w:noWrap w:val="0"/>
            <w:vAlign w:val="center"/>
          </w:tcPr>
          <w:p w14:paraId="5A9E0630">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〔A4.3-4〕鼓励使用清洁能源或电厂热力、工业余热等替代锅炉、炉窑燃料用煤。</w:t>
            </w:r>
          </w:p>
        </w:tc>
        <w:tc>
          <w:tcPr>
            <w:tcW w:w="646" w:type="pct"/>
            <w:tcBorders>
              <w:tl2br w:val="nil"/>
              <w:tr2bl w:val="nil"/>
            </w:tcBorders>
            <w:noWrap w:val="0"/>
            <w:vAlign w:val="center"/>
          </w:tcPr>
          <w:p w14:paraId="0C8329AE">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jc w:val="center"/>
              <w:textAlignment w:val="auto"/>
              <w:rPr>
                <w:rFonts w:hint="default" w:ascii="宋体" w:hAnsi="宋体" w:eastAsia="宋体" w:cs="宋体"/>
                <w:color w:val="000000"/>
                <w:kern w:val="2"/>
                <w:sz w:val="21"/>
                <w:szCs w:val="21"/>
                <w:lang w:val="en-US" w:eastAsia="zh-CN"/>
              </w:rPr>
            </w:pPr>
            <w:r>
              <w:rPr>
                <w:rFonts w:hint="eastAsia" w:ascii="宋体" w:hAnsi="宋体" w:eastAsia="宋体" w:cs="宋体"/>
                <w:color w:val="000000"/>
                <w:kern w:val="2"/>
                <w:sz w:val="21"/>
                <w:szCs w:val="21"/>
              </w:rPr>
              <w:t>本</w:t>
            </w:r>
            <w:r>
              <w:rPr>
                <w:rFonts w:hint="eastAsia" w:ascii="宋体" w:hAnsi="宋体" w:eastAsia="宋体" w:cs="宋体"/>
                <w:color w:val="000000"/>
                <w:kern w:val="2"/>
                <w:sz w:val="21"/>
                <w:szCs w:val="21"/>
                <w:lang w:val="en-US" w:eastAsia="zh-CN"/>
              </w:rPr>
              <w:t>项目为新能源发电项目。</w:t>
            </w:r>
          </w:p>
        </w:tc>
        <w:tc>
          <w:tcPr>
            <w:tcW w:w="518" w:type="pct"/>
            <w:tcBorders>
              <w:tl2br w:val="nil"/>
              <w:tr2bl w:val="nil"/>
            </w:tcBorders>
            <w:noWrap w:val="0"/>
            <w:vAlign w:val="center"/>
          </w:tcPr>
          <w:p w14:paraId="52A8C287">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符合</w:t>
            </w:r>
          </w:p>
        </w:tc>
      </w:tr>
      <w:tr w14:paraId="3E89D3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7" w:type="pct"/>
            <w:vMerge w:val="continue"/>
            <w:tcBorders>
              <w:tl2br w:val="nil"/>
              <w:tr2bl w:val="nil"/>
            </w:tcBorders>
            <w:noWrap w:val="0"/>
            <w:vAlign w:val="center"/>
          </w:tcPr>
          <w:p w14:paraId="3A0F6350">
            <w:pPr>
              <w:keepNext w:val="0"/>
              <w:keepLines w:val="0"/>
              <w:pageBreakBefore w:val="0"/>
              <w:widowControl/>
              <w:kinsoku/>
              <w:wordWrap/>
              <w:overflowPunct/>
              <w:topLinePunct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sz w:val="21"/>
                <w:szCs w:val="21"/>
              </w:rPr>
            </w:pPr>
          </w:p>
        </w:tc>
        <w:tc>
          <w:tcPr>
            <w:tcW w:w="598" w:type="pct"/>
            <w:vMerge w:val="continue"/>
            <w:tcBorders>
              <w:tl2br w:val="nil"/>
              <w:tr2bl w:val="nil"/>
            </w:tcBorders>
            <w:noWrap w:val="0"/>
            <w:vAlign w:val="center"/>
          </w:tcPr>
          <w:p w14:paraId="47E59191">
            <w:pPr>
              <w:keepNext w:val="0"/>
              <w:keepLines w:val="0"/>
              <w:pageBreakBefore w:val="0"/>
              <w:widowControl/>
              <w:kinsoku/>
              <w:wordWrap/>
              <w:overflowPunct/>
              <w:topLinePunct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sz w:val="21"/>
                <w:szCs w:val="21"/>
              </w:rPr>
            </w:pPr>
          </w:p>
        </w:tc>
        <w:tc>
          <w:tcPr>
            <w:tcW w:w="2738" w:type="pct"/>
            <w:tcBorders>
              <w:tl2br w:val="nil"/>
              <w:tr2bl w:val="nil"/>
            </w:tcBorders>
            <w:noWrap w:val="0"/>
            <w:vAlign w:val="center"/>
          </w:tcPr>
          <w:p w14:paraId="62FB34FD">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〔A4.3-5〕以碳达峰碳中和工作为引领，着力提高能源资源利用效率。引导重点行业深入实施清洁生产改造，钢铁、建材、石油化工等重点行业以及其他行业重点用能单位持续开展节能降耗。</w:t>
            </w:r>
          </w:p>
        </w:tc>
        <w:tc>
          <w:tcPr>
            <w:tcW w:w="646" w:type="pct"/>
            <w:vMerge w:val="restart"/>
            <w:tcBorders>
              <w:tl2br w:val="nil"/>
              <w:tr2bl w:val="nil"/>
            </w:tcBorders>
            <w:noWrap w:val="0"/>
            <w:vAlign w:val="center"/>
          </w:tcPr>
          <w:p w14:paraId="125692CD">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kern w:val="2"/>
                <w:sz w:val="21"/>
                <w:szCs w:val="21"/>
                <w:lang w:eastAsia="zh-CN"/>
              </w:rPr>
            </w:pPr>
            <w:r>
              <w:rPr>
                <w:rFonts w:hint="eastAsia" w:ascii="宋体" w:hAnsi="宋体" w:eastAsia="宋体" w:cs="宋体"/>
                <w:color w:val="000000"/>
                <w:spacing w:val="-4"/>
                <w:sz w:val="21"/>
                <w:szCs w:val="21"/>
                <w:lang w:val="en-US" w:eastAsia="zh-CN"/>
              </w:rPr>
              <w:t>不涉及</w:t>
            </w:r>
          </w:p>
        </w:tc>
        <w:tc>
          <w:tcPr>
            <w:tcW w:w="518" w:type="pct"/>
            <w:tcBorders>
              <w:tl2br w:val="nil"/>
              <w:tr2bl w:val="nil"/>
            </w:tcBorders>
            <w:noWrap w:val="0"/>
            <w:vAlign w:val="center"/>
          </w:tcPr>
          <w:p w14:paraId="2090611B">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符合</w:t>
            </w:r>
          </w:p>
        </w:tc>
      </w:tr>
      <w:tr w14:paraId="413482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7" w:type="pct"/>
            <w:vMerge w:val="continue"/>
            <w:tcBorders>
              <w:tl2br w:val="nil"/>
              <w:tr2bl w:val="nil"/>
            </w:tcBorders>
            <w:noWrap w:val="0"/>
            <w:vAlign w:val="center"/>
          </w:tcPr>
          <w:p w14:paraId="529B0F3A">
            <w:pPr>
              <w:keepNext w:val="0"/>
              <w:keepLines w:val="0"/>
              <w:pageBreakBefore w:val="0"/>
              <w:widowControl/>
              <w:kinsoku/>
              <w:wordWrap/>
              <w:overflowPunct/>
              <w:topLinePunct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sz w:val="21"/>
                <w:szCs w:val="21"/>
              </w:rPr>
            </w:pPr>
          </w:p>
        </w:tc>
        <w:tc>
          <w:tcPr>
            <w:tcW w:w="598" w:type="pct"/>
            <w:vMerge w:val="continue"/>
            <w:tcBorders>
              <w:tl2br w:val="nil"/>
              <w:tr2bl w:val="nil"/>
            </w:tcBorders>
            <w:noWrap w:val="0"/>
            <w:vAlign w:val="center"/>
          </w:tcPr>
          <w:p w14:paraId="27B7BF42">
            <w:pPr>
              <w:keepNext w:val="0"/>
              <w:keepLines w:val="0"/>
              <w:pageBreakBefore w:val="0"/>
              <w:widowControl/>
              <w:kinsoku/>
              <w:wordWrap/>
              <w:overflowPunct/>
              <w:topLinePunct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sz w:val="21"/>
                <w:szCs w:val="21"/>
              </w:rPr>
            </w:pPr>
          </w:p>
        </w:tc>
        <w:tc>
          <w:tcPr>
            <w:tcW w:w="2738" w:type="pct"/>
            <w:tcBorders>
              <w:tl2br w:val="nil"/>
              <w:tr2bl w:val="nil"/>
            </w:tcBorders>
            <w:noWrap w:val="0"/>
            <w:vAlign w:val="center"/>
          </w:tcPr>
          <w:p w14:paraId="13203733">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〔A4.3-6〕深入推进碳达峰碳中和行动。推动能源清洁低碳转型，加强能耗“双控”管理，优化能源消费结构。新增原料用能不纳入能源消费总量控制。持续推进散煤整治。</w:t>
            </w:r>
          </w:p>
        </w:tc>
        <w:tc>
          <w:tcPr>
            <w:tcW w:w="646" w:type="pct"/>
            <w:vMerge w:val="continue"/>
            <w:tcBorders>
              <w:tl2br w:val="nil"/>
              <w:tr2bl w:val="nil"/>
            </w:tcBorders>
            <w:noWrap w:val="0"/>
            <w:vAlign w:val="center"/>
          </w:tcPr>
          <w:p w14:paraId="24D93995">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kern w:val="2"/>
                <w:sz w:val="21"/>
                <w:szCs w:val="21"/>
              </w:rPr>
            </w:pPr>
          </w:p>
        </w:tc>
        <w:tc>
          <w:tcPr>
            <w:tcW w:w="518" w:type="pct"/>
            <w:tcBorders>
              <w:tl2br w:val="nil"/>
              <w:tr2bl w:val="nil"/>
            </w:tcBorders>
            <w:noWrap w:val="0"/>
            <w:vAlign w:val="center"/>
          </w:tcPr>
          <w:p w14:paraId="06BD5C23">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符合</w:t>
            </w:r>
          </w:p>
        </w:tc>
      </w:tr>
      <w:tr w14:paraId="375ECF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40" w:hRule="atLeast"/>
          <w:jc w:val="center"/>
        </w:trPr>
        <w:tc>
          <w:tcPr>
            <w:tcW w:w="497" w:type="pct"/>
            <w:vMerge w:val="continue"/>
            <w:tcBorders>
              <w:tl2br w:val="nil"/>
              <w:tr2bl w:val="nil"/>
            </w:tcBorders>
            <w:noWrap w:val="0"/>
            <w:vAlign w:val="center"/>
          </w:tcPr>
          <w:p w14:paraId="5573DBD3">
            <w:pPr>
              <w:keepNext w:val="0"/>
              <w:keepLines w:val="0"/>
              <w:pageBreakBefore w:val="0"/>
              <w:widowControl/>
              <w:kinsoku/>
              <w:wordWrap/>
              <w:overflowPunct/>
              <w:topLinePunct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sz w:val="21"/>
                <w:szCs w:val="21"/>
              </w:rPr>
            </w:pPr>
          </w:p>
        </w:tc>
        <w:tc>
          <w:tcPr>
            <w:tcW w:w="598" w:type="pct"/>
            <w:tcBorders>
              <w:tl2br w:val="nil"/>
              <w:tr2bl w:val="nil"/>
            </w:tcBorders>
            <w:noWrap w:val="0"/>
            <w:vAlign w:val="center"/>
          </w:tcPr>
          <w:p w14:paraId="738061F1">
            <w:pPr>
              <w:keepNext w:val="0"/>
              <w:keepLines w:val="0"/>
              <w:pageBreakBefore w:val="0"/>
              <w:widowControl/>
              <w:kinsoku/>
              <w:wordWrap/>
              <w:overflowPunct/>
              <w:topLinePunct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A4.4禁燃区要求</w:t>
            </w:r>
          </w:p>
        </w:tc>
        <w:tc>
          <w:tcPr>
            <w:tcW w:w="2738" w:type="pct"/>
            <w:tcBorders>
              <w:tl2br w:val="nil"/>
              <w:tr2bl w:val="nil"/>
            </w:tcBorders>
            <w:noWrap w:val="0"/>
            <w:vAlign w:val="center"/>
          </w:tcPr>
          <w:p w14:paraId="22AD0056">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〔A4.4-1〕在禁燃区内，禁止销售、燃用高污染燃料；禁止新建、扩建燃用高污染燃料的设施。已建成的，应当在规定期限内改用清洁能源。</w:t>
            </w:r>
          </w:p>
        </w:tc>
        <w:tc>
          <w:tcPr>
            <w:tcW w:w="646" w:type="pct"/>
            <w:tcBorders>
              <w:tl2br w:val="nil"/>
              <w:tr2bl w:val="nil"/>
            </w:tcBorders>
            <w:noWrap w:val="0"/>
            <w:vAlign w:val="center"/>
          </w:tcPr>
          <w:p w14:paraId="237FD42C">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val="en-US" w:eastAsia="zh-CN"/>
              </w:rPr>
              <w:t>不涉及</w:t>
            </w:r>
          </w:p>
        </w:tc>
        <w:tc>
          <w:tcPr>
            <w:tcW w:w="518" w:type="pct"/>
            <w:tcBorders>
              <w:tl2br w:val="nil"/>
              <w:tr2bl w:val="nil"/>
            </w:tcBorders>
            <w:noWrap w:val="0"/>
            <w:vAlign w:val="center"/>
          </w:tcPr>
          <w:p w14:paraId="082F62B5">
            <w:pPr>
              <w:keepNext w:val="0"/>
              <w:keepLines w:val="0"/>
              <w:pageBreakBefore w:val="0"/>
              <w:kinsoku/>
              <w:wordWrap/>
              <w:overflowPunct/>
              <w:topLinePunct w:val="0"/>
              <w:autoSpaceDE w:val="0"/>
              <w:autoSpaceDN w:val="0"/>
              <w:bidi w:val="0"/>
              <w:adjustRightInd/>
              <w:snapToGrid w:val="0"/>
              <w:spacing w:line="320" w:lineRule="exact"/>
              <w:ind w:left="0" w:leftChars="0" w:right="0" w:rightChars="0"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符合</w:t>
            </w:r>
          </w:p>
        </w:tc>
      </w:tr>
    </w:tbl>
    <w:p w14:paraId="4514DF20">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ind w:leftChars="0"/>
        <w:textAlignment w:val="auto"/>
        <w:rPr>
          <w:rFonts w:hint="default" w:ascii="Times New Roman" w:hAnsi="Times New Roman" w:cs="Times New Roman" w:eastAsiaTheme="minorEastAsia"/>
          <w:b/>
          <w:bCs/>
          <w:color w:val="000000" w:themeColor="text1"/>
          <w:kern w:val="2"/>
          <w:sz w:val="24"/>
          <w:highlight w:val="none"/>
          <w:lang w:val="en-US" w:eastAsia="zh-CN" w:bidi="ar-SA"/>
          <w14:textFill>
            <w14:solidFill>
              <w14:schemeClr w14:val="tx1"/>
            </w14:solidFill>
          </w14:textFill>
        </w:rPr>
      </w:pPr>
    </w:p>
    <w:p w14:paraId="78A0A352">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综合分析，</w:t>
      </w:r>
      <w:r>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本项目</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符合</w:t>
      </w:r>
      <w:r>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《关于印发&lt;新疆维吾尔自治区生态环境分区管控动态更新成果&gt;的通知》（新环环评发〔2024〕157号）</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要求</w:t>
      </w:r>
      <w:r>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w:t>
      </w:r>
    </w:p>
    <w:p w14:paraId="17AFF1A9">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ind w:leftChars="0" w:firstLine="480" w:firstLineChars="200"/>
        <w:textAlignment w:val="auto"/>
        <w:rPr>
          <w:rFonts w:hint="default" w:ascii="Times New Roman" w:hAnsi="Times New Roman" w:cs="Times New Roman" w:eastAsiaTheme="minorEastAsia"/>
          <w:b/>
          <w:bCs/>
          <w:color w:val="000000" w:themeColor="text1"/>
          <w:kern w:val="2"/>
          <w:sz w:val="24"/>
          <w:highlight w:val="none"/>
          <w:lang w:val="en-US" w:eastAsia="zh-CN" w:bidi="ar-SA"/>
          <w14:textFill>
            <w14:solidFill>
              <w14:schemeClr w14:val="tx1"/>
            </w14:solidFill>
          </w14:textFill>
        </w:rPr>
      </w:pPr>
      <w:r>
        <w:rPr>
          <w:rFonts w:hint="eastAsia" w:cs="Times New Roman" w:eastAsiaTheme="minorEastAsia"/>
          <w:b/>
          <w:bCs/>
          <w:color w:val="000000" w:themeColor="text1"/>
          <w:kern w:val="2"/>
          <w:sz w:val="24"/>
          <w:highlight w:val="none"/>
          <w:lang w:val="en-US" w:eastAsia="zh-CN" w:bidi="ar-SA"/>
          <w14:textFill>
            <w14:solidFill>
              <w14:schemeClr w14:val="tx1"/>
            </w14:solidFill>
          </w14:textFill>
        </w:rPr>
        <w:t>（2）</w:t>
      </w:r>
      <w:r>
        <w:rPr>
          <w:rFonts w:hint="default" w:ascii="Times New Roman" w:hAnsi="Times New Roman" w:cs="Times New Roman" w:eastAsiaTheme="minorEastAsia"/>
          <w:b/>
          <w:bCs/>
          <w:color w:val="000000" w:themeColor="text1"/>
          <w:kern w:val="2"/>
          <w:sz w:val="24"/>
          <w:highlight w:val="none"/>
          <w:lang w:val="en-US" w:eastAsia="zh-CN" w:bidi="ar-SA"/>
          <w14:textFill>
            <w14:solidFill>
              <w14:schemeClr w14:val="tx1"/>
            </w14:solidFill>
          </w14:textFill>
        </w:rPr>
        <w:t>与《新疆维吾尔自治区七大片区“三线一单”生态环境分区管控方案》及《</w:t>
      </w:r>
      <w:r>
        <w:rPr>
          <w:rFonts w:hint="eastAsia"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t>新疆维吾尔自治区生态环境分区管控动态更新成果</w:t>
      </w:r>
      <w:r>
        <w:rPr>
          <w:rFonts w:hint="default" w:ascii="Times New Roman" w:hAnsi="Times New Roman" w:cs="Times New Roman" w:eastAsiaTheme="minorEastAsia"/>
          <w:b/>
          <w:bCs/>
          <w:color w:val="000000" w:themeColor="text1"/>
          <w:kern w:val="2"/>
          <w:sz w:val="24"/>
          <w:highlight w:val="none"/>
          <w:lang w:val="en-US" w:eastAsia="zh-CN" w:bidi="ar-SA"/>
          <w14:textFill>
            <w14:solidFill>
              <w14:schemeClr w14:val="tx1"/>
            </w14:solidFill>
          </w14:textFill>
        </w:rPr>
        <w:t>》符合性分析</w:t>
      </w:r>
    </w:p>
    <w:p w14:paraId="074E038D">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b/>
          <w:bCs/>
          <w:color w:val="000000" w:themeColor="text1"/>
          <w:kern w:val="2"/>
          <w:sz w:val="24"/>
          <w:highlight w:val="none"/>
          <w:lang w:val="en-US" w:eastAsia="zh-CN" w:bidi="ar-SA"/>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根据《新疆维吾尔自治区七大片区“三线一单”生态环境分区管控方案》(新环环评发〔2021〕162号)及《</w:t>
      </w:r>
      <w:r>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新疆维吾尔自治区生态环境分区管控动态更新成果</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新疆维吾尔自治区全区划分为七大片区，包括北疆北部(塔城地区、阿勒泰地区)、伊犁河谷、克奎乌－博州、乌昌石、吐哈、天山南坡(巴州、阿克苏地区)和南疆三地州片区，本项目位于乌昌石片区。本项目与《新疆维吾尔自治区七大片区“三线一单”生态环境分区管控方案》(新环环评发〔2021〕162号)及《</w:t>
      </w:r>
      <w:r>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新疆维吾尔自治区生态环境分区管控动态更新成果</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》的乌昌石片区总体管控要求符合性分析详见表</w:t>
      </w:r>
      <w:r>
        <w:rPr>
          <w:rFonts w:hint="eastAsia" w:cs="Times New Roman" w:eastAsiaTheme="minorEastAsia"/>
          <w:snapToGrid w:val="0"/>
          <w:color w:val="000000" w:themeColor="text1"/>
          <w:sz w:val="24"/>
          <w:highlight w:val="none"/>
          <w:lang w:val="en-US" w:eastAsia="zh-CN"/>
          <w14:textFill>
            <w14:solidFill>
              <w14:schemeClr w14:val="tx1"/>
            </w14:solidFill>
          </w14:textFill>
        </w:rPr>
        <w:t>3.3-11。</w:t>
      </w:r>
    </w:p>
    <w:p w14:paraId="0DE894A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cs="Times New Roman" w:eastAsiaTheme="minorEastAsia"/>
          <w:b/>
          <w:bCs/>
          <w:color w:val="000000" w:themeColor="text1"/>
          <w:kern w:val="2"/>
          <w:sz w:val="24"/>
          <w:highlight w:val="none"/>
          <w:lang w:val="en-US" w:eastAsia="zh-CN" w:bidi="ar-SA"/>
          <w14:textFill>
            <w14:solidFill>
              <w14:schemeClr w14:val="tx1"/>
            </w14:solidFill>
          </w14:textFill>
        </w:rPr>
      </w:pPr>
      <w:r>
        <w:rPr>
          <w:rFonts w:hint="eastAsia" w:cs="Times New Roman" w:eastAsiaTheme="minorEastAsia"/>
          <w:b/>
          <w:bCs/>
          <w:color w:val="000000" w:themeColor="text1"/>
          <w:kern w:val="2"/>
          <w:sz w:val="24"/>
          <w:highlight w:val="none"/>
          <w:lang w:val="en-US" w:eastAsia="zh-CN" w:bidi="ar-SA"/>
          <w14:textFill>
            <w14:solidFill>
              <w14:schemeClr w14:val="tx1"/>
            </w14:solidFill>
          </w14:textFill>
        </w:rPr>
        <w:t xml:space="preserve">表3.3-11          </w:t>
      </w:r>
      <w:r>
        <w:rPr>
          <w:rFonts w:hint="default" w:cs="Times New Roman" w:eastAsiaTheme="minorEastAsia"/>
          <w:b/>
          <w:bCs/>
          <w:color w:val="000000" w:themeColor="text1"/>
          <w:kern w:val="2"/>
          <w:sz w:val="24"/>
          <w:highlight w:val="none"/>
          <w:lang w:val="en-US" w:eastAsia="zh-CN" w:bidi="ar-SA"/>
          <w14:textFill>
            <w14:solidFill>
              <w14:schemeClr w14:val="tx1"/>
            </w14:solidFill>
          </w14:textFill>
        </w:rPr>
        <w:t>乌昌石片区总体管控要求符合性分析</w:t>
      </w:r>
      <w:r>
        <w:rPr>
          <w:rFonts w:hint="eastAsia" w:cs="Times New Roman" w:eastAsiaTheme="minorEastAsia"/>
          <w:b/>
          <w:bCs/>
          <w:color w:val="000000" w:themeColor="text1"/>
          <w:kern w:val="2"/>
          <w:sz w:val="24"/>
          <w:highlight w:val="none"/>
          <w:lang w:val="en-US" w:eastAsia="zh-CN" w:bidi="ar-SA"/>
          <w14:textFill>
            <w14:solidFill>
              <w14:schemeClr w14:val="tx1"/>
            </w14:solidFill>
          </w14:textFill>
        </w:rPr>
        <w:t>一览表</w:t>
      </w:r>
    </w:p>
    <w:tbl>
      <w:tblPr>
        <w:tblStyle w:val="75"/>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57" w:type="dxa"/>
          <w:bottom w:w="0" w:type="dxa"/>
          <w:right w:w="57" w:type="dxa"/>
        </w:tblCellMar>
      </w:tblPr>
      <w:tblGrid>
        <w:gridCol w:w="5032"/>
        <w:gridCol w:w="3220"/>
        <w:gridCol w:w="815"/>
      </w:tblGrid>
      <w:tr w14:paraId="25EA6A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2774" w:type="pct"/>
            <w:tcBorders>
              <w:tl2br w:val="nil"/>
              <w:tr2bl w:val="nil"/>
            </w:tcBorders>
            <w:vAlign w:val="center"/>
          </w:tcPr>
          <w:p w14:paraId="1B6718FF">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center"/>
              <w:textAlignment w:val="auto"/>
              <w:rPr>
                <w:rFonts w:hint="default" w:ascii="Times New Roman" w:hAnsi="Times New Roman" w:cs="Times New Roman" w:eastAsiaTheme="minorEastAsia"/>
                <w:b/>
                <w:bCs/>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highlight w:val="none"/>
                <w:lang w:val="en-US" w:eastAsia="zh-CN" w:bidi="ar"/>
                <w14:textFill>
                  <w14:solidFill>
                    <w14:schemeClr w14:val="tx1"/>
                  </w14:solidFill>
                </w14:textFill>
              </w:rPr>
              <w:t>片区管控要求</w:t>
            </w:r>
          </w:p>
        </w:tc>
        <w:tc>
          <w:tcPr>
            <w:tcW w:w="1775" w:type="pct"/>
            <w:tcBorders>
              <w:tl2br w:val="nil"/>
              <w:tr2bl w:val="nil"/>
            </w:tcBorders>
            <w:vAlign w:val="center"/>
          </w:tcPr>
          <w:p w14:paraId="7C9499F3">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center"/>
              <w:textAlignment w:val="auto"/>
              <w:rPr>
                <w:rFonts w:hint="default" w:ascii="Times New Roman" w:hAnsi="Times New Roman" w:cs="Times New Roman" w:eastAsiaTheme="minorEastAsia"/>
                <w:b/>
                <w:bCs/>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cs="Times New Roman" w:eastAsiaTheme="minorEastAsia"/>
                <w:b/>
                <w:bCs/>
                <w:color w:val="000000" w:themeColor="text1"/>
                <w:kern w:val="0"/>
                <w:sz w:val="21"/>
                <w:szCs w:val="21"/>
                <w:highlight w:val="none"/>
                <w:lang w:val="en-US" w:eastAsia="zh-CN" w:bidi="ar"/>
                <w14:textFill>
                  <w14:solidFill>
                    <w14:schemeClr w14:val="tx1"/>
                  </w14:solidFill>
                </w14:textFill>
              </w:rPr>
              <w:t>本项目</w:t>
            </w:r>
          </w:p>
        </w:tc>
        <w:tc>
          <w:tcPr>
            <w:tcW w:w="449" w:type="pct"/>
            <w:tcBorders>
              <w:tl2br w:val="nil"/>
              <w:tr2bl w:val="nil"/>
            </w:tcBorders>
            <w:vAlign w:val="center"/>
          </w:tcPr>
          <w:p w14:paraId="00593EE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bCs/>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cs="Times New Roman" w:eastAsiaTheme="minorEastAsia"/>
                <w:b/>
                <w:bCs/>
                <w:color w:val="000000" w:themeColor="text1"/>
                <w:kern w:val="0"/>
                <w:sz w:val="21"/>
                <w:szCs w:val="21"/>
                <w:highlight w:val="none"/>
                <w:lang w:val="en-US" w:eastAsia="zh-CN" w:bidi="ar"/>
                <w14:textFill>
                  <w14:solidFill>
                    <w14:schemeClr w14:val="tx1"/>
                  </w14:solidFill>
                </w14:textFill>
              </w:rPr>
              <w:t>符合性</w:t>
            </w:r>
          </w:p>
        </w:tc>
      </w:tr>
      <w:tr w14:paraId="6B7330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7511" w:hRule="atLeast"/>
          <w:jc w:val="center"/>
        </w:trPr>
        <w:tc>
          <w:tcPr>
            <w:tcW w:w="2774" w:type="pct"/>
            <w:tcBorders>
              <w:tl2br w:val="nil"/>
              <w:tr2bl w:val="nil"/>
            </w:tcBorders>
            <w:vAlign w:val="center"/>
          </w:tcPr>
          <w:p w14:paraId="367317B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cs="Times New Roman" w:eastAsiaTheme="minorEastAsia"/>
                <w:b/>
                <w:bCs/>
                <w:color w:val="000000" w:themeColor="text1"/>
                <w:kern w:val="0"/>
                <w:sz w:val="21"/>
                <w:szCs w:val="21"/>
                <w:highlight w:val="none"/>
                <w:lang w:bidi="ar"/>
                <w14:textFill>
                  <w14:solidFill>
                    <w14:schemeClr w14:val="tx1"/>
                  </w14:solidFill>
                </w14:textFill>
              </w:rPr>
            </w:pPr>
            <w:r>
              <w:rPr>
                <w:rFonts w:hint="eastAsia" w:cs="Times New Roman" w:eastAsiaTheme="minorEastAsia"/>
                <w:b/>
                <w:bCs/>
                <w:color w:val="000000" w:themeColor="text1"/>
                <w:kern w:val="2"/>
                <w:sz w:val="24"/>
                <w:highlight w:val="none"/>
                <w:lang w:val="en-US" w:eastAsia="zh-CN" w:bidi="ar-SA"/>
                <w14:textFill>
                  <w14:solidFill>
                    <w14:schemeClr w14:val="tx1"/>
                  </w14:solidFill>
                </w14:textFill>
              </w:rPr>
              <w:t xml:space="preserve">    </w:t>
            </w:r>
          </w:p>
          <w:p w14:paraId="5DD40EEE">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除国家规划项目外，乌鲁木齐市七区一县、昌吉市、阜康市、玛纳斯县、呼图壁县、沙湾市建成区及周边敏感区域内不再布局建设煤化工、电解铝、燃煤纯发电机组、金属硅、碳化硅、聚氯乙烯(电石法 )、焦炭(含半焦)等新增产能项目。具备风光电清洁供暖建设条件的区域原则上不新批热电联产项目。</w:t>
            </w:r>
          </w:p>
          <w:p w14:paraId="255E0AB5">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坚持属地负责与区域大气污染联防联控相结合，以明显降低细颗粒物浓度为重点，协同推进“乌-昌-石”同防同治区域大气环境治理。强化与生产建设兵团第六师、第八师、第十一师、第十二师的同防同治，所有新建、改建、扩建工业项目执行最严格的大气污染物排放标准，强化氮氧化物深度治理，确保区域环境空气质量持续改善。强化挥发性有机物污染防治措施。推广使用低挥发性有机物原辅料，推动有条件的园区(工业集聚区)建设集中喷涂工程中心，配备高效治污设施，替代企业独立喷涂工序。</w:t>
            </w:r>
          </w:p>
          <w:p w14:paraId="0D45BA6D">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强化油(气)资源开发区土壤环境污染综合整治。加强涉重金属行业污染防控与工业废物处理处置。煤炭、石油、天然气开发单位应当制定生态保护和恢复治理方案，并予以实施。生态保护和恢复治理方案内容应当向社会公布，接受社会监督。</w:t>
            </w:r>
          </w:p>
          <w:p w14:paraId="388C6C6D">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textAlignment w:val="auto"/>
              <w:rPr>
                <w:rFonts w:hint="default" w:ascii="Times New Roman" w:hAnsi="Times New Roman" w:cs="Times New Roman" w:eastAsiaTheme="minorEastAsia"/>
                <w:color w:val="000000" w:themeColor="text1"/>
                <w:sz w:val="28"/>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强化企业清洁生产改造，推进节水型企业、节水型工业园区建设，提高资源集约节约利用水平。积极推进地下水超采治理逐步压减地下水超采量，实现地下水采补平衡。</w:t>
            </w:r>
          </w:p>
        </w:tc>
        <w:tc>
          <w:tcPr>
            <w:tcW w:w="1775" w:type="pct"/>
            <w:tcBorders>
              <w:tl2br w:val="nil"/>
              <w:tr2bl w:val="nil"/>
            </w:tcBorders>
            <w:vAlign w:val="center"/>
          </w:tcPr>
          <w:p w14:paraId="4F0BC842">
            <w:pPr>
              <w:keepNext w:val="0"/>
              <w:keepLines w:val="0"/>
              <w:pageBreakBefore w:val="0"/>
              <w:widowControl w:val="0"/>
              <w:kinsoku/>
              <w:wordWrap/>
              <w:overflowPunct/>
              <w:topLinePunct/>
              <w:autoSpaceDE/>
              <w:autoSpaceDN/>
              <w:bidi w:val="0"/>
              <w:adjustRightInd w:val="0"/>
              <w:snapToGrid w:val="0"/>
              <w:spacing w:before="0" w:after="0" w:line="240" w:lineRule="auto"/>
              <w:ind w:left="0" w:leftChars="0" w:firstLine="0" w:firstLineChars="0"/>
              <w:jc w:val="both"/>
              <w:textAlignment w:val="baseline"/>
              <w:rPr>
                <w:rFonts w:hint="default" w:ascii="Times New Roman" w:hAnsi="Times New Roman" w:cs="Times New Roman" w:eastAsiaTheme="minorEastAsia"/>
                <w:bCs/>
                <w:snapToGrid w:val="0"/>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bCs/>
                <w:snapToGrid w:val="0"/>
                <w:color w:val="000000" w:themeColor="text1"/>
                <w:kern w:val="0"/>
                <w:sz w:val="21"/>
                <w:szCs w:val="21"/>
                <w:highlight w:val="none"/>
                <w:lang w:val="en-US" w:eastAsia="zh-CN" w:bidi="ar"/>
                <w14:textFill>
                  <w14:solidFill>
                    <w14:schemeClr w14:val="tx1"/>
                  </w14:solidFill>
                </w14:textFill>
              </w:rPr>
              <w:t>本项目属于风电项目，不属于乌昌石片区煤化工、电解铝、燃煤纯发电组、金属硅、碳化硅、聚氯乙烯(电石法)、焦炭(含半焦)等新增产能产业。</w:t>
            </w:r>
          </w:p>
          <w:p w14:paraId="1AA7A39D">
            <w:pPr>
              <w:keepNext w:val="0"/>
              <w:keepLines w:val="0"/>
              <w:pageBreakBefore w:val="0"/>
              <w:widowControl w:val="0"/>
              <w:kinsoku/>
              <w:wordWrap/>
              <w:overflowPunct/>
              <w:topLinePunct/>
              <w:autoSpaceDE/>
              <w:autoSpaceDN/>
              <w:bidi w:val="0"/>
              <w:adjustRightInd w:val="0"/>
              <w:snapToGrid w:val="0"/>
              <w:spacing w:before="0" w:after="0" w:line="240" w:lineRule="auto"/>
              <w:ind w:left="0" w:leftChars="0" w:firstLine="0" w:firstLineChars="0"/>
              <w:jc w:val="both"/>
              <w:textAlignment w:val="baseline"/>
              <w:rPr>
                <w:rFonts w:hint="default" w:ascii="Times New Roman" w:hAnsi="Times New Roman" w:cs="Times New Roman" w:eastAsiaTheme="minorEastAsia"/>
                <w:bCs/>
                <w:snapToGrid w:val="0"/>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bCs/>
                <w:snapToGrid w:val="0"/>
                <w:color w:val="000000" w:themeColor="text1"/>
                <w:kern w:val="0"/>
                <w:sz w:val="21"/>
                <w:szCs w:val="21"/>
                <w:highlight w:val="none"/>
                <w:lang w:val="en-US" w:eastAsia="zh-CN" w:bidi="ar"/>
                <w14:textFill>
                  <w14:solidFill>
                    <w14:schemeClr w14:val="tx1"/>
                  </w14:solidFill>
                </w14:textFill>
              </w:rPr>
              <w:t>项目运营期不产生废气</w:t>
            </w:r>
            <w:r>
              <w:rPr>
                <w:rFonts w:hint="eastAsia" w:cs="Times New Roman" w:eastAsiaTheme="minorEastAsia"/>
                <w:bCs/>
                <w:snapToGrid w:val="0"/>
                <w:color w:val="000000" w:themeColor="text1"/>
                <w:kern w:val="0"/>
                <w:sz w:val="21"/>
                <w:szCs w:val="21"/>
                <w:highlight w:val="none"/>
                <w:lang w:val="en-US" w:eastAsia="zh-CN" w:bidi="ar"/>
                <w14:textFill>
                  <w14:solidFill>
                    <w14:schemeClr w14:val="tx1"/>
                  </w14:solidFill>
                </w14:textFill>
              </w:rPr>
              <w:t>、废气</w:t>
            </w:r>
            <w:r>
              <w:rPr>
                <w:rFonts w:hint="default" w:ascii="Times New Roman" w:hAnsi="Times New Roman" w:cs="Times New Roman" w:eastAsiaTheme="minorEastAsia"/>
                <w:bCs/>
                <w:snapToGrid w:val="0"/>
                <w:color w:val="000000" w:themeColor="text1"/>
                <w:kern w:val="0"/>
                <w:sz w:val="21"/>
                <w:szCs w:val="21"/>
                <w:highlight w:val="none"/>
                <w:lang w:val="en-US" w:eastAsia="zh-CN" w:bidi="ar"/>
                <w14:textFill>
                  <w14:solidFill>
                    <w14:schemeClr w14:val="tx1"/>
                  </w14:solidFill>
                </w14:textFill>
              </w:rPr>
              <w:t>。本项目风机采用永磁风机、箱变采用干式变压器，</w:t>
            </w:r>
            <w:r>
              <w:rPr>
                <w:rFonts w:hint="eastAsia" w:ascii="Times New Roman" w:hAnsi="Times New Roman" w:cs="Times New Roman" w:eastAsiaTheme="minorEastAsia"/>
                <w:bCs/>
                <w:snapToGrid w:val="0"/>
                <w:color w:val="000000" w:themeColor="text1"/>
                <w:kern w:val="0"/>
                <w:sz w:val="21"/>
                <w:szCs w:val="21"/>
                <w:highlight w:val="none"/>
                <w:lang w:val="en-US" w:eastAsia="zh-CN" w:bidi="ar"/>
                <w14:textFill>
                  <w14:solidFill>
                    <w14:schemeClr w14:val="tx1"/>
                  </w14:solidFill>
                </w14:textFill>
              </w:rPr>
              <w:t>正常工况下</w:t>
            </w:r>
            <w:r>
              <w:rPr>
                <w:rFonts w:hint="default" w:ascii="Times New Roman" w:hAnsi="Times New Roman" w:cs="Times New Roman" w:eastAsiaTheme="minorEastAsia"/>
                <w:bCs/>
                <w:snapToGrid w:val="0"/>
                <w:color w:val="000000" w:themeColor="text1"/>
                <w:kern w:val="0"/>
                <w:sz w:val="21"/>
                <w:szCs w:val="21"/>
                <w:highlight w:val="none"/>
                <w:lang w:val="en-US" w:eastAsia="zh-CN" w:bidi="ar"/>
                <w14:textFill>
                  <w14:solidFill>
                    <w14:schemeClr w14:val="tx1"/>
                  </w14:solidFill>
                </w14:textFill>
              </w:rPr>
              <w:t>不会产生油品泄露突发环境事件。</w:t>
            </w:r>
            <w:r>
              <w:rPr>
                <w:rFonts w:hint="eastAsia" w:ascii="Times New Roman" w:hAnsi="Times New Roman" w:cs="Times New Roman" w:eastAsiaTheme="minorEastAsia"/>
                <w:bCs/>
                <w:snapToGrid w:val="0"/>
                <w:color w:val="000000" w:themeColor="text1"/>
                <w:kern w:val="0"/>
                <w:sz w:val="21"/>
                <w:szCs w:val="21"/>
                <w:highlight w:val="none"/>
                <w:lang w:val="en-US" w:eastAsia="zh-CN" w:bidi="ar"/>
                <w14:textFill>
                  <w14:solidFill>
                    <w14:schemeClr w14:val="tx1"/>
                  </w14:solidFill>
                </w14:textFill>
              </w:rPr>
              <w:t>风机运行期间，若发现风机缺油，缺油的风机需要定期更换润滑油，在更换矿物油过程中发生泄漏，或事故状态下风力发电机组中转动部件润滑油出现遗漏，废矿物油即产即清，交由有资质单位处置，不在场内暂存。</w:t>
            </w: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项目采取</w:t>
            </w:r>
            <w:r>
              <w:rPr>
                <w:rFonts w:hint="eastAsia" w:cs="Times New Roman" w:eastAsiaTheme="minorEastAsia"/>
                <w:color w:val="000000" w:themeColor="text1"/>
                <w:kern w:val="0"/>
                <w:sz w:val="21"/>
                <w:szCs w:val="21"/>
                <w:highlight w:val="none"/>
                <w:lang w:val="en-US" w:eastAsia="zh-CN" w:bidi="ar"/>
                <w14:textFill>
                  <w14:solidFill>
                    <w14:schemeClr w14:val="tx1"/>
                  </w14:solidFill>
                </w14:textFill>
              </w:rPr>
              <w:t>以上</w:t>
            </w: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措施后，对土壤和地下水影响较小</w:t>
            </w:r>
            <w:r>
              <w:rPr>
                <w:rFonts w:hint="eastAsia" w:cs="Times New Roman" w:eastAsiaTheme="minorEastAsia"/>
                <w:color w:val="000000" w:themeColor="text1"/>
                <w:kern w:val="0"/>
                <w:sz w:val="21"/>
                <w:szCs w:val="21"/>
                <w:highlight w:val="none"/>
                <w:lang w:val="en-US" w:eastAsia="zh-CN" w:bidi="ar"/>
                <w14:textFill>
                  <w14:solidFill>
                    <w14:schemeClr w14:val="tx1"/>
                  </w14:solidFill>
                </w14:textFill>
              </w:rPr>
              <w:t>。</w:t>
            </w:r>
          </w:p>
          <w:p w14:paraId="3426D906">
            <w:pPr>
              <w:pStyle w:val="91"/>
              <w:keepNext w:val="0"/>
              <w:keepLines w:val="0"/>
              <w:pageBreakBefore/>
              <w:widowControl w:val="0"/>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eastAsia" w:cs="Times New Roman" w:eastAsiaTheme="minorEastAsia"/>
                <w:bCs/>
                <w:snapToGrid w:val="0"/>
                <w:color w:val="000000" w:themeColor="text1"/>
                <w:kern w:val="0"/>
                <w:sz w:val="21"/>
                <w:szCs w:val="21"/>
                <w:highlight w:val="none"/>
                <w:lang w:val="en-US" w:eastAsia="zh-CN" w:bidi="ar"/>
                <w14:textFill>
                  <w14:solidFill>
                    <w14:schemeClr w14:val="tx1"/>
                  </w14:solidFill>
                </w14:textFill>
              </w:rPr>
              <w:t>项目</w:t>
            </w:r>
            <w:r>
              <w:rPr>
                <w:rFonts w:hint="default" w:ascii="Times New Roman" w:hAnsi="Times New Roman" w:cs="Times New Roman" w:eastAsiaTheme="minorEastAsia"/>
                <w:bCs/>
                <w:snapToGrid w:val="0"/>
                <w:color w:val="000000" w:themeColor="text1"/>
                <w:kern w:val="0"/>
                <w:sz w:val="21"/>
                <w:szCs w:val="21"/>
                <w:highlight w:val="none"/>
                <w:lang w:val="en-US" w:eastAsia="zh-CN" w:bidi="ar"/>
                <w14:textFill>
                  <w14:solidFill>
                    <w14:schemeClr w14:val="tx1"/>
                  </w14:solidFill>
                </w14:textFill>
              </w:rPr>
              <w:t>不属于</w:t>
            </w: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油(气)资源开发行业，不涉及重金属污染。</w:t>
            </w:r>
          </w:p>
          <w:p w14:paraId="357BB6C0">
            <w:pPr>
              <w:pStyle w:val="91"/>
              <w:keepNext w:val="0"/>
              <w:keepLines w:val="0"/>
              <w:pageBreakBefore/>
              <w:widowControl w:val="0"/>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cs="Times New Roman" w:eastAsiaTheme="minorEastAsia"/>
                <w:color w:val="000000" w:themeColor="text1"/>
                <w:sz w:val="28"/>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本项目</w:t>
            </w:r>
            <w:r>
              <w:rPr>
                <w:rFonts w:hint="default" w:ascii="Times New Roman" w:hAnsi="Times New Roman" w:cs="Times New Roman" w:eastAsiaTheme="minorEastAsia"/>
                <w:bCs/>
                <w:snapToGrid w:val="0"/>
                <w:color w:val="000000" w:themeColor="text1"/>
                <w:kern w:val="0"/>
                <w:sz w:val="21"/>
                <w:szCs w:val="21"/>
                <w:highlight w:val="none"/>
                <w:lang w:val="en-US" w:eastAsia="zh-CN" w:bidi="ar"/>
                <w14:textFill>
                  <w14:solidFill>
                    <w14:schemeClr w14:val="tx1"/>
                  </w14:solidFill>
                </w14:textFill>
              </w:rPr>
              <w:t>噪声排放符合相应标准限值。</w:t>
            </w:r>
          </w:p>
        </w:tc>
        <w:tc>
          <w:tcPr>
            <w:tcW w:w="449" w:type="pct"/>
            <w:tcBorders>
              <w:tl2br w:val="nil"/>
              <w:tr2bl w:val="nil"/>
            </w:tcBorders>
            <w:vAlign w:val="center"/>
          </w:tcPr>
          <w:p w14:paraId="75F73991">
            <w:pPr>
              <w:keepNext w:val="0"/>
              <w:keepLines w:val="0"/>
              <w:pageBreakBefore w:val="0"/>
              <w:widowControl w:val="0"/>
              <w:kinsoku/>
              <w:wordWrap/>
              <w:overflowPunct/>
              <w:topLinePunct/>
              <w:autoSpaceDE/>
              <w:autoSpaceDN/>
              <w:bidi w:val="0"/>
              <w:adjustRightInd w:val="0"/>
              <w:snapToGrid w:val="0"/>
              <w:spacing w:line="240" w:lineRule="auto"/>
              <w:ind w:left="0" w:leftChars="0" w:firstLine="0" w:firstLineChars="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符合</w:t>
            </w:r>
          </w:p>
        </w:tc>
      </w:tr>
    </w:tbl>
    <w:p w14:paraId="05C89B35">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b/>
          <w:bCs/>
          <w:snapToGrid w:val="0"/>
          <w:color w:val="FF0000"/>
          <w:sz w:val="24"/>
          <w:highlight w:val="none"/>
          <w:lang w:val="en-US" w:eastAsia="zh-CN"/>
        </w:rPr>
      </w:pPr>
    </w:p>
    <w:p w14:paraId="0DB29B4E">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pPr>
      <w:r>
        <w:rPr>
          <w:rFonts w:hint="eastAsia" w:cs="Times New Roman" w:eastAsiaTheme="minorEastAsia"/>
          <w:b/>
          <w:bCs/>
          <w:snapToGrid w:val="0"/>
          <w:color w:val="000000" w:themeColor="text1"/>
          <w:sz w:val="24"/>
          <w:highlight w:val="none"/>
          <w:lang w:val="en-US" w:eastAsia="zh-CN"/>
          <w14:textFill>
            <w14:solidFill>
              <w14:schemeClr w14:val="tx1"/>
            </w14:solidFill>
          </w14:textFill>
        </w:rPr>
        <w:t>（3）</w:t>
      </w:r>
      <w:r>
        <w:rPr>
          <w:rFonts w:hint="default"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t>与《乌鲁木齐市生态环境分区管控动态更新成果(2023)》符合性分析</w:t>
      </w:r>
    </w:p>
    <w:p w14:paraId="63C18C2D">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FF0000"/>
          <w:sz w:val="24"/>
          <w:highlight w:val="none"/>
          <w:lang w:val="en-US" w:eastAsia="zh-CN"/>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2024年5月27日，乌鲁木齐市人民政府发布了《关于发布乌鲁木齐市生态环境分区管控动态更新成果的通告》</w:t>
      </w:r>
      <w:r>
        <w:rPr>
          <w:rFonts w:hint="eastAsia" w:cs="Times New Roman" w:eastAsiaTheme="minorEastAsia"/>
          <w:snapToGrid w:val="0"/>
          <w:color w:val="000000" w:themeColor="text1"/>
          <w:sz w:val="24"/>
          <w:highlight w:val="none"/>
          <w:lang w:val="en-US" w:eastAsia="zh-CN"/>
          <w14:textFill>
            <w14:solidFill>
              <w14:schemeClr w14:val="tx1"/>
            </w14:solidFill>
          </w14:textFill>
        </w:rPr>
        <w:t>。</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本项目建设地点位于乌鲁木齐达坂城区和乌鲁木齐县境内，根据《乌鲁木齐市生态环境分区管控动态更新成果(2023)》，本项目涉及的管控单元主要有ZH6501</w:t>
      </w:r>
      <w:r>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0310001</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w:t>
      </w:r>
      <w:r>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沙依巴克区水源地优先保护单元</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)、ZH</w:t>
      </w:r>
      <w:r>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65010320001</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w:t>
      </w:r>
      <w:r>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沙依巴克区城镇重点管控单元</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)，本项目与所在环境管控单元管控要求详见表</w:t>
      </w:r>
      <w:r>
        <w:rPr>
          <w:rFonts w:hint="eastAsia" w:cs="Times New Roman" w:eastAsiaTheme="minorEastAsia"/>
          <w:snapToGrid w:val="0"/>
          <w:color w:val="000000" w:themeColor="text1"/>
          <w:sz w:val="24"/>
          <w:highlight w:val="none"/>
          <w:lang w:val="en-US" w:eastAsia="zh-CN"/>
          <w14:textFill>
            <w14:solidFill>
              <w14:schemeClr w14:val="tx1"/>
            </w14:solidFill>
          </w14:textFill>
        </w:rPr>
        <w:t>3.3-12</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，本项目在环境管控单元中的位置见图3.2-4。</w:t>
      </w:r>
    </w:p>
    <w:p w14:paraId="704C1BF5">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FF0000"/>
          <w:sz w:val="24"/>
          <w:highlight w:val="none"/>
          <w:lang w:val="en-US" w:eastAsia="zh-CN"/>
        </w:rPr>
        <w:sectPr>
          <w:pgSz w:w="11906" w:h="16838"/>
          <w:pgMar w:top="1418" w:right="1361" w:bottom="1418" w:left="1587" w:header="1134" w:footer="992" w:gutter="0"/>
          <w:pgBorders>
            <w:top w:val="none" w:sz="0" w:space="0"/>
            <w:left w:val="none" w:sz="0" w:space="0"/>
            <w:bottom w:val="none" w:sz="0" w:space="0"/>
            <w:right w:val="none" w:sz="0" w:space="0"/>
          </w:pgBorders>
          <w:pgNumType w:fmt="decimal"/>
          <w:cols w:space="720" w:num="1"/>
          <w:docGrid w:type="linesAndChars" w:linePitch="312" w:charSpace="0"/>
        </w:sectPr>
      </w:pPr>
    </w:p>
    <w:bookmarkEnd w:id="284"/>
    <w:bookmarkEnd w:id="285"/>
    <w:bookmarkEnd w:id="286"/>
    <w:bookmarkEnd w:id="287"/>
    <w:bookmarkEnd w:id="288"/>
    <w:p w14:paraId="25501EB1">
      <w:pPr>
        <w:pStyle w:val="3"/>
        <w:keepNext/>
        <w:keepLines/>
        <w:pageBreakBefore w:val="0"/>
        <w:widowControl w:val="0"/>
        <w:kinsoku/>
        <w:wordWrap/>
        <w:overflowPunct/>
        <w:topLinePunct w:val="0"/>
        <w:autoSpaceDE/>
        <w:autoSpaceDN/>
        <w:bidi w:val="0"/>
        <w:adjustRightInd/>
        <w:snapToGrid/>
        <w:ind w:left="0" w:leftChars="0"/>
        <w:textAlignment w:val="auto"/>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bookmarkStart w:id="292" w:name="_Toc340737541"/>
      <w:bookmarkStart w:id="293" w:name="_Toc313005918"/>
      <w:bookmarkStart w:id="294" w:name="_Toc391021167"/>
      <w:bookmarkStart w:id="295" w:name="_Toc391021352"/>
      <w:bookmarkStart w:id="296" w:name="_Toc294859122"/>
      <w:bookmarkStart w:id="297" w:name="_Toc391020942"/>
      <w:bookmarkStart w:id="298" w:name="_Toc20326"/>
      <w:bookmarkStart w:id="299" w:name="_Toc6588"/>
      <w:bookmarkStart w:id="300" w:name="_Toc601"/>
      <w:bookmarkStart w:id="301" w:name="_Toc24728"/>
      <w:bookmarkStart w:id="302" w:name="_Toc2027"/>
      <w:bookmarkStart w:id="303" w:name="_Toc7227"/>
      <w:bookmarkStart w:id="304" w:name="_Toc4847"/>
      <w:bookmarkStart w:id="305" w:name="_Toc14899"/>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4 环境</w:t>
      </w:r>
      <w:bookmarkEnd w:id="292"/>
      <w:bookmarkEnd w:id="293"/>
      <w:bookmarkEnd w:id="294"/>
      <w:bookmarkEnd w:id="295"/>
      <w:bookmarkEnd w:id="296"/>
      <w:bookmarkEnd w:id="297"/>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现状调查与评价</w:t>
      </w:r>
      <w:bookmarkEnd w:id="298"/>
      <w:bookmarkEnd w:id="299"/>
      <w:bookmarkEnd w:id="300"/>
      <w:bookmarkEnd w:id="301"/>
      <w:bookmarkEnd w:id="302"/>
      <w:bookmarkEnd w:id="303"/>
      <w:bookmarkEnd w:id="304"/>
      <w:bookmarkEnd w:id="305"/>
    </w:p>
    <w:p w14:paraId="56A76C5F">
      <w:pPr>
        <w:pStyle w:val="4"/>
        <w:pageBreakBefore w:val="0"/>
        <w:widowControl w:val="0"/>
        <w:numPr>
          <w:ilvl w:val="0"/>
          <w:numId w:val="0"/>
        </w:numPr>
        <w:tabs>
          <w:tab w:val="left" w:pos="630"/>
          <w:tab w:val="left" w:pos="3403"/>
        </w:tabs>
        <w:kinsoku/>
        <w:wordWrap w:val="0"/>
        <w:overflowPunct/>
        <w:topLinePunct w:val="0"/>
        <w:autoSpaceDE/>
        <w:autoSpaceDN/>
        <w:bidi w:val="0"/>
        <w:adjustRightInd/>
        <w:snapToGrid/>
        <w:spacing w:before="0" w:beforeLines="0" w:after="0" w:afterLines="0" w:line="360" w:lineRule="auto"/>
        <w:outlineLvl w:val="1"/>
        <w:rPr>
          <w:rFonts w:hint="default" w:ascii="Times New Roman" w:hAnsi="Times New Roman" w:cs="Times New Roman" w:eastAsiaTheme="minorEastAsia"/>
          <w:color w:val="000000" w:themeColor="text1"/>
          <w:sz w:val="30"/>
          <w:highlight w:val="none"/>
          <w:lang w:val="en-US" w:eastAsia="zh-CN"/>
          <w14:textFill>
            <w14:solidFill>
              <w14:schemeClr w14:val="tx1"/>
            </w14:solidFill>
          </w14:textFill>
        </w:rPr>
      </w:pPr>
      <w:bookmarkStart w:id="306" w:name="_Toc16088"/>
      <w:bookmarkStart w:id="307" w:name="_Toc25551"/>
      <w:bookmarkStart w:id="308" w:name="_Toc17520"/>
      <w:bookmarkStart w:id="309" w:name="_Toc2846"/>
      <w:bookmarkStart w:id="310" w:name="_Toc3802"/>
      <w:bookmarkStart w:id="311" w:name="_Toc25994"/>
      <w:bookmarkStart w:id="312" w:name="_Toc316"/>
      <w:bookmarkStart w:id="313" w:name="_Toc391021169"/>
      <w:bookmarkStart w:id="314" w:name="_Toc391020944"/>
      <w:bookmarkStart w:id="315" w:name="_Toc294859124"/>
      <w:bookmarkStart w:id="316" w:name="_Toc340737543"/>
      <w:bookmarkStart w:id="317" w:name="_Toc313005920"/>
      <w:r>
        <w:rPr>
          <w:rFonts w:hint="default" w:ascii="Times New Roman" w:hAnsi="Times New Roman" w:cs="Times New Roman" w:eastAsiaTheme="minorEastAsia"/>
          <w:color w:val="000000" w:themeColor="text1"/>
          <w:sz w:val="30"/>
          <w:highlight w:val="none"/>
          <w:lang w:val="en-US" w:eastAsia="zh-CN"/>
          <w14:textFill>
            <w14:solidFill>
              <w14:schemeClr w14:val="tx1"/>
            </w14:solidFill>
          </w14:textFill>
        </w:rPr>
        <w:t>4.1 自然环境概况</w:t>
      </w:r>
      <w:bookmarkEnd w:id="306"/>
      <w:bookmarkEnd w:id="307"/>
      <w:bookmarkEnd w:id="308"/>
      <w:bookmarkEnd w:id="309"/>
      <w:bookmarkEnd w:id="310"/>
      <w:bookmarkEnd w:id="311"/>
      <w:bookmarkEnd w:id="312"/>
    </w:p>
    <w:p w14:paraId="0936E023">
      <w:pPr>
        <w:pStyle w:val="11"/>
        <w:keepNext/>
        <w:keepLines/>
        <w:pageBreakBefore w:val="0"/>
        <w:widowControl w:val="0"/>
        <w:kinsoku/>
        <w:wordWrap/>
        <w:overflowPunct/>
        <w:topLinePunct w:val="0"/>
        <w:autoSpaceDE/>
        <w:autoSpaceDN/>
        <w:bidi w:val="0"/>
        <w:adjustRightInd/>
        <w:snapToGrid/>
        <w:ind w:left="0"/>
        <w:textAlignment w:val="auto"/>
        <w:outlineLvl w:val="2"/>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bookmarkStart w:id="318" w:name="_Toc29758"/>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4.1.1 地理位置</w:t>
      </w:r>
      <w:bookmarkEnd w:id="318"/>
    </w:p>
    <w:p w14:paraId="14EF7C27">
      <w:pPr>
        <w:pStyle w:val="614"/>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t>本项目位于新疆维吾尔自治区乌鲁木齐市</w:t>
      </w:r>
      <w:r>
        <w:rPr>
          <w:rFonts w:hint="eastAsia" w:cs="Times New Roman" w:eastAsiaTheme="minorEastAsia"/>
          <w:snapToGrid w:val="0"/>
          <w:color w:val="000000" w:themeColor="text1"/>
          <w:sz w:val="24"/>
          <w:szCs w:val="20"/>
          <w:highlight w:val="none"/>
          <w:lang w:val="en-US" w:eastAsia="zh-CN"/>
          <w14:textFill>
            <w14:solidFill>
              <w14:schemeClr w14:val="tx1"/>
            </w14:solidFill>
          </w14:textFill>
        </w:rPr>
        <w:t>沙依巴克区</w:t>
      </w:r>
      <w:r>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t>，</w:t>
      </w:r>
      <w:r>
        <w:rPr>
          <w:rFonts w:hint="eastAsia" w:cs="Times New Roman" w:eastAsiaTheme="minorEastAsia"/>
          <w:snapToGrid w:val="0"/>
          <w:color w:val="000000" w:themeColor="text1"/>
          <w:sz w:val="24"/>
          <w:szCs w:val="20"/>
          <w:highlight w:val="none"/>
          <w:lang w:val="en-US" w:eastAsia="zh-CN"/>
          <w14:textFill>
            <w14:solidFill>
              <w14:schemeClr w14:val="tx1"/>
            </w14:solidFill>
          </w14:textFill>
        </w:rPr>
        <w:t>风电</w:t>
      </w:r>
      <w:r>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t>装机</w:t>
      </w:r>
      <w:r>
        <w:rPr>
          <w:rFonts w:hint="eastAsia" w:cs="Times New Roman" w:eastAsiaTheme="minorEastAsia"/>
          <w:snapToGrid w:val="0"/>
          <w:color w:val="000000" w:themeColor="text1"/>
          <w:sz w:val="24"/>
          <w:szCs w:val="20"/>
          <w:highlight w:val="none"/>
          <w:lang w:val="en-US" w:eastAsia="zh-CN"/>
          <w14:textFill>
            <w14:solidFill>
              <w14:schemeClr w14:val="tx1"/>
            </w14:solidFill>
          </w14:textFill>
        </w:rPr>
        <w:t>规模15</w:t>
      </w:r>
      <w:r>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t>万千瓦，</w:t>
      </w:r>
      <w:r>
        <w:rPr>
          <w:rFonts w:hint="eastAsia" w:cs="Times New Roman" w:eastAsiaTheme="minorEastAsia"/>
          <w:snapToGrid w:val="0"/>
          <w:color w:val="000000" w:themeColor="text1"/>
          <w:sz w:val="24"/>
          <w:szCs w:val="20"/>
          <w:highlight w:val="none"/>
          <w:lang w:val="en-US" w:eastAsia="zh-CN"/>
          <w14:textFill>
            <w14:solidFill>
              <w14:schemeClr w14:val="tx1"/>
            </w14:solidFill>
          </w14:textFill>
        </w:rPr>
        <w:t>共布设20台风机，位置较为分散，</w:t>
      </w:r>
      <w:r>
        <w:rPr>
          <w:rFonts w:hint="eastAsia" w:ascii="宋体" w:hAnsi="宋体" w:eastAsia="宋体"/>
          <w:color w:val="000000" w:themeColor="text1"/>
          <w:sz w:val="24"/>
          <w14:textFill>
            <w14:solidFill>
              <w14:schemeClr w14:val="tx1"/>
            </w14:solidFill>
          </w14:textFill>
        </w:rPr>
        <w:t>场区中心点</w:t>
      </w:r>
      <w:r>
        <w:rPr>
          <w:rFonts w:hint="eastAsia" w:ascii="宋体" w:hAnsi="宋体" w:eastAsia="宋体"/>
          <w:color w:val="000000" w:themeColor="text1"/>
          <w:sz w:val="24"/>
          <w:lang w:val="en-US" w:eastAsia="zh-CN"/>
          <w14:textFill>
            <w14:solidFill>
              <w14:schemeClr w14:val="tx1"/>
            </w14:solidFill>
          </w14:textFill>
        </w:rPr>
        <w:t>距</w:t>
      </w:r>
      <w:r>
        <w:rPr>
          <w:rFonts w:hint="eastAsia" w:ascii="宋体" w:hAnsi="宋体" w:eastAsia="宋体"/>
          <w:color w:val="000000" w:themeColor="text1"/>
          <w:sz w:val="24"/>
          <w14:textFill>
            <w14:solidFill>
              <w14:schemeClr w14:val="tx1"/>
            </w14:solidFill>
          </w14:textFill>
        </w:rPr>
        <w:t>乌鲁木齐市约</w:t>
      </w:r>
      <w:r>
        <w:rPr>
          <w:rFonts w:hint="eastAsia" w:ascii="TimesNewRomanPSMT" w:hAnsi="TimesNewRomanPSMT" w:eastAsia="TimesNewRomanPSMT"/>
          <w:color w:val="000000" w:themeColor="text1"/>
          <w:sz w:val="24"/>
          <w14:textFill>
            <w14:solidFill>
              <w14:schemeClr w14:val="tx1"/>
            </w14:solidFill>
          </w14:textFill>
        </w:rPr>
        <w:t xml:space="preserve">17km </w:t>
      </w:r>
      <w:r>
        <w:rPr>
          <w:rFonts w:hint="eastAsia" w:ascii="TimesNewRomanPSMT" w:hAnsi="TimesNewRomanPSMT" w:eastAsia="宋体"/>
          <w:color w:val="000000" w:themeColor="text1"/>
          <w:sz w:val="24"/>
          <w:lang w:eastAsia="zh-CN"/>
          <w14:textFill>
            <w14:solidFill>
              <w14:schemeClr w14:val="tx1"/>
            </w14:solidFill>
          </w14:textFill>
        </w:rPr>
        <w:t>，</w:t>
      </w:r>
      <w:r>
        <w:rPr>
          <w:rFonts w:hint="eastAsia" w:ascii="TimesNewRomanPSMT" w:hAnsi="TimesNewRomanPSMT" w:eastAsia="宋体"/>
          <w:color w:val="000000" w:themeColor="text1"/>
          <w:sz w:val="24"/>
          <w:lang w:val="en-US" w:eastAsia="zh-CN"/>
          <w14:textFill>
            <w14:solidFill>
              <w14:schemeClr w14:val="tx1"/>
            </w14:solidFill>
          </w14:textFill>
        </w:rPr>
        <w:t>G312、G216</w:t>
      </w:r>
      <w:r>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t>高速公路</w:t>
      </w:r>
      <w:r>
        <w:rPr>
          <w:rFonts w:hint="eastAsia" w:cs="Times New Roman" w:eastAsiaTheme="minorEastAsia"/>
          <w:snapToGrid w:val="0"/>
          <w:color w:val="000000" w:themeColor="text1"/>
          <w:sz w:val="24"/>
          <w:szCs w:val="20"/>
          <w:highlight w:val="none"/>
          <w:lang w:val="en-US" w:eastAsia="zh-CN"/>
          <w14:textFill>
            <w14:solidFill>
              <w14:schemeClr w14:val="tx1"/>
            </w14:solidFill>
          </w14:textFill>
        </w:rPr>
        <w:t>分别途径</w:t>
      </w:r>
      <w:r>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t>风电场</w:t>
      </w:r>
      <w:r>
        <w:rPr>
          <w:rFonts w:hint="eastAsia" w:cs="Times New Roman" w:eastAsiaTheme="minorEastAsia"/>
          <w:snapToGrid w:val="0"/>
          <w:color w:val="000000" w:themeColor="text1"/>
          <w:sz w:val="24"/>
          <w:szCs w:val="20"/>
          <w:highlight w:val="none"/>
          <w:lang w:val="en-US" w:eastAsia="zh-CN"/>
          <w14:textFill>
            <w14:solidFill>
              <w14:schemeClr w14:val="tx1"/>
            </w14:solidFill>
          </w14:textFill>
        </w:rPr>
        <w:t>东北侧和西北侧区域</w:t>
      </w:r>
      <w:r>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t>，场区附近交通条件便利，海拔高度集中在12</w:t>
      </w:r>
      <w:r>
        <w:rPr>
          <w:rFonts w:hint="eastAsia" w:cs="Times New Roman" w:eastAsiaTheme="minorEastAsia"/>
          <w:snapToGrid w:val="0"/>
          <w:color w:val="000000" w:themeColor="text1"/>
          <w:sz w:val="24"/>
          <w:szCs w:val="20"/>
          <w:highlight w:val="none"/>
          <w:lang w:val="en-US" w:eastAsia="zh-CN"/>
          <w14:textFill>
            <w14:solidFill>
              <w14:schemeClr w14:val="tx1"/>
            </w14:solidFill>
          </w14:textFill>
        </w:rPr>
        <w:t>00</w:t>
      </w:r>
      <w:r>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t>～1</w:t>
      </w:r>
      <w:r>
        <w:rPr>
          <w:rFonts w:hint="eastAsia" w:cs="Times New Roman" w:eastAsiaTheme="minorEastAsia"/>
          <w:snapToGrid w:val="0"/>
          <w:color w:val="000000" w:themeColor="text1"/>
          <w:sz w:val="24"/>
          <w:szCs w:val="20"/>
          <w:highlight w:val="none"/>
          <w:lang w:val="en-US" w:eastAsia="zh-CN"/>
          <w14:textFill>
            <w14:solidFill>
              <w14:schemeClr w14:val="tx1"/>
            </w14:solidFill>
          </w14:textFill>
        </w:rPr>
        <w:t>400</w:t>
      </w:r>
      <w:r>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t>m，场地开阔，地势</w:t>
      </w:r>
      <w:r>
        <w:rPr>
          <w:rFonts w:hint="eastAsia" w:cs="Times New Roman" w:eastAsiaTheme="minorEastAsia"/>
          <w:snapToGrid w:val="0"/>
          <w:color w:val="000000" w:themeColor="text1"/>
          <w:sz w:val="24"/>
          <w:szCs w:val="20"/>
          <w:highlight w:val="none"/>
          <w:lang w:val="en-US" w:eastAsia="zh-CN"/>
          <w14:textFill>
            <w14:solidFill>
              <w14:schemeClr w14:val="tx1"/>
            </w14:solidFill>
          </w14:textFill>
        </w:rPr>
        <w:t>南</w:t>
      </w:r>
      <w:r>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t>高</w:t>
      </w:r>
      <w:r>
        <w:rPr>
          <w:rFonts w:hint="eastAsia" w:cs="Times New Roman" w:eastAsiaTheme="minorEastAsia"/>
          <w:snapToGrid w:val="0"/>
          <w:color w:val="000000" w:themeColor="text1"/>
          <w:sz w:val="24"/>
          <w:szCs w:val="20"/>
          <w:highlight w:val="none"/>
          <w:lang w:val="en-US" w:eastAsia="zh-CN"/>
          <w14:textFill>
            <w14:solidFill>
              <w14:schemeClr w14:val="tx1"/>
            </w14:solidFill>
          </w14:textFill>
        </w:rPr>
        <w:t>北</w:t>
      </w:r>
      <w:r>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t>低。</w:t>
      </w:r>
    </w:p>
    <w:bookmarkEnd w:id="313"/>
    <w:bookmarkEnd w:id="314"/>
    <w:bookmarkEnd w:id="315"/>
    <w:bookmarkEnd w:id="316"/>
    <w:bookmarkEnd w:id="317"/>
    <w:p w14:paraId="55E06730">
      <w:pPr>
        <w:pStyle w:val="11"/>
        <w:keepNext/>
        <w:keepLines/>
        <w:pageBreakBefore w:val="0"/>
        <w:widowControl w:val="0"/>
        <w:kinsoku/>
        <w:wordWrap/>
        <w:overflowPunct/>
        <w:topLinePunct w:val="0"/>
        <w:autoSpaceDE/>
        <w:autoSpaceDN/>
        <w:bidi w:val="0"/>
        <w:adjustRightInd/>
        <w:snapToGrid/>
        <w:ind w:left="0"/>
        <w:textAlignment w:val="auto"/>
        <w:outlineLvl w:val="2"/>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bookmarkStart w:id="319" w:name="_Toc10305"/>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4.1.2 地形地貌</w:t>
      </w:r>
      <w:bookmarkEnd w:id="319"/>
    </w:p>
    <w:p w14:paraId="441D98AB">
      <w:pPr>
        <w:spacing w:beforeLines="0" w:afterLines="0"/>
        <w:ind w:left="0" w:leftChars="0" w:firstLine="480" w:firstLineChars="200"/>
        <w:jc w:val="left"/>
        <w:rPr>
          <w:rFonts w:hint="eastAsia" w:ascii="宋体" w:hAnsi="宋体" w:eastAsia="宋体" w:cs="宋体"/>
          <w:color w:val="000000" w:themeColor="text1"/>
          <w:sz w:val="24"/>
          <w:szCs w:val="20"/>
          <w:lang w:val="en-US" w:eastAsia="zh-CN"/>
          <w14:textFill>
            <w14:solidFill>
              <w14:schemeClr w14:val="tx1"/>
            </w14:solidFill>
          </w14:textFill>
        </w:rPr>
      </w:pPr>
      <w:r>
        <w:rPr>
          <w:rFonts w:hint="eastAsia" w:ascii="宋体" w:hAnsi="宋体" w:eastAsia="宋体" w:cs="宋体"/>
          <w:color w:val="000000" w:themeColor="text1"/>
          <w:sz w:val="24"/>
          <w:szCs w:val="20"/>
          <w:lang w:val="en-US" w:eastAsia="zh-CN"/>
          <w14:textFill>
            <w14:solidFill>
              <w14:schemeClr w14:val="tx1"/>
            </w14:solidFill>
          </w14:textFill>
        </w:rPr>
        <w:t>乌鲁木齐东、南、西三面环山，北部是倾斜平原及沙漠，地形起伏较大，地势南高北低，东高西低，市区地形较平坦，东南高、西北低，海拔高度在680～1008m之间，平均坡降1～1.8%。</w:t>
      </w:r>
    </w:p>
    <w:p w14:paraId="6F27A744">
      <w:pPr>
        <w:pageBreakBefore w:val="0"/>
        <w:widowControl w:val="0"/>
        <w:kinsoku/>
        <w:wordWrap/>
        <w:overflowPunct/>
        <w:topLinePunct w:val="0"/>
        <w:autoSpaceDE/>
        <w:autoSpaceDN/>
        <w:bidi w:val="0"/>
        <w:adjustRightInd/>
        <w:snapToGrid w:val="0"/>
        <w:spacing w:beforeLines="0" w:afterLines="0" w:line="360" w:lineRule="auto"/>
        <w:ind w:left="0" w:leftChars="0" w:firstLine="480" w:firstLineChars="200"/>
        <w:jc w:val="left"/>
        <w:textAlignment w:val="auto"/>
        <w:rPr>
          <w:rFonts w:hint="eastAsia" w:ascii="宋体" w:hAnsi="宋体" w:eastAsia="宋体" w:cs="宋体"/>
          <w:color w:val="000000" w:themeColor="text1"/>
          <w:sz w:val="24"/>
          <w:szCs w:val="20"/>
          <w:lang w:val="en-US" w:eastAsia="zh-CN"/>
          <w14:textFill>
            <w14:solidFill>
              <w14:schemeClr w14:val="tx1"/>
            </w14:solidFill>
          </w14:textFill>
        </w:rPr>
      </w:pPr>
      <w:r>
        <w:rPr>
          <w:rFonts w:hint="eastAsia" w:ascii="宋体" w:hAnsi="宋体" w:eastAsia="宋体" w:cs="宋体"/>
          <w:color w:val="000000" w:themeColor="text1"/>
          <w:sz w:val="24"/>
          <w:szCs w:val="20"/>
          <w:lang w:val="en-US" w:eastAsia="zh-CN"/>
          <w14:textFill>
            <w14:solidFill>
              <w14:schemeClr w14:val="tx1"/>
            </w14:solidFill>
          </w14:textFill>
        </w:rPr>
        <w:t>乌鲁木齐地貌按形态大致可划分为四类，即山地、山间盆地与丘陵、平原、沙漠。其中山地主要位于乌鲁木齐市区南部的天格尔山及东部的博格达山；山间盆地主要位于乌鲁木齐市西南部的柴窝堡盆地；丘陵主要分布于南山前缘及东山山麓地带；平原主要由东山、西山所狭的乌鲁木齐河谷平原及北部山前的冲洪积平原组成；沙漠主要位于米东区北部的古尔班通古特沙漠。本项目区是典型的山前冲洪积倾斜平原区，从南部山区沟谷发育向北延伸。</w:t>
      </w:r>
    </w:p>
    <w:p w14:paraId="1462AC4A">
      <w:pPr>
        <w:pStyle w:val="11"/>
        <w:keepNext/>
        <w:keepLines/>
        <w:pageBreakBefore w:val="0"/>
        <w:widowControl w:val="0"/>
        <w:kinsoku/>
        <w:wordWrap/>
        <w:overflowPunct/>
        <w:topLinePunct w:val="0"/>
        <w:autoSpaceDE/>
        <w:autoSpaceDN/>
        <w:bidi w:val="0"/>
        <w:adjustRightInd/>
        <w:snapToGrid w:val="0"/>
        <w:spacing w:line="360" w:lineRule="auto"/>
        <w:ind w:left="0"/>
        <w:textAlignment w:val="auto"/>
        <w:outlineLvl w:val="2"/>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bookmarkStart w:id="320" w:name="_Toc419"/>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4.1.3 地层岩性、地质构造及地震</w:t>
      </w:r>
      <w:bookmarkEnd w:id="320"/>
    </w:p>
    <w:p w14:paraId="07B95367">
      <w:pPr>
        <w:pStyle w:val="12"/>
        <w:pageBreakBefore w:val="0"/>
        <w:widowControl w:val="0"/>
        <w:kinsoku/>
        <w:wordWrap/>
        <w:overflowPunct/>
        <w:topLinePunct w:val="0"/>
        <w:autoSpaceDE/>
        <w:autoSpaceDN/>
        <w:bidi w:val="0"/>
        <w:adjustRightInd/>
        <w:snapToGrid w:val="0"/>
        <w:spacing w:before="0" w:after="0" w:line="360" w:lineRule="auto"/>
        <w:ind w:left="0" w:leftChars="0" w:firstLine="0" w:firstLineChars="0"/>
        <w:textAlignment w:val="auto"/>
        <w:outlineLvl w:val="3"/>
        <w:rPr>
          <w:rFonts w:hint="default" w:ascii="Times New Roman" w:hAnsi="Times New Roman" w:eastAsia="宋体" w:cs="Times New Roman"/>
          <w:b/>
          <w:bCs/>
          <w:color w:val="000000" w:themeColor="text1"/>
          <w:spacing w:val="0"/>
          <w:kern w:val="0"/>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kern w:val="0"/>
          <w:sz w:val="24"/>
          <w:szCs w:val="24"/>
          <w:lang w:val="en-US" w:eastAsia="zh-CN"/>
          <w14:textFill>
            <w14:solidFill>
              <w14:schemeClr w14:val="tx1"/>
            </w14:solidFill>
          </w14:textFill>
        </w:rPr>
        <w:t>4.1.3.1 地层岩性</w:t>
      </w:r>
    </w:p>
    <w:p w14:paraId="3391B95A">
      <w:pPr>
        <w:pageBreakBefore w:val="0"/>
        <w:widowControl w:val="0"/>
        <w:kinsoku/>
        <w:wordWrap/>
        <w:overflowPunct/>
        <w:topLinePunct w:val="0"/>
        <w:autoSpaceDE/>
        <w:autoSpaceDN/>
        <w:bidi w:val="0"/>
        <w:adjustRightInd/>
        <w:snapToGrid w:val="0"/>
        <w:spacing w:beforeLines="0" w:afterLines="0" w:line="360" w:lineRule="auto"/>
        <w:ind w:left="0" w:leftChars="0" w:firstLine="480" w:firstLineChars="200"/>
        <w:jc w:val="left"/>
        <w:textAlignment w:val="auto"/>
        <w:rPr>
          <w:rFonts w:hint="eastAsia" w:ascii="宋体" w:hAnsi="宋体" w:eastAsia="宋体"/>
          <w:sz w:val="24"/>
        </w:rPr>
      </w:pPr>
      <w:r>
        <w:rPr>
          <w:rFonts w:hint="eastAsia" w:ascii="宋体" w:hAnsi="宋体" w:eastAsia="宋体"/>
          <w:sz w:val="24"/>
        </w:rPr>
        <w:t>根据周边参考资料及区域地质资料，推测拟建场地的地层岩土种类、时代、成因、风化程度及状态等可分主要为圆砾。场地地层分布描述如下：</w:t>
      </w:r>
    </w:p>
    <w:p w14:paraId="4E3DA758">
      <w:pPr>
        <w:pageBreakBefore w:val="0"/>
        <w:widowControl w:val="0"/>
        <w:kinsoku/>
        <w:wordWrap/>
        <w:overflowPunct/>
        <w:topLinePunct w:val="0"/>
        <w:autoSpaceDE/>
        <w:autoSpaceDN/>
        <w:bidi w:val="0"/>
        <w:adjustRightInd/>
        <w:snapToGrid w:val="0"/>
        <w:spacing w:beforeLines="0" w:afterLines="0" w:line="360" w:lineRule="auto"/>
        <w:jc w:val="left"/>
        <w:textAlignment w:val="auto"/>
        <w:rPr>
          <w:rFonts w:hint="eastAsia" w:ascii="宋体" w:hAnsi="宋体" w:eastAsia="宋体"/>
          <w:sz w:val="24"/>
        </w:rPr>
      </w:pPr>
      <w:r>
        <w:rPr>
          <w:rFonts w:hint="eastAsia" w:ascii="宋体" w:hAnsi="宋体" w:eastAsia="宋体"/>
          <w:sz w:val="24"/>
        </w:rPr>
        <w:t>①圆砾（</w:t>
      </w:r>
      <w:r>
        <w:rPr>
          <w:rFonts w:hint="eastAsia" w:ascii="TimesNewRomanPSMT" w:hAnsi="TimesNewRomanPSMT" w:eastAsia="TimesNewRomanPSMT"/>
          <w:sz w:val="24"/>
        </w:rPr>
        <w:t>Q4al+pl</w:t>
      </w:r>
      <w:r>
        <w:rPr>
          <w:rFonts w:hint="eastAsia" w:ascii="宋体" w:hAnsi="宋体" w:eastAsia="宋体"/>
          <w:sz w:val="24"/>
        </w:rPr>
        <w:t>）：灰黄色～青灰色，干燥～稍湿，中密。主要成分为圆砾，颗</w:t>
      </w:r>
    </w:p>
    <w:p w14:paraId="2DC2A5B5">
      <w:pPr>
        <w:pageBreakBefore w:val="0"/>
        <w:widowControl w:val="0"/>
        <w:kinsoku/>
        <w:wordWrap/>
        <w:overflowPunct/>
        <w:topLinePunct w:val="0"/>
        <w:autoSpaceDE/>
        <w:autoSpaceDN/>
        <w:bidi w:val="0"/>
        <w:adjustRightInd/>
        <w:snapToGrid w:val="0"/>
        <w:spacing w:beforeLines="0" w:afterLines="0" w:line="360" w:lineRule="auto"/>
        <w:ind w:left="0" w:leftChars="0" w:firstLine="0" w:firstLineChars="0"/>
        <w:jc w:val="left"/>
        <w:textAlignment w:val="auto"/>
        <w:rPr>
          <w:rFonts w:hint="eastAsia" w:ascii="宋体" w:hAnsi="宋体" w:eastAsia="宋体"/>
          <w:sz w:val="24"/>
        </w:rPr>
      </w:pPr>
      <w:r>
        <w:rPr>
          <w:rFonts w:hint="eastAsia" w:ascii="宋体" w:hAnsi="宋体" w:eastAsia="宋体"/>
          <w:sz w:val="24"/>
        </w:rPr>
        <w:t>粒大小不均、连续性较好、级配良好，一般粒径</w:t>
      </w:r>
      <w:r>
        <w:rPr>
          <w:rFonts w:hint="eastAsia" w:ascii="TimesNewRomanPSMT" w:hAnsi="TimesNewRomanPSMT" w:eastAsia="TimesNewRomanPSMT"/>
          <w:sz w:val="24"/>
        </w:rPr>
        <w:t>2</w:t>
      </w:r>
      <w:r>
        <w:rPr>
          <w:rFonts w:hint="eastAsia" w:ascii="宋体" w:hAnsi="宋体" w:eastAsia="宋体"/>
          <w:sz w:val="24"/>
        </w:rPr>
        <w:t>～</w:t>
      </w:r>
      <w:r>
        <w:rPr>
          <w:rFonts w:hint="eastAsia" w:ascii="TimesNewRomanPSMT" w:hAnsi="TimesNewRomanPSMT" w:eastAsia="TimesNewRomanPSMT"/>
          <w:sz w:val="24"/>
        </w:rPr>
        <w:t>18mm</w:t>
      </w:r>
      <w:r>
        <w:rPr>
          <w:rFonts w:hint="eastAsia" w:ascii="宋体" w:hAnsi="宋体" w:eastAsia="宋体"/>
          <w:sz w:val="24"/>
        </w:rPr>
        <w:t>，最大粒径</w:t>
      </w:r>
      <w:r>
        <w:rPr>
          <w:rFonts w:hint="eastAsia" w:ascii="TimesNewRomanPSMT" w:hAnsi="TimesNewRomanPSMT" w:eastAsia="TimesNewRomanPSMT"/>
          <w:sz w:val="24"/>
        </w:rPr>
        <w:t>54mm</w:t>
      </w:r>
      <w:r>
        <w:rPr>
          <w:rFonts w:hint="eastAsia" w:ascii="宋体" w:hAnsi="宋体" w:eastAsia="宋体"/>
          <w:sz w:val="24"/>
        </w:rPr>
        <w:t>，磨圆度较好，多呈浑圆状和圆棱状，粗砂填充，局部有胶结现象难以挖掘需考虑该部分费用。</w:t>
      </w:r>
    </w:p>
    <w:p w14:paraId="5CAEE2B8">
      <w:pPr>
        <w:pageBreakBefore w:val="0"/>
        <w:widowControl w:val="0"/>
        <w:kinsoku/>
        <w:wordWrap/>
        <w:overflowPunct/>
        <w:topLinePunct w:val="0"/>
        <w:autoSpaceDE/>
        <w:autoSpaceDN/>
        <w:bidi w:val="0"/>
        <w:adjustRightInd/>
        <w:snapToGrid w:val="0"/>
        <w:spacing w:beforeLines="0" w:afterLines="0" w:line="360" w:lineRule="auto"/>
        <w:jc w:val="left"/>
        <w:textAlignment w:val="auto"/>
        <w:rPr>
          <w:rFonts w:hint="eastAsia" w:ascii="宋体" w:hAnsi="宋体" w:eastAsia="宋体" w:cs="Times New Roman"/>
          <w:b w:val="0"/>
          <w:kern w:val="0"/>
          <w:sz w:val="24"/>
          <w:lang w:val="en-US" w:eastAsia="zh-CN"/>
        </w:rPr>
      </w:pPr>
      <w:r>
        <w:rPr>
          <w:rFonts w:hint="eastAsia" w:ascii="宋体" w:hAnsi="宋体" w:eastAsia="宋体"/>
          <w:sz w:val="24"/>
        </w:rPr>
        <w:t>该层在拟建场地均有沉积，本次勘探深度</w:t>
      </w:r>
      <w:r>
        <w:rPr>
          <w:rFonts w:hint="eastAsia" w:ascii="TimesNewRomanPSMT" w:hAnsi="TimesNewRomanPSMT" w:eastAsia="TimesNewRomanPSMT"/>
          <w:sz w:val="24"/>
        </w:rPr>
        <w:t>15.0m</w:t>
      </w:r>
      <w:r>
        <w:rPr>
          <w:rFonts w:hint="eastAsia" w:ascii="宋体" w:hAnsi="宋体" w:eastAsia="宋体"/>
          <w:sz w:val="24"/>
        </w:rPr>
        <w:t>内未予揭穿。该层在勘探深</w:t>
      </w:r>
      <w:r>
        <w:rPr>
          <w:rFonts w:hint="eastAsia" w:ascii="宋体" w:hAnsi="宋体" w:eastAsia="宋体" w:cs="Times New Roman"/>
          <w:b w:val="0"/>
          <w:kern w:val="0"/>
          <w:sz w:val="24"/>
          <w:lang w:val="en-US" w:eastAsia="zh-CN"/>
        </w:rPr>
        <w:t>度10m</w:t>
      </w:r>
    </w:p>
    <w:p w14:paraId="55CFBB68">
      <w:pPr>
        <w:pageBreakBefore w:val="0"/>
        <w:widowControl w:val="0"/>
        <w:kinsoku/>
        <w:wordWrap/>
        <w:overflowPunct/>
        <w:topLinePunct w:val="0"/>
        <w:autoSpaceDE/>
        <w:autoSpaceDN/>
        <w:bidi w:val="0"/>
        <w:adjustRightInd/>
        <w:snapToGrid w:val="0"/>
        <w:spacing w:beforeLines="0" w:afterLines="0" w:line="360" w:lineRule="auto"/>
        <w:ind w:left="0" w:leftChars="0" w:firstLine="0" w:firstLineChars="0"/>
        <w:jc w:val="left"/>
        <w:textAlignment w:val="auto"/>
        <w:rPr>
          <w:rFonts w:hint="eastAsia" w:ascii="宋体" w:hAnsi="宋体" w:eastAsia="宋体" w:cs="Times New Roman"/>
          <w:b w:val="0"/>
          <w:kern w:val="0"/>
          <w:sz w:val="24"/>
          <w:lang w:val="en-US" w:eastAsia="zh-CN"/>
        </w:rPr>
      </w:pPr>
      <w:r>
        <w:rPr>
          <w:rFonts w:hint="eastAsia" w:ascii="宋体" w:hAnsi="宋体" w:eastAsia="宋体" w:cs="Times New Roman"/>
          <w:b w:val="0"/>
          <w:kern w:val="0"/>
          <w:sz w:val="24"/>
          <w:lang w:val="en-US" w:eastAsia="zh-CN"/>
        </w:rPr>
        <w:t>内未予揭穿。建议下一阶段进行实测。</w:t>
      </w:r>
    </w:p>
    <w:p w14:paraId="1A800670">
      <w:pPr>
        <w:pStyle w:val="12"/>
        <w:pageBreakBefore w:val="0"/>
        <w:widowControl w:val="0"/>
        <w:kinsoku/>
        <w:wordWrap/>
        <w:overflowPunct/>
        <w:topLinePunct w:val="0"/>
        <w:autoSpaceDE/>
        <w:autoSpaceDN/>
        <w:bidi w:val="0"/>
        <w:adjustRightInd/>
        <w:snapToGrid w:val="0"/>
        <w:spacing w:before="0" w:after="0" w:line="360" w:lineRule="auto"/>
        <w:ind w:left="0" w:leftChars="0" w:firstLine="0" w:firstLineChars="0"/>
        <w:textAlignment w:val="auto"/>
        <w:outlineLvl w:val="3"/>
        <w:rPr>
          <w:rFonts w:hint="default" w:ascii="Times New Roman" w:hAnsi="Times New Roman" w:eastAsia="宋体" w:cs="Times New Roman"/>
          <w:b/>
          <w:bCs/>
          <w:color w:val="000000" w:themeColor="text1"/>
          <w:spacing w:val="0"/>
          <w:kern w:val="0"/>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kern w:val="0"/>
          <w:sz w:val="24"/>
          <w:szCs w:val="24"/>
          <w:lang w:val="en-US" w:eastAsia="zh-CN"/>
          <w14:textFill>
            <w14:solidFill>
              <w14:schemeClr w14:val="tx1"/>
            </w14:solidFill>
          </w14:textFill>
        </w:rPr>
        <w:t>4.1.3.2 地质构造</w:t>
      </w:r>
      <w:r>
        <w:rPr>
          <w:rFonts w:hint="eastAsia" w:ascii="Times New Roman" w:hAnsi="Times New Roman" w:cs="Times New Roman"/>
          <w:b/>
          <w:bCs/>
          <w:color w:val="000000" w:themeColor="text1"/>
          <w:spacing w:val="0"/>
          <w:kern w:val="0"/>
          <w:sz w:val="24"/>
          <w:szCs w:val="24"/>
          <w:lang w:val="en-US" w:eastAsia="zh-CN"/>
          <w14:textFill>
            <w14:solidFill>
              <w14:schemeClr w14:val="tx1"/>
            </w14:solidFill>
          </w14:textFill>
        </w:rPr>
        <w:t>与地震</w:t>
      </w:r>
    </w:p>
    <w:p w14:paraId="44CA2933">
      <w:pPr>
        <w:keepNext w:val="0"/>
        <w:keepLines w:val="0"/>
        <w:pageBreakBefore w:val="0"/>
        <w:widowControl w:val="0"/>
        <w:kinsoku/>
        <w:wordWrap/>
        <w:overflowPunct/>
        <w:topLinePunct w:val="0"/>
        <w:autoSpaceDE/>
        <w:autoSpaceDN/>
        <w:bidi w:val="0"/>
        <w:adjustRightInd/>
        <w:snapToGrid w:val="0"/>
        <w:spacing w:beforeLines="0" w:afterLines="0" w:line="360" w:lineRule="auto"/>
        <w:jc w:val="left"/>
        <w:textAlignment w:val="auto"/>
        <w:rPr>
          <w:rFonts w:hint="eastAsia" w:ascii="宋体" w:hAnsi="宋体" w:eastAsia="宋体"/>
          <w:sz w:val="24"/>
        </w:rPr>
      </w:pPr>
      <w:r>
        <w:rPr>
          <w:rFonts w:hint="eastAsia" w:ascii="宋体" w:hAnsi="宋体" w:eastAsia="宋体"/>
          <w:sz w:val="24"/>
        </w:rPr>
        <w:t>根据现场地质调查及区域地质资料，拟建场地地层主要为第四系堆积物及下伏巨</w:t>
      </w:r>
    </w:p>
    <w:p w14:paraId="3A7C0F99">
      <w:pPr>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sz w:val="24"/>
        </w:rPr>
      </w:pPr>
      <w:r>
        <w:rPr>
          <w:rFonts w:hint="eastAsia" w:ascii="宋体" w:hAnsi="宋体" w:eastAsia="宋体"/>
          <w:sz w:val="24"/>
        </w:rPr>
        <w:t>厚基岩。第四系地层主要为山前冲洪积形成的堆积物（Q al+pl），由砾石层、砂、亚砂土组成，地貌单元为乌鲁木齐河河谷冲积作用形成的冲积平原。</w:t>
      </w:r>
    </w:p>
    <w:p w14:paraId="5BA39EF2">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ascii="宋体" w:hAnsi="宋体" w:eastAsia="宋体"/>
          <w:sz w:val="24"/>
        </w:rPr>
      </w:pPr>
      <w:r>
        <w:rPr>
          <w:rFonts w:hint="eastAsia" w:ascii="宋体" w:hAnsi="宋体" w:eastAsia="宋体"/>
          <w:sz w:val="24"/>
        </w:rPr>
        <w:t>拟建场地在构造单元上属乌鲁木齐山前拗陷带，位于西山背斜北翼，为一向北倾</w:t>
      </w:r>
    </w:p>
    <w:p w14:paraId="0CF390BC">
      <w:pPr>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sz w:val="24"/>
        </w:rPr>
      </w:pPr>
      <w:r>
        <w:rPr>
          <w:rFonts w:hint="eastAsia" w:ascii="宋体" w:hAnsi="宋体" w:eastAsia="宋体"/>
          <w:sz w:val="24"/>
        </w:rPr>
        <w:t>斜的单斜构造，岩层陡立，局部地段出现倒转，地层倾向一般在320°左右，倾角在75°～85°之间；在区域上主要受西山—碗窑沟及妖魔山—永丰乡隐伏断裂控制，这两条隐伏断裂均为活动断裂。在老构造的基础上，第四纪以来新构造运动极为活跃。虽时强时弱，但均一直在交替进行。</w:t>
      </w:r>
    </w:p>
    <w:p w14:paraId="6C03737C">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ascii="宋体" w:hAnsi="宋体" w:eastAsia="宋体"/>
          <w:sz w:val="24"/>
        </w:rPr>
      </w:pPr>
      <w:r>
        <w:rPr>
          <w:rFonts w:hint="eastAsia" w:ascii="宋体" w:hAnsi="宋体" w:eastAsia="宋体"/>
          <w:sz w:val="24"/>
        </w:rPr>
        <w:t>据《乌鲁木齐城市地质综合勘察报告》：区内于中更新世末、晚更新世中、晚更</w:t>
      </w:r>
    </w:p>
    <w:p w14:paraId="0AB7F05D">
      <w:pPr>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sz w:val="24"/>
        </w:rPr>
      </w:pPr>
      <w:r>
        <w:rPr>
          <w:rFonts w:hint="eastAsia" w:ascii="宋体" w:hAnsi="宋体" w:eastAsia="宋体"/>
          <w:sz w:val="24"/>
        </w:rPr>
        <w:t>新世末及全新世中，地壳分别上升了50m、10m、20m 及2m， 区内具有控制性的构造是西山逆断层。该断层沿骑马山南侧与西山公路以北通过；走向近东西，东端与碗窑沟逆断层相接，西段穿过头屯河水库而西延。断层面向北倾、倾角76°～78°，北盘（上盘）侏罗系逆冲到南盘（下盘）上更新统之上；北盘翘起形成单斜山地，断距30～60m，属压性结构，因受断层阻挡，泉水呈线状出露，并于断层线南侧（下盘）形成小型的第四系条带状储水洼地，从而决定了洼地内第四系厚度的变化规律。</w:t>
      </w:r>
    </w:p>
    <w:p w14:paraId="072F78FD">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ascii="宋体" w:hAnsi="宋体" w:eastAsia="宋体"/>
          <w:sz w:val="24"/>
        </w:rPr>
      </w:pPr>
      <w:r>
        <w:rPr>
          <w:rFonts w:hint="eastAsia" w:ascii="宋体" w:hAnsi="宋体" w:eastAsia="宋体"/>
          <w:sz w:val="24"/>
        </w:rPr>
        <w:t>据以上收集资料表明，场地内无断裂存在，距场地最近的断裂为妖魔山—永丰乡</w:t>
      </w:r>
    </w:p>
    <w:p w14:paraId="61056FBE">
      <w:pPr>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sz w:val="24"/>
        </w:rPr>
      </w:pPr>
      <w:r>
        <w:rPr>
          <w:rFonts w:hint="eastAsia" w:ascii="宋体" w:hAnsi="宋体" w:eastAsia="宋体"/>
          <w:sz w:val="24"/>
        </w:rPr>
        <w:t>隐伏断裂，为中等全新活动断裂，位于场地以南3km。可忽略发震断裂错动对地面建筑的影响，结合国家地震局及新疆地震局的区域地震资料，场区属于区域构造相对稳定区。</w:t>
      </w:r>
    </w:p>
    <w:p w14:paraId="104AC3A2">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jc w:val="left"/>
        <w:textAlignment w:val="auto"/>
        <w:rPr>
          <w:rFonts w:hint="eastAsia" w:ascii="宋体" w:hAnsi="宋体" w:eastAsia="宋体"/>
          <w:sz w:val="24"/>
        </w:rPr>
      </w:pPr>
      <w:r>
        <w:rPr>
          <w:rFonts w:hint="eastAsia" w:ascii="宋体" w:hAnsi="宋体" w:eastAsia="宋体"/>
          <w:sz w:val="24"/>
        </w:rPr>
        <w:t>根据《建筑抗震设计标准》GB/T50011-2010，建筑场地类别为II类，属抗震一般地段。依据《中国地震动参数区划图》(GB18306-2015)，拟建场区位于新疆乌鲁木齐市境内，在建筑场地类别为Ⅱ下：设计基本地震动峰值加速度为0.20g（相对应的地震基本烈度为8度），基本地震动加速度反应谱特征周期为0.40s。根据《建筑抗震设计标准》GB/T50011-2010附录A，设计地震分组为第二组。</w:t>
      </w:r>
    </w:p>
    <w:p w14:paraId="5763E319">
      <w:pPr>
        <w:pStyle w:val="12"/>
        <w:pageBreakBefore w:val="0"/>
        <w:widowControl w:val="0"/>
        <w:kinsoku/>
        <w:wordWrap/>
        <w:overflowPunct/>
        <w:topLinePunct w:val="0"/>
        <w:autoSpaceDE/>
        <w:autoSpaceDN/>
        <w:bidi w:val="0"/>
        <w:adjustRightInd/>
        <w:snapToGrid w:val="0"/>
        <w:spacing w:before="0" w:beforeLines="0" w:after="0" w:afterLines="0" w:line="360" w:lineRule="auto"/>
        <w:ind w:left="0" w:leftChars="0" w:firstLine="0" w:firstLineChars="0"/>
        <w:textAlignment w:val="auto"/>
        <w:outlineLvl w:val="3"/>
        <w:rPr>
          <w:rFonts w:hint="default" w:ascii="Times New Roman" w:hAnsi="Times New Roman" w:eastAsia="宋体" w:cs="Times New Roman"/>
          <w:b/>
          <w:bCs/>
          <w:color w:val="000000" w:themeColor="text1"/>
          <w:spacing w:val="0"/>
          <w:kern w:val="0"/>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kern w:val="0"/>
          <w:sz w:val="24"/>
          <w:szCs w:val="24"/>
          <w:lang w:val="en-US" w:eastAsia="zh-CN"/>
          <w14:textFill>
            <w14:solidFill>
              <w14:schemeClr w14:val="tx1"/>
            </w14:solidFill>
          </w14:textFill>
        </w:rPr>
        <w:t>4.1.3.</w:t>
      </w:r>
      <w:r>
        <w:rPr>
          <w:rFonts w:hint="eastAsia" w:ascii="Times New Roman" w:hAnsi="Times New Roman" w:eastAsia="宋体" w:cs="Times New Roman"/>
          <w:b/>
          <w:bCs/>
          <w:color w:val="000000" w:themeColor="text1"/>
          <w:spacing w:val="0"/>
          <w:kern w:val="0"/>
          <w:sz w:val="24"/>
          <w:szCs w:val="24"/>
          <w:lang w:val="en-US" w:eastAsia="zh-CN"/>
          <w14:textFill>
            <w14:solidFill>
              <w14:schemeClr w14:val="tx1"/>
            </w14:solidFill>
          </w14:textFill>
        </w:rPr>
        <w:t>3</w:t>
      </w:r>
      <w:r>
        <w:rPr>
          <w:rFonts w:hint="default" w:ascii="Times New Roman" w:hAnsi="Times New Roman" w:eastAsia="宋体" w:cs="Times New Roman"/>
          <w:b/>
          <w:bCs/>
          <w:color w:val="000000" w:themeColor="text1"/>
          <w:spacing w:val="0"/>
          <w:kern w:val="0"/>
          <w:sz w:val="24"/>
          <w:szCs w:val="24"/>
          <w:lang w:val="en-US" w:eastAsia="zh-CN"/>
          <w14:textFill>
            <w14:solidFill>
              <w14:schemeClr w14:val="tx1"/>
            </w14:solidFill>
          </w14:textFill>
        </w:rPr>
        <w:t xml:space="preserve"> 气候与气象</w:t>
      </w:r>
    </w:p>
    <w:p w14:paraId="0094C51D">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乌鲁木齐市地处欧亚大陆腹地，属于中温带大陆干旱性气候区。其气候特点是：昼夜温差大，寒暑变化剧烈；光照充足，降水稀少，蒸发强烈，夏季炎热，春秋季多大风，冬季寒冷漫长，四季分配不均匀，四季均有逆温出现，且冬季逆温出现频率最高，常常是白天近地层逆温与夜间贴地逆温相互交替出现。冬季采暖期达180d之多。乌鲁木齐市属温带半干旱气候，冬季寒冷，夏季干热，春季多风，秋季降温迅速。日照充足，降水少而不均，与其他季节相比，冬季风速小，静风频率高，年均雾日29d，多发生在冬季。</w:t>
      </w:r>
    </w:p>
    <w:p w14:paraId="20190853">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评价区域主要气候要素如下：</w:t>
      </w:r>
    </w:p>
    <w:p w14:paraId="70897F93">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年平均气温               7.5℃</w:t>
      </w:r>
    </w:p>
    <w:p w14:paraId="55D007EE">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7月平均最高气温         30.4℃</w:t>
      </w:r>
    </w:p>
    <w:p w14:paraId="187E5F7C">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1月平均最低气温         -18.1℃</w:t>
      </w:r>
    </w:p>
    <w:p w14:paraId="270535C6">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极端最高气温            40.5℃</w:t>
      </w:r>
    </w:p>
    <w:p w14:paraId="62CC1348">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极端最低气温            -41.5℃</w:t>
      </w:r>
    </w:p>
    <w:p w14:paraId="406520FB">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全年主导风向            西北偏西风(WNW)</w:t>
      </w:r>
    </w:p>
    <w:p w14:paraId="30C82D91">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年平均风速              2.3m/s</w:t>
      </w:r>
    </w:p>
    <w:p w14:paraId="39F86CC0">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夏季平均风速            2.8m/s</w:t>
      </w:r>
    </w:p>
    <w:p w14:paraId="730AACCC">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冬季平均风速            1.2m/s</w:t>
      </w:r>
    </w:p>
    <w:p w14:paraId="44B64818">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年平均降水量            271.4mm</w:t>
      </w:r>
    </w:p>
    <w:p w14:paraId="788B03E2">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年平均蒸发量            2164.2mm</w:t>
      </w:r>
    </w:p>
    <w:p w14:paraId="6E95FC9A">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年平均气压              950.2hPa</w:t>
      </w:r>
    </w:p>
    <w:p w14:paraId="1B4663A9">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最大积雪厚度            48cm</w:t>
      </w:r>
    </w:p>
    <w:p w14:paraId="24E93214">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最大冻土深度            162cm</w:t>
      </w:r>
    </w:p>
    <w:p w14:paraId="652F572C">
      <w:pPr>
        <w:pStyle w:val="12"/>
        <w:pageBreakBefore w:val="0"/>
        <w:widowControl w:val="0"/>
        <w:kinsoku/>
        <w:wordWrap/>
        <w:overflowPunct/>
        <w:topLinePunct w:val="0"/>
        <w:autoSpaceDE/>
        <w:autoSpaceDN/>
        <w:bidi w:val="0"/>
        <w:adjustRightInd/>
        <w:snapToGrid w:val="0"/>
        <w:spacing w:before="0" w:beforeLines="0" w:after="0" w:afterLines="0" w:line="360" w:lineRule="auto"/>
        <w:ind w:left="0" w:leftChars="0" w:firstLine="0" w:firstLineChars="0"/>
        <w:textAlignment w:val="auto"/>
        <w:outlineLvl w:val="3"/>
        <w:rPr>
          <w:rFonts w:hint="default" w:ascii="Times New Roman" w:hAnsi="Times New Roman" w:eastAsia="宋体" w:cs="Times New Roman"/>
          <w:b/>
          <w:bCs/>
          <w:color w:val="000000" w:themeColor="text1"/>
          <w:spacing w:val="0"/>
          <w:kern w:val="0"/>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kern w:val="0"/>
          <w:sz w:val="24"/>
          <w:szCs w:val="24"/>
          <w:lang w:val="en-US" w:eastAsia="zh-CN"/>
          <w14:textFill>
            <w14:solidFill>
              <w14:schemeClr w14:val="tx1"/>
            </w14:solidFill>
          </w14:textFill>
        </w:rPr>
        <w:t>4.1.3.</w:t>
      </w:r>
      <w:r>
        <w:rPr>
          <w:rFonts w:hint="eastAsia" w:ascii="Times New Roman" w:hAnsi="Times New Roman" w:eastAsia="宋体" w:cs="Times New Roman"/>
          <w:b/>
          <w:bCs/>
          <w:color w:val="000000" w:themeColor="text1"/>
          <w:spacing w:val="0"/>
          <w:kern w:val="0"/>
          <w:sz w:val="24"/>
          <w:szCs w:val="24"/>
          <w:lang w:val="en-US" w:eastAsia="zh-CN"/>
          <w14:textFill>
            <w14:solidFill>
              <w14:schemeClr w14:val="tx1"/>
            </w14:solidFill>
          </w14:textFill>
        </w:rPr>
        <w:t>4</w:t>
      </w:r>
      <w:r>
        <w:rPr>
          <w:rFonts w:hint="default" w:ascii="Times New Roman" w:hAnsi="Times New Roman" w:eastAsia="宋体" w:cs="Times New Roman"/>
          <w:b/>
          <w:bCs/>
          <w:color w:val="000000" w:themeColor="text1"/>
          <w:spacing w:val="0"/>
          <w:kern w:val="0"/>
          <w:sz w:val="24"/>
          <w:szCs w:val="24"/>
          <w:lang w:val="en-US" w:eastAsia="zh-CN"/>
          <w14:textFill>
            <w14:solidFill>
              <w14:schemeClr w14:val="tx1"/>
            </w14:solidFill>
          </w14:textFill>
        </w:rPr>
        <w:t xml:space="preserve"> 风能资源</w:t>
      </w:r>
    </w:p>
    <w:p w14:paraId="24780442">
      <w:pPr>
        <w:pageBreakBefore w:val="0"/>
        <w:widowControl w:val="0"/>
        <w:kinsoku/>
        <w:wordWrap/>
        <w:overflowPunct/>
        <w:topLinePunct w:val="0"/>
        <w:autoSpaceDE/>
        <w:autoSpaceDN/>
        <w:bidi w:val="0"/>
        <w:adjustRightInd/>
        <w:snapToGrid w:val="0"/>
        <w:spacing w:line="360" w:lineRule="auto"/>
        <w:ind w:left="0" w:leftChars="0" w:firstLine="480" w:firstLineChars="200"/>
        <w:jc w:val="left"/>
        <w:textAlignment w:val="auto"/>
        <w:rPr>
          <w:rFonts w:hint="eastAsia" w:ascii="宋体" w:hAnsi="宋体" w:eastAsia="宋体"/>
          <w:sz w:val="24"/>
        </w:rPr>
      </w:pPr>
      <w:r>
        <w:rPr>
          <w:rFonts w:hint="eastAsia" w:ascii="TimesNewRomanPSMT" w:hAnsi="TimesNewRomanPSMT" w:eastAsia="宋体"/>
          <w:sz w:val="24"/>
          <w:lang w:val="en-US" w:eastAsia="zh-CN"/>
        </w:rPr>
        <w:t>本项目</w:t>
      </w:r>
      <w:r>
        <w:rPr>
          <w:rFonts w:hint="eastAsia" w:ascii="宋体" w:hAnsi="宋体" w:eastAsia="宋体"/>
          <w:sz w:val="24"/>
        </w:rPr>
        <w:t>测风塔实测数据得到</w:t>
      </w:r>
      <w:r>
        <w:rPr>
          <w:rFonts w:hint="eastAsia" w:ascii="TimesNewRomanPSMT" w:hAnsi="TimesNewRomanPSMT" w:eastAsia="TimesNewRomanPSMT"/>
          <w:sz w:val="24"/>
        </w:rPr>
        <w:t>140m-A</w:t>
      </w:r>
      <w:r>
        <w:rPr>
          <w:rFonts w:hint="eastAsia" w:ascii="宋体" w:hAnsi="宋体" w:eastAsia="宋体"/>
          <w:sz w:val="24"/>
        </w:rPr>
        <w:t>、</w:t>
      </w:r>
      <w:r>
        <w:rPr>
          <w:rFonts w:hint="eastAsia" w:ascii="TimesNewRomanPSMT" w:hAnsi="TimesNewRomanPSMT" w:eastAsia="TimesNewRomanPSMT"/>
          <w:sz w:val="24"/>
        </w:rPr>
        <w:t>140m-B</w:t>
      </w:r>
      <w:r>
        <w:rPr>
          <w:rFonts w:hint="eastAsia" w:ascii="宋体" w:hAnsi="宋体" w:eastAsia="宋体"/>
          <w:sz w:val="24"/>
        </w:rPr>
        <w:t>、</w:t>
      </w:r>
      <w:r>
        <w:rPr>
          <w:rFonts w:hint="eastAsia" w:ascii="TimesNewRomanPSMT" w:hAnsi="TimesNewRomanPSMT" w:eastAsia="TimesNewRomanPSMT"/>
          <w:sz w:val="24"/>
        </w:rPr>
        <w:t>120m</w:t>
      </w:r>
      <w:r>
        <w:rPr>
          <w:rFonts w:hint="eastAsia" w:ascii="宋体" w:hAnsi="宋体" w:eastAsia="宋体"/>
          <w:sz w:val="24"/>
        </w:rPr>
        <w:t>、</w:t>
      </w:r>
      <w:r>
        <w:rPr>
          <w:rFonts w:hint="eastAsia" w:ascii="TimesNewRomanPSMT" w:hAnsi="TimesNewRomanPSMT" w:eastAsia="TimesNewRomanPSMT"/>
          <w:sz w:val="24"/>
        </w:rPr>
        <w:t>100m</w:t>
      </w:r>
      <w:r>
        <w:rPr>
          <w:rFonts w:hint="eastAsia" w:ascii="宋体" w:hAnsi="宋体" w:eastAsia="宋体"/>
          <w:sz w:val="24"/>
        </w:rPr>
        <w:t>、</w:t>
      </w:r>
      <w:r>
        <w:rPr>
          <w:rFonts w:hint="eastAsia" w:ascii="TimesNewRomanPSMT" w:hAnsi="TimesNewRomanPSMT" w:eastAsia="TimesNewRomanPSMT"/>
          <w:sz w:val="24"/>
        </w:rPr>
        <w:t>80m</w:t>
      </w:r>
      <w:r>
        <w:rPr>
          <w:rFonts w:hint="eastAsia" w:ascii="宋体" w:hAnsi="宋体" w:eastAsia="宋体"/>
          <w:sz w:val="24"/>
        </w:rPr>
        <w:t>、</w:t>
      </w:r>
      <w:r>
        <w:rPr>
          <w:rFonts w:hint="eastAsia" w:ascii="TimesNewRomanPSMT" w:hAnsi="TimesNewRomanPSMT" w:eastAsia="TimesNewRomanPSMT"/>
          <w:sz w:val="24"/>
        </w:rPr>
        <w:t>50m</w:t>
      </w:r>
      <w:r>
        <w:rPr>
          <w:rFonts w:hint="eastAsia" w:ascii="宋体" w:hAnsi="宋体" w:eastAsia="宋体"/>
          <w:sz w:val="24"/>
        </w:rPr>
        <w:t>、</w:t>
      </w:r>
      <w:r>
        <w:rPr>
          <w:rFonts w:hint="eastAsia" w:ascii="TimesNewRomanPSMT" w:hAnsi="TimesNewRomanPSMT" w:eastAsia="TimesNewRomanPSMT"/>
          <w:sz w:val="24"/>
        </w:rPr>
        <w:t>10m</w:t>
      </w:r>
      <w:r>
        <w:rPr>
          <w:rFonts w:hint="eastAsia" w:ascii="宋体" w:hAnsi="宋体" w:eastAsia="宋体"/>
          <w:sz w:val="24"/>
        </w:rPr>
        <w:t>高度实测平均风速分别为</w:t>
      </w:r>
      <w:r>
        <w:rPr>
          <w:rFonts w:hint="eastAsia" w:ascii="TimesNewRomanPSMT" w:hAnsi="TimesNewRomanPSMT" w:eastAsia="TimesNewRomanPSMT"/>
          <w:sz w:val="24"/>
        </w:rPr>
        <w:t>6.59m/s</w:t>
      </w:r>
      <w:r>
        <w:rPr>
          <w:rFonts w:hint="eastAsia" w:ascii="宋体" w:hAnsi="宋体" w:eastAsia="宋体"/>
          <w:sz w:val="24"/>
        </w:rPr>
        <w:t>、</w:t>
      </w:r>
      <w:r>
        <w:rPr>
          <w:rFonts w:hint="eastAsia" w:ascii="TimesNewRomanPSMT" w:hAnsi="TimesNewRomanPSMT" w:eastAsia="TimesNewRomanPSMT"/>
          <w:sz w:val="24"/>
        </w:rPr>
        <w:t>6.71m/s</w:t>
      </w:r>
      <w:r>
        <w:rPr>
          <w:rFonts w:hint="eastAsia" w:ascii="宋体" w:hAnsi="宋体" w:eastAsia="宋体"/>
          <w:sz w:val="24"/>
        </w:rPr>
        <w:t>、</w:t>
      </w:r>
      <w:r>
        <w:rPr>
          <w:rFonts w:hint="eastAsia" w:ascii="TimesNewRomanPSMT" w:hAnsi="TimesNewRomanPSMT" w:eastAsia="TimesNewRomanPSMT"/>
          <w:sz w:val="24"/>
        </w:rPr>
        <w:t>6.49m/s</w:t>
      </w:r>
      <w:r>
        <w:rPr>
          <w:rFonts w:hint="eastAsia" w:ascii="宋体" w:hAnsi="宋体" w:eastAsia="宋体"/>
          <w:sz w:val="24"/>
        </w:rPr>
        <w:t>、</w:t>
      </w:r>
      <w:r>
        <w:rPr>
          <w:rFonts w:hint="eastAsia" w:ascii="TimesNewRomanPSMT" w:hAnsi="TimesNewRomanPSMT" w:eastAsia="TimesNewRomanPSMT"/>
          <w:sz w:val="24"/>
        </w:rPr>
        <w:t>6.19m/s</w:t>
      </w:r>
      <w:r>
        <w:rPr>
          <w:rFonts w:hint="eastAsia" w:ascii="宋体" w:hAnsi="宋体" w:eastAsia="宋体"/>
          <w:sz w:val="24"/>
        </w:rPr>
        <w:t>、</w:t>
      </w:r>
      <w:r>
        <w:rPr>
          <w:rFonts w:hint="eastAsia" w:ascii="TimesNewRomanPSMT" w:hAnsi="TimesNewRomanPSMT" w:eastAsia="TimesNewRomanPSMT"/>
          <w:sz w:val="24"/>
        </w:rPr>
        <w:t>6.16m/s</w:t>
      </w:r>
      <w:r>
        <w:rPr>
          <w:rFonts w:hint="eastAsia" w:ascii="宋体" w:hAnsi="宋体" w:eastAsia="宋体"/>
          <w:sz w:val="24"/>
        </w:rPr>
        <w:t>、</w:t>
      </w:r>
      <w:r>
        <w:rPr>
          <w:rFonts w:hint="eastAsia" w:ascii="TimesNewRomanPSMT" w:hAnsi="TimesNewRomanPSMT" w:eastAsia="TimesNewRomanPSMT"/>
          <w:sz w:val="24"/>
        </w:rPr>
        <w:t>5.74m/s</w:t>
      </w:r>
      <w:r>
        <w:rPr>
          <w:rFonts w:hint="eastAsia" w:ascii="宋体" w:hAnsi="宋体" w:eastAsia="宋体"/>
          <w:sz w:val="24"/>
        </w:rPr>
        <w:t>、</w:t>
      </w:r>
      <w:r>
        <w:rPr>
          <w:rFonts w:hint="eastAsia" w:ascii="TimesNewRomanPSMT" w:hAnsi="TimesNewRomanPSMT" w:eastAsia="TimesNewRomanPSMT"/>
          <w:sz w:val="24"/>
        </w:rPr>
        <w:t>4.67m/s</w:t>
      </w:r>
      <w:r>
        <w:rPr>
          <w:rFonts w:hint="eastAsia" w:ascii="宋体" w:hAnsi="宋体" w:eastAsia="宋体"/>
          <w:sz w:val="24"/>
        </w:rPr>
        <w:t>，平均风功率密度分别为</w:t>
      </w:r>
      <w:r>
        <w:rPr>
          <w:rFonts w:hint="eastAsia" w:ascii="TimesNewRomanPSMT" w:hAnsi="TimesNewRomanPSMT" w:eastAsia="TimesNewRomanPSMT"/>
          <w:sz w:val="24"/>
        </w:rPr>
        <w:t>683W/m</w:t>
      </w:r>
      <w:r>
        <w:rPr>
          <w:rFonts w:hint="eastAsia" w:ascii="TimesNewRomanPSMT" w:hAnsi="TimesNewRomanPSMT" w:eastAsia="TimesNewRomanPSMT"/>
          <w:sz w:val="16"/>
        </w:rPr>
        <w:t>2</w:t>
      </w:r>
      <w:r>
        <w:rPr>
          <w:rFonts w:hint="eastAsia" w:ascii="宋体" w:hAnsi="宋体" w:eastAsia="宋体"/>
          <w:sz w:val="24"/>
        </w:rPr>
        <w:t>、</w:t>
      </w:r>
      <w:r>
        <w:rPr>
          <w:rFonts w:hint="eastAsia" w:ascii="TimesNewRomanPSMT" w:hAnsi="TimesNewRomanPSMT" w:eastAsia="TimesNewRomanPSMT"/>
          <w:sz w:val="24"/>
        </w:rPr>
        <w:t>678W/m</w:t>
      </w:r>
      <w:r>
        <w:rPr>
          <w:rFonts w:hint="eastAsia" w:ascii="TimesNewRomanPSMT" w:hAnsi="TimesNewRomanPSMT" w:eastAsia="TimesNewRomanPSMT"/>
          <w:sz w:val="16"/>
        </w:rPr>
        <w:t>2</w:t>
      </w:r>
      <w:r>
        <w:rPr>
          <w:rFonts w:hint="eastAsia" w:ascii="宋体" w:hAnsi="宋体" w:eastAsia="宋体"/>
          <w:sz w:val="24"/>
        </w:rPr>
        <w:t>、</w:t>
      </w:r>
      <w:r>
        <w:rPr>
          <w:rFonts w:hint="eastAsia" w:ascii="TimesNewRomanPSMT" w:hAnsi="TimesNewRomanPSMT" w:eastAsia="TimesNewRomanPSMT"/>
          <w:sz w:val="24"/>
        </w:rPr>
        <w:t>621W/m</w:t>
      </w:r>
      <w:r>
        <w:rPr>
          <w:rFonts w:hint="eastAsia" w:ascii="TimesNewRomanPSMT" w:hAnsi="TimesNewRomanPSMT" w:eastAsia="TimesNewRomanPSMT"/>
          <w:sz w:val="16"/>
        </w:rPr>
        <w:t>2</w:t>
      </w:r>
      <w:r>
        <w:rPr>
          <w:rFonts w:hint="eastAsia" w:ascii="宋体" w:hAnsi="宋体" w:eastAsia="宋体"/>
          <w:sz w:val="24"/>
        </w:rPr>
        <w:t>、</w:t>
      </w:r>
      <w:r>
        <w:rPr>
          <w:rFonts w:hint="eastAsia" w:ascii="TimesNewRomanPSMT" w:hAnsi="TimesNewRomanPSMT" w:eastAsia="TimesNewRomanPSMT"/>
          <w:sz w:val="24"/>
        </w:rPr>
        <w:t>564W/m</w:t>
      </w:r>
      <w:r>
        <w:rPr>
          <w:rFonts w:hint="eastAsia" w:ascii="TimesNewRomanPSMT" w:hAnsi="TimesNewRomanPSMT" w:eastAsia="TimesNewRomanPSMT"/>
          <w:sz w:val="16"/>
        </w:rPr>
        <w:t>2</w:t>
      </w:r>
      <w:r>
        <w:rPr>
          <w:rFonts w:hint="eastAsia" w:ascii="宋体" w:hAnsi="宋体" w:eastAsia="宋体"/>
          <w:sz w:val="24"/>
        </w:rPr>
        <w:t>、</w:t>
      </w:r>
      <w:r>
        <w:rPr>
          <w:rFonts w:hint="eastAsia" w:ascii="TimesNewRomanPSMT" w:hAnsi="TimesNewRomanPSMT" w:eastAsia="TimesNewRomanPSMT"/>
          <w:sz w:val="24"/>
        </w:rPr>
        <w:t>507W/m</w:t>
      </w:r>
      <w:r>
        <w:rPr>
          <w:rFonts w:hint="eastAsia" w:ascii="TimesNewRomanPSMT" w:hAnsi="TimesNewRomanPSMT" w:eastAsia="TimesNewRomanPSMT"/>
          <w:sz w:val="16"/>
        </w:rPr>
        <w:t>2</w:t>
      </w:r>
      <w:r>
        <w:rPr>
          <w:rFonts w:hint="eastAsia" w:ascii="宋体" w:hAnsi="宋体" w:eastAsia="宋体"/>
          <w:sz w:val="24"/>
        </w:rPr>
        <w:t>、</w:t>
      </w:r>
      <w:r>
        <w:rPr>
          <w:rFonts w:hint="eastAsia" w:ascii="TimesNewRomanPSMT" w:hAnsi="TimesNewRomanPSMT" w:eastAsia="TimesNewRomanPSMT"/>
          <w:sz w:val="24"/>
        </w:rPr>
        <w:t>404W/m</w:t>
      </w:r>
      <w:r>
        <w:rPr>
          <w:rFonts w:hint="eastAsia" w:ascii="TimesNewRomanPSMT" w:hAnsi="TimesNewRomanPSMT" w:eastAsia="TimesNewRomanPSMT"/>
          <w:sz w:val="16"/>
        </w:rPr>
        <w:t>2</w:t>
      </w:r>
      <w:r>
        <w:rPr>
          <w:rFonts w:hint="eastAsia" w:ascii="宋体" w:hAnsi="宋体" w:eastAsia="宋体"/>
          <w:sz w:val="24"/>
        </w:rPr>
        <w:t>、</w:t>
      </w:r>
      <w:r>
        <w:rPr>
          <w:rFonts w:hint="eastAsia" w:ascii="TimesNewRomanPSMT" w:hAnsi="TimesNewRomanPSMT" w:eastAsia="TimesNewRomanPSMT"/>
          <w:sz w:val="24"/>
        </w:rPr>
        <w:t>215W/m</w:t>
      </w:r>
      <w:r>
        <w:rPr>
          <w:rFonts w:hint="eastAsia" w:ascii="TimesNewRomanPSMT" w:hAnsi="TimesNewRomanPSMT" w:eastAsia="TimesNewRomanPSMT"/>
          <w:sz w:val="16"/>
        </w:rPr>
        <w:t>2</w:t>
      </w:r>
      <w:r>
        <w:rPr>
          <w:rFonts w:hint="eastAsia" w:ascii="宋体" w:hAnsi="宋体" w:eastAsia="宋体"/>
          <w:sz w:val="24"/>
        </w:rPr>
        <w:t>。</w:t>
      </w:r>
    </w:p>
    <w:p w14:paraId="42340025">
      <w:pPr>
        <w:pageBreakBefore w:val="0"/>
        <w:widowControl w:val="0"/>
        <w:kinsoku/>
        <w:wordWrap/>
        <w:overflowPunct/>
        <w:topLinePunct w:val="0"/>
        <w:autoSpaceDE/>
        <w:autoSpaceDN/>
        <w:bidi w:val="0"/>
        <w:adjustRightInd/>
        <w:snapToGrid w:val="0"/>
        <w:spacing w:line="360" w:lineRule="auto"/>
        <w:jc w:val="left"/>
        <w:textAlignment w:val="auto"/>
        <w:rPr>
          <w:rFonts w:hint="eastAsia" w:ascii="宋体" w:hAnsi="宋体" w:eastAsia="宋体"/>
          <w:sz w:val="24"/>
        </w:rPr>
      </w:pPr>
      <w:r>
        <w:rPr>
          <w:rFonts w:hint="eastAsia" w:ascii="TimesNewRomanPSMT" w:hAnsi="TimesNewRomanPSMT" w:eastAsia="TimesNewRomanPSMT"/>
          <w:sz w:val="24"/>
        </w:rPr>
        <w:t>P1#</w:t>
      </w:r>
      <w:r>
        <w:rPr>
          <w:rFonts w:hint="eastAsia" w:ascii="宋体" w:hAnsi="宋体" w:eastAsia="宋体"/>
          <w:sz w:val="24"/>
        </w:rPr>
        <w:t>测风塔</w:t>
      </w:r>
      <w:r>
        <w:rPr>
          <w:rFonts w:hint="eastAsia" w:ascii="TimesNewRomanPSMT" w:hAnsi="TimesNewRomanPSMT" w:eastAsia="TimesNewRomanPSMT"/>
          <w:sz w:val="24"/>
        </w:rPr>
        <w:t>120m</w:t>
      </w:r>
      <w:r>
        <w:rPr>
          <w:rFonts w:hint="eastAsia" w:ascii="宋体" w:hAnsi="宋体" w:eastAsia="宋体"/>
          <w:sz w:val="24"/>
        </w:rPr>
        <w:t>高度风速主要分布在</w:t>
      </w:r>
      <w:r>
        <w:rPr>
          <w:rFonts w:hint="eastAsia" w:ascii="TimesNewRomanPSMT" w:hAnsi="TimesNewRomanPSMT" w:eastAsia="TimesNewRomanPSMT"/>
          <w:sz w:val="24"/>
        </w:rPr>
        <w:t>1</w:t>
      </w:r>
      <w:r>
        <w:rPr>
          <w:rFonts w:hint="eastAsia" w:ascii="宋体" w:hAnsi="宋体" w:eastAsia="宋体"/>
          <w:sz w:val="24"/>
        </w:rPr>
        <w:t>～</w:t>
      </w:r>
      <w:r>
        <w:rPr>
          <w:rFonts w:hint="eastAsia" w:ascii="TimesNewRomanPSMT" w:hAnsi="TimesNewRomanPSMT" w:eastAsia="TimesNewRomanPSMT"/>
          <w:sz w:val="24"/>
        </w:rPr>
        <w:t>7m/s</w:t>
      </w:r>
      <w:r>
        <w:rPr>
          <w:rFonts w:hint="eastAsia" w:ascii="宋体" w:hAnsi="宋体" w:eastAsia="宋体"/>
          <w:sz w:val="24"/>
        </w:rPr>
        <w:t>之间的占比为</w:t>
      </w:r>
      <w:r>
        <w:rPr>
          <w:rFonts w:hint="eastAsia" w:ascii="TimesNewRomanPSMT" w:hAnsi="TimesNewRomanPSMT" w:eastAsia="TimesNewRomanPSMT"/>
          <w:sz w:val="24"/>
        </w:rPr>
        <w:t>64.462%</w:t>
      </w:r>
      <w:r>
        <w:rPr>
          <w:rFonts w:hint="eastAsia" w:ascii="宋体" w:hAnsi="宋体" w:eastAsia="宋体"/>
          <w:sz w:val="24"/>
        </w:rPr>
        <w:t>，风能主要</w:t>
      </w:r>
    </w:p>
    <w:p w14:paraId="2EFA469E">
      <w:pPr>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sz w:val="24"/>
        </w:rPr>
      </w:pPr>
      <w:r>
        <w:rPr>
          <w:rFonts w:hint="eastAsia" w:ascii="宋体" w:hAnsi="宋体" w:eastAsia="宋体"/>
          <w:sz w:val="24"/>
        </w:rPr>
        <w:t>分布在</w:t>
      </w:r>
      <w:r>
        <w:rPr>
          <w:rFonts w:hint="eastAsia" w:ascii="TimesNewRomanPSMT" w:hAnsi="TimesNewRomanPSMT" w:eastAsia="TimesNewRomanPSMT"/>
          <w:sz w:val="24"/>
        </w:rPr>
        <w:t>11</w:t>
      </w:r>
      <w:r>
        <w:rPr>
          <w:rFonts w:hint="eastAsia" w:ascii="宋体" w:hAnsi="宋体" w:eastAsia="宋体"/>
          <w:sz w:val="24"/>
        </w:rPr>
        <w:t>～</w:t>
      </w:r>
      <w:r>
        <w:rPr>
          <w:rFonts w:hint="eastAsia" w:ascii="TimesNewRomanPSMT" w:hAnsi="TimesNewRomanPSMT" w:eastAsia="TimesNewRomanPSMT"/>
          <w:sz w:val="24"/>
        </w:rPr>
        <w:t>23m/s</w:t>
      </w:r>
      <w:r>
        <w:rPr>
          <w:rFonts w:hint="eastAsia" w:ascii="宋体" w:hAnsi="宋体" w:eastAsia="宋体"/>
          <w:sz w:val="24"/>
        </w:rPr>
        <w:t>之间的占比为</w:t>
      </w:r>
      <w:r>
        <w:rPr>
          <w:rFonts w:hint="eastAsia" w:ascii="TimesNewRomanPSMT" w:hAnsi="TimesNewRomanPSMT" w:eastAsia="TimesNewRomanPSMT"/>
          <w:sz w:val="24"/>
        </w:rPr>
        <w:t>82.355%</w:t>
      </w:r>
      <w:r>
        <w:rPr>
          <w:rFonts w:hint="eastAsia" w:ascii="宋体" w:hAnsi="宋体" w:eastAsia="宋体"/>
          <w:sz w:val="24"/>
        </w:rPr>
        <w:t>；</w:t>
      </w:r>
      <w:r>
        <w:rPr>
          <w:rFonts w:hint="eastAsia" w:ascii="TimesNewRomanPSMT" w:hAnsi="TimesNewRomanPSMT" w:eastAsia="TimesNewRomanPSMT"/>
          <w:sz w:val="24"/>
        </w:rPr>
        <w:t>100m</w:t>
      </w:r>
      <w:r>
        <w:rPr>
          <w:rFonts w:hint="eastAsia" w:ascii="宋体" w:hAnsi="宋体" w:eastAsia="宋体"/>
          <w:sz w:val="24"/>
        </w:rPr>
        <w:t>高度风速分布在</w:t>
      </w:r>
      <w:r>
        <w:rPr>
          <w:rFonts w:hint="eastAsia" w:ascii="TimesNewRomanPSMT" w:hAnsi="TimesNewRomanPSMT" w:eastAsia="TimesNewRomanPSMT"/>
          <w:sz w:val="24"/>
        </w:rPr>
        <w:t>1</w:t>
      </w:r>
      <w:r>
        <w:rPr>
          <w:rFonts w:hint="eastAsia" w:ascii="宋体" w:hAnsi="宋体" w:eastAsia="宋体"/>
          <w:sz w:val="24"/>
        </w:rPr>
        <w:t>～</w:t>
      </w:r>
      <w:r>
        <w:rPr>
          <w:rFonts w:hint="eastAsia" w:ascii="TimesNewRomanPSMT" w:hAnsi="TimesNewRomanPSMT" w:eastAsia="TimesNewRomanPSMT"/>
          <w:sz w:val="24"/>
        </w:rPr>
        <w:t>7m/s</w:t>
      </w:r>
      <w:r>
        <w:rPr>
          <w:rFonts w:hint="eastAsia" w:ascii="宋体" w:hAnsi="宋体" w:eastAsia="宋体"/>
          <w:sz w:val="24"/>
        </w:rPr>
        <w:t>之间的占比为</w:t>
      </w:r>
      <w:r>
        <w:rPr>
          <w:rFonts w:hint="eastAsia" w:ascii="TimesNewRomanPSMT" w:hAnsi="TimesNewRomanPSMT" w:eastAsia="TimesNewRomanPSMT"/>
          <w:sz w:val="24"/>
        </w:rPr>
        <w:t>61.99%</w:t>
      </w:r>
      <w:r>
        <w:rPr>
          <w:rFonts w:hint="eastAsia" w:ascii="宋体" w:hAnsi="宋体" w:eastAsia="宋体"/>
          <w:sz w:val="24"/>
        </w:rPr>
        <w:t>，风能分布在</w:t>
      </w:r>
      <w:r>
        <w:rPr>
          <w:rFonts w:hint="eastAsia" w:ascii="TimesNewRomanPSMT" w:hAnsi="TimesNewRomanPSMT" w:eastAsia="TimesNewRomanPSMT"/>
          <w:sz w:val="24"/>
        </w:rPr>
        <w:t>11</w:t>
      </w:r>
      <w:r>
        <w:rPr>
          <w:rFonts w:hint="eastAsia" w:ascii="宋体" w:hAnsi="宋体" w:eastAsia="宋体"/>
          <w:sz w:val="24"/>
        </w:rPr>
        <w:t>～</w:t>
      </w:r>
      <w:r>
        <w:rPr>
          <w:rFonts w:hint="eastAsia" w:ascii="TimesNewRomanPSMT" w:hAnsi="TimesNewRomanPSMT" w:eastAsia="TimesNewRomanPSMT"/>
          <w:sz w:val="24"/>
        </w:rPr>
        <w:t>22m/s</w:t>
      </w:r>
      <w:r>
        <w:rPr>
          <w:rFonts w:hint="eastAsia" w:ascii="宋体" w:hAnsi="宋体" w:eastAsia="宋体"/>
          <w:sz w:val="24"/>
        </w:rPr>
        <w:t>之间的占比为</w:t>
      </w:r>
      <w:r>
        <w:rPr>
          <w:rFonts w:hint="eastAsia" w:ascii="TimesNewRomanPSMT" w:hAnsi="TimesNewRomanPSMT" w:eastAsia="TimesNewRomanPSMT"/>
          <w:sz w:val="24"/>
        </w:rPr>
        <w:t>80.857%</w:t>
      </w:r>
      <w:r>
        <w:rPr>
          <w:rFonts w:hint="eastAsia" w:ascii="宋体" w:hAnsi="宋体" w:eastAsia="宋体"/>
          <w:sz w:val="24"/>
        </w:rPr>
        <w:t>。低风速在测风时段所占时间比较多，风电场应选择适应此风况特点的机型。</w:t>
      </w:r>
    </w:p>
    <w:p w14:paraId="080EEB08">
      <w:pPr>
        <w:pStyle w:val="19"/>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color w:val="FF0000"/>
          <w:highlight w:val="none"/>
          <w:lang w:val="en-US" w:eastAsia="zh-CN"/>
        </w:rPr>
      </w:pP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根据《风电场风能资源评估方法》(GB/T18710-2002</w:t>
      </w:r>
      <w:r>
        <w:rPr>
          <w:rFonts w:hint="default" w:ascii="Times New Roman" w:hAnsi="Times New Roman" w:cs="Times New Roman" w:eastAsiaTheme="minorEastAsia"/>
          <w:color w:val="000000" w:themeColor="text1"/>
          <w:sz w:val="24"/>
          <w:szCs w:val="24"/>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风功率密度等级评判标准，本风电场风功率等级为</w:t>
      </w:r>
      <w:r>
        <w:rPr>
          <w:rFonts w:hint="eastAsia" w:cs="Times New Roman" w:eastAsiaTheme="minorEastAsia"/>
          <w:color w:val="000000" w:themeColor="text1"/>
          <w:sz w:val="24"/>
          <w:szCs w:val="24"/>
          <w:highlight w:val="none"/>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级，风能资源</w:t>
      </w:r>
      <w:r>
        <w:rPr>
          <w:rFonts w:hint="eastAsia" w:cs="Times New Roman" w:eastAsiaTheme="minorEastAsia"/>
          <w:color w:val="000000" w:themeColor="text1"/>
          <w:sz w:val="24"/>
          <w:szCs w:val="24"/>
          <w:highlight w:val="none"/>
          <w:lang w:val="en-US" w:eastAsia="zh-CN"/>
          <w14:textFill>
            <w14:solidFill>
              <w14:schemeClr w14:val="tx1"/>
            </w14:solidFill>
          </w14:textFill>
        </w:rPr>
        <w:t>较</w:t>
      </w: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好。</w:t>
      </w:r>
    </w:p>
    <w:p w14:paraId="71B2B976">
      <w:pPr>
        <w:pStyle w:val="11"/>
        <w:keepNext/>
        <w:keepLines/>
        <w:pageBreakBefore w:val="0"/>
        <w:widowControl w:val="0"/>
        <w:kinsoku/>
        <w:wordWrap/>
        <w:overflowPunct/>
        <w:topLinePunct w:val="0"/>
        <w:autoSpaceDE/>
        <w:autoSpaceDN/>
        <w:bidi w:val="0"/>
        <w:adjustRightInd/>
        <w:snapToGrid w:val="0"/>
        <w:spacing w:beforeLines="0" w:afterLines="0" w:line="360" w:lineRule="auto"/>
        <w:ind w:left="0"/>
        <w:textAlignment w:val="auto"/>
        <w:outlineLvl w:val="2"/>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bookmarkStart w:id="321" w:name="_Toc5674"/>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4.1.4 水文</w:t>
      </w:r>
      <w:bookmarkEnd w:id="321"/>
    </w:p>
    <w:p w14:paraId="1498D6A6">
      <w:pPr>
        <w:pStyle w:val="12"/>
        <w:pageBreakBefore w:val="0"/>
        <w:widowControl w:val="0"/>
        <w:kinsoku/>
        <w:wordWrap/>
        <w:overflowPunct/>
        <w:topLinePunct w:val="0"/>
        <w:autoSpaceDE/>
        <w:autoSpaceDN/>
        <w:bidi w:val="0"/>
        <w:adjustRightInd/>
        <w:snapToGrid w:val="0"/>
        <w:spacing w:before="0" w:beforeLines="0" w:after="0" w:afterLines="0" w:line="360" w:lineRule="auto"/>
        <w:ind w:left="0" w:leftChars="0" w:firstLine="0" w:firstLineChars="0"/>
        <w:textAlignment w:val="auto"/>
        <w:outlineLvl w:val="3"/>
        <w:rPr>
          <w:rFonts w:hint="eastAsia" w:ascii="TimesNewRomanPSMT" w:hAnsi="TimesNewRomanPSMT" w:eastAsia="TimesNewRomanPSMT" w:cs="Times New Roman"/>
          <w:b/>
          <w:bCs/>
          <w:kern w:val="0"/>
          <w:sz w:val="24"/>
          <w:lang w:val="en-US" w:eastAsia="zh-CN"/>
        </w:rPr>
      </w:pPr>
      <w:bookmarkStart w:id="322" w:name="_Toc391020946"/>
      <w:bookmarkStart w:id="323" w:name="_Toc25136958"/>
      <w:bookmarkStart w:id="324" w:name="_Toc294859125"/>
      <w:bookmarkStart w:id="325" w:name="_Toc25982999"/>
      <w:bookmarkStart w:id="326" w:name="_Toc36519160"/>
      <w:bookmarkStart w:id="327" w:name="_Toc313005922"/>
      <w:bookmarkStart w:id="328" w:name="_Toc340737545"/>
      <w:bookmarkStart w:id="329" w:name="_Toc25833788"/>
      <w:bookmarkStart w:id="330" w:name="_Toc74627172"/>
      <w:bookmarkStart w:id="331" w:name="_Toc391021171"/>
      <w:r>
        <w:rPr>
          <w:rFonts w:hint="eastAsia" w:ascii="TimesNewRomanPSMT" w:hAnsi="TimesNewRomanPSMT" w:eastAsia="TimesNewRomanPSMT" w:cs="Times New Roman"/>
          <w:b/>
          <w:bCs/>
          <w:kern w:val="0"/>
          <w:sz w:val="24"/>
          <w:lang w:val="en-US" w:eastAsia="zh-CN"/>
        </w:rPr>
        <w:t>4.1.4.1地表水</w:t>
      </w:r>
    </w:p>
    <w:p w14:paraId="32BD2E98">
      <w:pPr>
        <w:pageBreakBefore w:val="0"/>
        <w:widowControl w:val="0"/>
        <w:kinsoku/>
        <w:wordWrap/>
        <w:overflowPunct/>
        <w:topLinePunct w:val="0"/>
        <w:autoSpaceDE/>
        <w:autoSpaceDN/>
        <w:bidi w:val="0"/>
        <w:adjustRightInd/>
        <w:snapToGrid w:val="0"/>
        <w:spacing w:line="360" w:lineRule="auto"/>
        <w:ind w:left="0" w:leftChars="0" w:firstLine="480" w:firstLineChars="200"/>
        <w:jc w:val="left"/>
        <w:textAlignment w:val="auto"/>
        <w:rPr>
          <w:rFonts w:hint="eastAsia" w:ascii="宋体" w:hAnsi="宋体" w:eastAsia="宋体"/>
          <w:sz w:val="24"/>
        </w:rPr>
      </w:pPr>
      <w:r>
        <w:rPr>
          <w:rFonts w:hint="eastAsia" w:ascii="宋体" w:hAnsi="宋体" w:eastAsia="宋体"/>
          <w:sz w:val="24"/>
        </w:rPr>
        <w:t>乌鲁木齐河是中国新疆维吾尔自治区乌鲁木齐市和五家渠市的一条内流河，位于天山山脉北坡中段，发源于天山山脉喀拉乌成山天格尔Ⅱ峰附近乌鲁木齐县的天山乌鲁木齐河源</w:t>
      </w:r>
      <w:r>
        <w:rPr>
          <w:rFonts w:hint="eastAsia" w:ascii="TimesNewRomanPSMT" w:hAnsi="TimesNewRomanPSMT" w:eastAsia="TimesNewRomanPSMT"/>
          <w:sz w:val="24"/>
        </w:rPr>
        <w:t xml:space="preserve">1 </w:t>
      </w:r>
      <w:r>
        <w:rPr>
          <w:rFonts w:hint="eastAsia" w:ascii="宋体" w:hAnsi="宋体" w:eastAsia="宋体"/>
          <w:sz w:val="24"/>
        </w:rPr>
        <w:t>号冰川，自南流向北东北，流经英雄桥出山口后，至乌拉泊折向正北，横穿乌鲁木齐市天山区、沙依巴克区、新市区等，进入五家渠市，最后流入准噶尔盆地南缘米东区的东道海子，全长</w:t>
      </w:r>
      <w:r>
        <w:rPr>
          <w:rFonts w:hint="eastAsia" w:ascii="TimesNewRomanPSMT" w:hAnsi="TimesNewRomanPSMT" w:eastAsia="TimesNewRomanPSMT"/>
          <w:sz w:val="24"/>
        </w:rPr>
        <w:t xml:space="preserve">214 </w:t>
      </w:r>
      <w:r>
        <w:rPr>
          <w:rFonts w:hint="eastAsia" w:ascii="宋体" w:hAnsi="宋体" w:eastAsia="宋体"/>
          <w:sz w:val="24"/>
        </w:rPr>
        <w:t>公里，流域面积</w:t>
      </w:r>
      <w:r>
        <w:rPr>
          <w:rFonts w:hint="eastAsia" w:ascii="TimesNewRomanPSMT" w:hAnsi="TimesNewRomanPSMT" w:eastAsia="TimesNewRomanPSMT"/>
          <w:sz w:val="24"/>
        </w:rPr>
        <w:t xml:space="preserve">5803 </w:t>
      </w:r>
      <w:r>
        <w:rPr>
          <w:rFonts w:hint="eastAsia" w:ascii="宋体" w:hAnsi="宋体" w:eastAsia="宋体"/>
          <w:sz w:val="24"/>
        </w:rPr>
        <w:t>平方千米。年径流量</w:t>
      </w:r>
      <w:r>
        <w:rPr>
          <w:rFonts w:hint="eastAsia" w:ascii="TimesNewRomanPSMT" w:hAnsi="TimesNewRomanPSMT" w:eastAsia="TimesNewRomanPSMT"/>
          <w:sz w:val="24"/>
        </w:rPr>
        <w:t xml:space="preserve">2.37 </w:t>
      </w:r>
      <w:r>
        <w:rPr>
          <w:rFonts w:hint="eastAsia" w:ascii="宋体" w:hAnsi="宋体" w:eastAsia="宋体"/>
          <w:sz w:val="24"/>
        </w:rPr>
        <w:t>亿立方米，是一条冰雪融水、降雨及地下水混合补给的河流。</w:t>
      </w:r>
    </w:p>
    <w:p w14:paraId="4091BF46">
      <w:pPr>
        <w:pageBreakBefore w:val="0"/>
        <w:widowControl w:val="0"/>
        <w:kinsoku/>
        <w:wordWrap/>
        <w:overflowPunct/>
        <w:topLinePunct w:val="0"/>
        <w:autoSpaceDE/>
        <w:autoSpaceDN/>
        <w:bidi w:val="0"/>
        <w:adjustRightInd/>
        <w:snapToGrid w:val="0"/>
        <w:spacing w:line="360" w:lineRule="auto"/>
        <w:ind w:left="0" w:leftChars="0" w:firstLine="480" w:firstLineChars="200"/>
        <w:jc w:val="left"/>
        <w:textAlignment w:val="auto"/>
        <w:rPr>
          <w:rFonts w:hint="eastAsia" w:ascii="宋体" w:hAnsi="宋体" w:eastAsia="宋体"/>
          <w:sz w:val="24"/>
        </w:rPr>
      </w:pPr>
      <w:r>
        <w:rPr>
          <w:rFonts w:hint="eastAsia" w:ascii="宋体" w:hAnsi="宋体" w:eastAsia="宋体"/>
          <w:sz w:val="24"/>
        </w:rPr>
        <w:t>乌鲁木齐河上游又称大西沟，中游称和平渠，下游称老龙河。是新疆维吾尔自治区乌鲁木齐市工农业生产和城市生活用水的主要水源。沿河建有乌拉泊、红雁池、八一、猛进水库，总库容</w:t>
      </w:r>
      <w:r>
        <w:rPr>
          <w:rFonts w:hint="eastAsia" w:ascii="TimesNewRomanPSMT" w:hAnsi="TimesNewRomanPSMT" w:eastAsia="TimesNewRomanPSMT"/>
          <w:sz w:val="24"/>
        </w:rPr>
        <w:t xml:space="preserve">1.8 </w:t>
      </w:r>
      <w:r>
        <w:rPr>
          <w:rFonts w:hint="eastAsia" w:ascii="宋体" w:hAnsi="宋体" w:eastAsia="宋体"/>
          <w:sz w:val="24"/>
        </w:rPr>
        <w:t>亿立方米。</w:t>
      </w:r>
    </w:p>
    <w:p w14:paraId="0945A2C8">
      <w:pPr>
        <w:pageBreakBefore w:val="0"/>
        <w:widowControl w:val="0"/>
        <w:kinsoku/>
        <w:wordWrap/>
        <w:overflowPunct/>
        <w:topLinePunct w:val="0"/>
        <w:autoSpaceDE/>
        <w:autoSpaceDN/>
        <w:bidi w:val="0"/>
        <w:adjustRightInd/>
        <w:snapToGrid w:val="0"/>
        <w:spacing w:line="360" w:lineRule="auto"/>
        <w:jc w:val="left"/>
        <w:textAlignment w:val="auto"/>
        <w:rPr>
          <w:rFonts w:hint="eastAsia" w:ascii="宋体" w:hAnsi="宋体" w:eastAsia="宋体"/>
          <w:sz w:val="24"/>
        </w:rPr>
      </w:pPr>
      <w:r>
        <w:rPr>
          <w:rFonts w:hint="eastAsia" w:ascii="宋体" w:hAnsi="宋体" w:eastAsia="宋体"/>
          <w:sz w:val="24"/>
        </w:rPr>
        <w:t>（</w:t>
      </w:r>
      <w:r>
        <w:rPr>
          <w:rFonts w:hint="eastAsia" w:ascii="TimesNewRomanPSMT" w:hAnsi="TimesNewRomanPSMT" w:eastAsia="TimesNewRomanPSMT"/>
          <w:sz w:val="24"/>
        </w:rPr>
        <w:t>1</w:t>
      </w:r>
      <w:r>
        <w:rPr>
          <w:rFonts w:hint="eastAsia" w:ascii="宋体" w:hAnsi="宋体" w:eastAsia="宋体"/>
          <w:sz w:val="24"/>
        </w:rPr>
        <w:t>）水文特征</w:t>
      </w:r>
    </w:p>
    <w:p w14:paraId="6643FAA4">
      <w:pPr>
        <w:pageBreakBefore w:val="0"/>
        <w:widowControl w:val="0"/>
        <w:kinsoku/>
        <w:wordWrap/>
        <w:overflowPunct/>
        <w:topLinePunct w:val="0"/>
        <w:autoSpaceDE/>
        <w:autoSpaceDN/>
        <w:bidi w:val="0"/>
        <w:adjustRightInd/>
        <w:snapToGrid w:val="0"/>
        <w:spacing w:line="360" w:lineRule="auto"/>
        <w:ind w:left="0" w:leftChars="0" w:firstLine="480" w:firstLineChars="200"/>
        <w:jc w:val="left"/>
        <w:textAlignment w:val="auto"/>
        <w:rPr>
          <w:rFonts w:hint="eastAsia" w:ascii="宋体" w:hAnsi="宋体" w:eastAsia="宋体"/>
          <w:sz w:val="24"/>
        </w:rPr>
      </w:pPr>
      <w:r>
        <w:rPr>
          <w:rFonts w:hint="eastAsia" w:ascii="宋体" w:hAnsi="宋体" w:eastAsia="宋体"/>
          <w:sz w:val="24"/>
        </w:rPr>
        <w:t>乌鲁木齐河是一条冰雪融水、降雨及地下水混合补给的河流，其多年平均径流量为</w:t>
      </w:r>
      <w:r>
        <w:rPr>
          <w:rFonts w:hint="eastAsia" w:ascii="TimesNewRomanPSMT" w:hAnsi="TimesNewRomanPSMT" w:eastAsia="TimesNewRomanPSMT"/>
          <w:sz w:val="24"/>
        </w:rPr>
        <w:t xml:space="preserve">2.44 </w:t>
      </w:r>
      <w:r>
        <w:rPr>
          <w:rFonts w:hint="eastAsia" w:ascii="宋体" w:hAnsi="宋体" w:eastAsia="宋体"/>
          <w:sz w:val="24"/>
        </w:rPr>
        <w:t>亿立方米，年最大径流量为</w:t>
      </w:r>
      <w:r>
        <w:rPr>
          <w:rFonts w:hint="eastAsia" w:ascii="TimesNewRomanPSMT" w:hAnsi="TimesNewRomanPSMT" w:eastAsia="TimesNewRomanPSMT"/>
          <w:sz w:val="24"/>
        </w:rPr>
        <w:t xml:space="preserve">3.44 </w:t>
      </w:r>
      <w:r>
        <w:rPr>
          <w:rFonts w:hint="eastAsia" w:ascii="宋体" w:hAnsi="宋体" w:eastAsia="宋体"/>
          <w:sz w:val="24"/>
        </w:rPr>
        <w:t>亿立方米，年最小径流量为</w:t>
      </w:r>
      <w:r>
        <w:rPr>
          <w:rFonts w:hint="eastAsia" w:ascii="TimesNewRomanPSMT" w:hAnsi="TimesNewRomanPSMT" w:eastAsia="TimesNewRomanPSMT"/>
          <w:sz w:val="24"/>
        </w:rPr>
        <w:t xml:space="preserve">1.75 </w:t>
      </w:r>
      <w:r>
        <w:rPr>
          <w:rFonts w:hint="eastAsia" w:ascii="宋体" w:hAnsi="宋体" w:eastAsia="宋体"/>
          <w:sz w:val="24"/>
        </w:rPr>
        <w:t>亿立方米，最大最小年径流量的比值为</w:t>
      </w:r>
      <w:r>
        <w:rPr>
          <w:rFonts w:hint="eastAsia" w:ascii="TimesNewRomanPSMT" w:hAnsi="TimesNewRomanPSMT" w:eastAsia="TimesNewRomanPSMT"/>
          <w:sz w:val="24"/>
        </w:rPr>
        <w:t>1.96</w:t>
      </w:r>
      <w:r>
        <w:rPr>
          <w:rFonts w:hint="eastAsia" w:ascii="宋体" w:hAnsi="宋体" w:eastAsia="宋体"/>
          <w:sz w:val="24"/>
        </w:rPr>
        <w:t>，</w:t>
      </w:r>
      <w:r>
        <w:rPr>
          <w:rFonts w:hint="eastAsia" w:ascii="TimesNewRomanPSMT" w:hAnsi="TimesNewRomanPSMT" w:eastAsia="TimesNewRomanPSMT"/>
          <w:sz w:val="24"/>
        </w:rPr>
        <w:t xml:space="preserve">6-9 </w:t>
      </w:r>
      <w:r>
        <w:rPr>
          <w:rFonts w:hint="eastAsia" w:ascii="宋体" w:hAnsi="宋体" w:eastAsia="宋体"/>
          <w:sz w:val="24"/>
        </w:rPr>
        <w:t>月径流量为</w:t>
      </w:r>
      <w:r>
        <w:rPr>
          <w:rFonts w:hint="eastAsia" w:ascii="TimesNewRomanPSMT" w:hAnsi="TimesNewRomanPSMT" w:eastAsia="TimesNewRomanPSMT"/>
          <w:sz w:val="24"/>
        </w:rPr>
        <w:t xml:space="preserve">1.9 </w:t>
      </w:r>
      <w:r>
        <w:rPr>
          <w:rFonts w:hint="eastAsia" w:ascii="宋体" w:hAnsi="宋体" w:eastAsia="宋体"/>
          <w:sz w:val="24"/>
        </w:rPr>
        <w:t>亿立方米，占年径流量的</w:t>
      </w:r>
      <w:r>
        <w:rPr>
          <w:rFonts w:hint="eastAsia" w:ascii="TimesNewRomanPSMT" w:hAnsi="TimesNewRomanPSMT" w:eastAsia="TimesNewRomanPSMT"/>
          <w:sz w:val="24"/>
        </w:rPr>
        <w:t>79%</w:t>
      </w:r>
      <w:r>
        <w:rPr>
          <w:rFonts w:hint="eastAsia" w:ascii="宋体" w:hAnsi="宋体" w:eastAsia="宋体"/>
          <w:sz w:val="24"/>
        </w:rPr>
        <w:t>，而灌溉季节</w:t>
      </w:r>
      <w:r>
        <w:rPr>
          <w:rFonts w:hint="eastAsia" w:ascii="TimesNewRomanPSMT" w:hAnsi="TimesNewRomanPSMT" w:eastAsia="TimesNewRomanPSMT"/>
          <w:sz w:val="24"/>
        </w:rPr>
        <w:t xml:space="preserve">4-5 </w:t>
      </w:r>
      <w:r>
        <w:rPr>
          <w:rFonts w:hint="eastAsia" w:ascii="宋体" w:hAnsi="宋体" w:eastAsia="宋体"/>
          <w:sz w:val="24"/>
        </w:rPr>
        <w:t>月径流量仅占年径流量的</w:t>
      </w:r>
      <w:r>
        <w:rPr>
          <w:rFonts w:hint="eastAsia" w:ascii="TimesNewRomanPSMT" w:hAnsi="TimesNewRomanPSMT" w:eastAsia="TimesNewRomanPSMT"/>
          <w:sz w:val="24"/>
        </w:rPr>
        <w:t>9%</w:t>
      </w:r>
      <w:r>
        <w:rPr>
          <w:rFonts w:hint="eastAsia" w:ascii="宋体" w:hAnsi="宋体" w:eastAsia="宋体"/>
          <w:sz w:val="24"/>
        </w:rPr>
        <w:t>，其径流组成大致为，冰川融水占</w:t>
      </w:r>
      <w:r>
        <w:rPr>
          <w:rFonts w:hint="eastAsia" w:ascii="TimesNewRomanPSMT" w:hAnsi="TimesNewRomanPSMT" w:eastAsia="TimesNewRomanPSMT"/>
          <w:sz w:val="24"/>
        </w:rPr>
        <w:t>12%</w:t>
      </w:r>
      <w:r>
        <w:rPr>
          <w:rFonts w:hint="eastAsia" w:ascii="宋体" w:hAnsi="宋体" w:eastAsia="宋体"/>
          <w:sz w:val="24"/>
        </w:rPr>
        <w:t>，融雪水占</w:t>
      </w:r>
      <w:r>
        <w:rPr>
          <w:rFonts w:hint="eastAsia" w:ascii="TimesNewRomanPSMT" w:hAnsi="TimesNewRomanPSMT" w:eastAsia="TimesNewRomanPSMT"/>
          <w:sz w:val="24"/>
        </w:rPr>
        <w:t>37%</w:t>
      </w:r>
      <w:r>
        <w:rPr>
          <w:rFonts w:hint="eastAsia" w:ascii="宋体" w:hAnsi="宋体" w:eastAsia="宋体"/>
          <w:sz w:val="24"/>
        </w:rPr>
        <w:t>，降雨占</w:t>
      </w:r>
      <w:r>
        <w:rPr>
          <w:rFonts w:hint="eastAsia" w:ascii="TimesNewRomanPSMT" w:hAnsi="TimesNewRomanPSMT" w:eastAsia="TimesNewRomanPSMT"/>
          <w:sz w:val="24"/>
        </w:rPr>
        <w:t>36%</w:t>
      </w:r>
      <w:r>
        <w:rPr>
          <w:rFonts w:hint="eastAsia" w:ascii="宋体" w:hAnsi="宋体" w:eastAsia="宋体"/>
          <w:sz w:val="24"/>
        </w:rPr>
        <w:t>，地下水占</w:t>
      </w:r>
      <w:r>
        <w:rPr>
          <w:rFonts w:hint="eastAsia" w:ascii="TimesNewRomanPSMT" w:hAnsi="TimesNewRomanPSMT" w:eastAsia="TimesNewRomanPSMT"/>
          <w:sz w:val="24"/>
        </w:rPr>
        <w:t>15%</w:t>
      </w:r>
      <w:r>
        <w:rPr>
          <w:rFonts w:hint="eastAsia" w:ascii="宋体" w:hAnsi="宋体" w:eastAsia="宋体"/>
          <w:sz w:val="24"/>
        </w:rPr>
        <w:t>。乌鲁木齐河流域内冰川覆盖率和降水差异，造成了径流变化的差异性特征。流域内发育</w:t>
      </w:r>
      <w:r>
        <w:rPr>
          <w:rFonts w:hint="eastAsia" w:ascii="TimesNewRomanPSMT" w:hAnsi="TimesNewRomanPSMT" w:eastAsia="TimesNewRomanPSMT"/>
          <w:sz w:val="24"/>
        </w:rPr>
        <w:t xml:space="preserve">7 </w:t>
      </w:r>
      <w:r>
        <w:rPr>
          <w:rFonts w:hint="eastAsia" w:ascii="宋体" w:hAnsi="宋体" w:eastAsia="宋体"/>
          <w:sz w:val="24"/>
        </w:rPr>
        <w:t>条冰川，冰川总面积</w:t>
      </w:r>
      <w:r>
        <w:rPr>
          <w:rFonts w:hint="eastAsia" w:ascii="TimesNewRomanPSMT" w:hAnsi="TimesNewRomanPSMT" w:eastAsia="TimesNewRomanPSMT"/>
          <w:sz w:val="24"/>
        </w:rPr>
        <w:t xml:space="preserve">8 </w:t>
      </w:r>
      <w:r>
        <w:rPr>
          <w:rFonts w:hint="eastAsia" w:ascii="宋体" w:hAnsi="宋体" w:eastAsia="宋体"/>
          <w:sz w:val="24"/>
        </w:rPr>
        <w:t>平方公里，多年平均降水量</w:t>
      </w:r>
      <w:r>
        <w:rPr>
          <w:rFonts w:hint="eastAsia" w:ascii="TimesNewRomanPSMT" w:hAnsi="TimesNewRomanPSMT" w:eastAsia="TimesNewRomanPSMT"/>
          <w:sz w:val="24"/>
        </w:rPr>
        <w:t xml:space="preserve">560 </w:t>
      </w:r>
      <w:r>
        <w:rPr>
          <w:rFonts w:hint="eastAsia" w:ascii="宋体" w:hAnsi="宋体" w:eastAsia="宋体"/>
          <w:sz w:val="24"/>
        </w:rPr>
        <w:t>毫米，平均流量</w:t>
      </w:r>
      <w:r>
        <w:rPr>
          <w:rFonts w:hint="eastAsia" w:ascii="TimesNewRomanPSMT" w:hAnsi="TimesNewRomanPSMT" w:eastAsia="TimesNewRomanPSMT"/>
          <w:sz w:val="24"/>
        </w:rPr>
        <w:t xml:space="preserve">0.85 </w:t>
      </w:r>
      <w:r>
        <w:rPr>
          <w:rFonts w:hint="eastAsia" w:ascii="宋体" w:hAnsi="宋体" w:eastAsia="宋体"/>
          <w:sz w:val="24"/>
        </w:rPr>
        <w:t>立方米每秒，平均径流深</w:t>
      </w:r>
      <w:r>
        <w:rPr>
          <w:rFonts w:hint="eastAsia" w:ascii="TimesNewRomanPSMT" w:hAnsi="TimesNewRomanPSMT" w:eastAsia="TimesNewRomanPSMT"/>
          <w:sz w:val="24"/>
        </w:rPr>
        <w:t xml:space="preserve">422 </w:t>
      </w:r>
      <w:r>
        <w:rPr>
          <w:rFonts w:hint="eastAsia" w:ascii="宋体" w:hAnsi="宋体" w:eastAsia="宋体"/>
          <w:sz w:val="24"/>
        </w:rPr>
        <w:t>毫米。中国冰川编目资料所显示，跃进桥水文站以上流域冰川覆盖率约为</w:t>
      </w:r>
      <w:r>
        <w:rPr>
          <w:rFonts w:hint="eastAsia" w:ascii="TimesNewRomanPSMT" w:hAnsi="TimesNewRomanPSMT" w:eastAsia="TimesNewRomanPSMT"/>
          <w:sz w:val="24"/>
        </w:rPr>
        <w:t>8.9%</w:t>
      </w:r>
      <w:r>
        <w:rPr>
          <w:rFonts w:hint="eastAsia" w:ascii="宋体" w:hAnsi="宋体" w:eastAsia="宋体"/>
          <w:sz w:val="24"/>
        </w:rPr>
        <w:t>，英雄桥水文站以上流域冰川覆盖率略大于</w:t>
      </w:r>
      <w:r>
        <w:rPr>
          <w:rFonts w:hint="eastAsia" w:ascii="TimesNewRomanPSMT" w:hAnsi="TimesNewRomanPSMT" w:eastAsia="TimesNewRomanPSMT"/>
          <w:sz w:val="24"/>
        </w:rPr>
        <w:t>4.0%</w:t>
      </w:r>
      <w:r>
        <w:rPr>
          <w:rFonts w:hint="eastAsia" w:ascii="宋体" w:hAnsi="宋体" w:eastAsia="宋体"/>
          <w:sz w:val="24"/>
        </w:rPr>
        <w:t>，冰川融水径流约占总径流的</w:t>
      </w:r>
      <w:r>
        <w:rPr>
          <w:rFonts w:hint="eastAsia" w:ascii="TimesNewRomanPSMT" w:hAnsi="TimesNewRomanPSMT" w:eastAsia="TimesNewRomanPSMT"/>
          <w:sz w:val="24"/>
        </w:rPr>
        <w:t>8%</w:t>
      </w:r>
      <w:r>
        <w:rPr>
          <w:rFonts w:hint="eastAsia" w:ascii="宋体" w:hAnsi="宋体" w:eastAsia="宋体"/>
          <w:sz w:val="24"/>
        </w:rPr>
        <w:t>左右。</w:t>
      </w:r>
    </w:p>
    <w:p w14:paraId="543AC4C5">
      <w:pPr>
        <w:pageBreakBefore w:val="0"/>
        <w:widowControl w:val="0"/>
        <w:kinsoku/>
        <w:wordWrap/>
        <w:overflowPunct/>
        <w:topLinePunct w:val="0"/>
        <w:autoSpaceDE/>
        <w:autoSpaceDN/>
        <w:bidi w:val="0"/>
        <w:adjustRightInd/>
        <w:snapToGrid w:val="0"/>
        <w:spacing w:line="360" w:lineRule="auto"/>
        <w:jc w:val="left"/>
        <w:textAlignment w:val="auto"/>
        <w:rPr>
          <w:rFonts w:hint="eastAsia" w:ascii="宋体" w:hAnsi="宋体" w:eastAsia="宋体"/>
          <w:sz w:val="24"/>
        </w:rPr>
      </w:pPr>
      <w:r>
        <w:rPr>
          <w:rFonts w:hint="eastAsia" w:ascii="宋体" w:hAnsi="宋体" w:eastAsia="宋体"/>
          <w:sz w:val="24"/>
        </w:rPr>
        <w:t>（</w:t>
      </w:r>
      <w:r>
        <w:rPr>
          <w:rFonts w:hint="eastAsia" w:ascii="TimesNewRomanPSMT" w:hAnsi="TimesNewRomanPSMT" w:eastAsia="TimesNewRomanPSMT"/>
          <w:sz w:val="24"/>
        </w:rPr>
        <w:t>2</w:t>
      </w:r>
      <w:r>
        <w:rPr>
          <w:rFonts w:hint="eastAsia" w:ascii="宋体" w:hAnsi="宋体" w:eastAsia="宋体"/>
          <w:sz w:val="24"/>
        </w:rPr>
        <w:t>）水系特点</w:t>
      </w:r>
    </w:p>
    <w:p w14:paraId="6D7759A4">
      <w:pPr>
        <w:pageBreakBefore w:val="0"/>
        <w:widowControl w:val="0"/>
        <w:kinsoku/>
        <w:wordWrap/>
        <w:overflowPunct/>
        <w:topLinePunct w:val="0"/>
        <w:autoSpaceDE/>
        <w:autoSpaceDN/>
        <w:bidi w:val="0"/>
        <w:adjustRightInd/>
        <w:snapToGrid w:val="0"/>
        <w:spacing w:line="360" w:lineRule="auto"/>
        <w:ind w:left="0" w:leftChars="0" w:firstLine="480" w:firstLineChars="200"/>
        <w:jc w:val="left"/>
        <w:textAlignment w:val="auto"/>
        <w:rPr>
          <w:rFonts w:hint="eastAsia" w:ascii="宋体" w:hAnsi="宋体" w:eastAsia="宋体"/>
          <w:sz w:val="24"/>
        </w:rPr>
      </w:pPr>
      <w:r>
        <w:rPr>
          <w:rFonts w:hint="eastAsia" w:ascii="宋体" w:hAnsi="宋体" w:eastAsia="宋体"/>
          <w:sz w:val="24"/>
        </w:rPr>
        <w:t>乌鲁木齐河由乌鲁木齐河水系和东山水系组成，乌鲁木齐河水系包括发源于南山的乌鲁木齐河及水西沟等</w:t>
      </w:r>
      <w:r>
        <w:rPr>
          <w:rFonts w:hint="eastAsia" w:ascii="TimesNewRomanPSMT" w:hAnsi="TimesNewRomanPSMT" w:eastAsia="TimesNewRomanPSMT"/>
          <w:sz w:val="24"/>
        </w:rPr>
        <w:t xml:space="preserve">10 </w:t>
      </w:r>
      <w:r>
        <w:rPr>
          <w:rFonts w:hint="eastAsia" w:ascii="宋体" w:hAnsi="宋体" w:eastAsia="宋体"/>
          <w:sz w:val="24"/>
        </w:rPr>
        <w:t>条支流，东山水系包括发源于东山的水磨沟、芦草沟、铁厂沟、白杨沟等</w:t>
      </w:r>
      <w:r>
        <w:rPr>
          <w:rFonts w:hint="eastAsia" w:ascii="TimesNewRomanPSMT" w:hAnsi="TimesNewRomanPSMT" w:eastAsia="TimesNewRomanPSMT"/>
          <w:sz w:val="24"/>
        </w:rPr>
        <w:t xml:space="preserve">15 </w:t>
      </w:r>
      <w:r>
        <w:rPr>
          <w:rFonts w:hint="eastAsia" w:ascii="宋体" w:hAnsi="宋体" w:eastAsia="宋体"/>
          <w:sz w:val="24"/>
        </w:rPr>
        <w:t>条小河和山泉。流域内较大的河流有乌鲁木齐河、板房沟、小东沟、水磨沟、铁厂沟。均为内陆河流并发源于山区。山区地势高寒，降水量多是径流形成区，在出山口径流量达到最大，中下游是径流散失区，河川径流量随集水面积的增加而减少，最终消失在天然牧草地沙漠中。</w:t>
      </w:r>
    </w:p>
    <w:p w14:paraId="1802AA8A">
      <w:pPr>
        <w:pageBreakBefore w:val="0"/>
        <w:widowControl w:val="0"/>
        <w:kinsoku/>
        <w:wordWrap/>
        <w:overflowPunct/>
        <w:topLinePunct w:val="0"/>
        <w:autoSpaceDE/>
        <w:autoSpaceDN/>
        <w:bidi w:val="0"/>
        <w:adjustRightInd/>
        <w:snapToGrid w:val="0"/>
        <w:spacing w:line="360" w:lineRule="auto"/>
        <w:jc w:val="left"/>
        <w:textAlignment w:val="auto"/>
        <w:rPr>
          <w:rFonts w:hint="eastAsia" w:ascii="宋体" w:hAnsi="宋体" w:eastAsia="宋体"/>
          <w:sz w:val="24"/>
        </w:rPr>
      </w:pPr>
      <w:r>
        <w:rPr>
          <w:rFonts w:hint="eastAsia" w:ascii="宋体" w:hAnsi="宋体" w:eastAsia="宋体"/>
          <w:sz w:val="24"/>
        </w:rPr>
        <w:t>（</w:t>
      </w:r>
      <w:r>
        <w:rPr>
          <w:rFonts w:hint="eastAsia" w:ascii="TimesNewRomanPSMT" w:hAnsi="TimesNewRomanPSMT" w:eastAsia="TimesNewRomanPSMT"/>
          <w:sz w:val="24"/>
        </w:rPr>
        <w:t>3</w:t>
      </w:r>
      <w:r>
        <w:rPr>
          <w:rFonts w:hint="eastAsia" w:ascii="宋体" w:hAnsi="宋体" w:eastAsia="宋体"/>
          <w:sz w:val="24"/>
        </w:rPr>
        <w:t>）水利设施</w:t>
      </w:r>
    </w:p>
    <w:p w14:paraId="2F552659">
      <w:pPr>
        <w:pageBreakBefore w:val="0"/>
        <w:widowControl w:val="0"/>
        <w:kinsoku/>
        <w:wordWrap/>
        <w:overflowPunct/>
        <w:topLinePunct w:val="0"/>
        <w:autoSpaceDE/>
        <w:autoSpaceDN/>
        <w:bidi w:val="0"/>
        <w:adjustRightInd/>
        <w:snapToGrid w:val="0"/>
        <w:spacing w:line="360" w:lineRule="auto"/>
        <w:ind w:left="0" w:leftChars="0" w:firstLine="480" w:firstLineChars="200"/>
        <w:jc w:val="left"/>
        <w:textAlignment w:val="auto"/>
        <w:rPr>
          <w:rFonts w:hint="eastAsia" w:ascii="宋体" w:hAnsi="宋体" w:eastAsia="宋体"/>
          <w:sz w:val="24"/>
        </w:rPr>
      </w:pPr>
      <w:r>
        <w:rPr>
          <w:rFonts w:hint="eastAsia" w:ascii="宋体" w:hAnsi="宋体" w:eastAsia="宋体"/>
          <w:sz w:val="24"/>
        </w:rPr>
        <w:t>乌鲁木齐河流域是新疆维吾尔自治区水利水电建设中水资源开发利用程度较高、工程效益发挥较好的地区。上游建有青年渠、大西沟渠首、大西沟水库；中游拦河筑坝修建了乌拉泊水库和利用天然洼地蓄水的红雁池水库；下游平原地区修建了猛进水库、八一水库两座反调节水库。截至</w:t>
      </w:r>
      <w:r>
        <w:rPr>
          <w:rFonts w:hint="eastAsia" w:ascii="TimesNewRomanPSMT" w:hAnsi="TimesNewRomanPSMT" w:eastAsia="TimesNewRomanPSMT"/>
          <w:sz w:val="24"/>
        </w:rPr>
        <w:t xml:space="preserve">2010 </w:t>
      </w:r>
      <w:r>
        <w:rPr>
          <w:rFonts w:hint="eastAsia" w:ascii="宋体" w:hAnsi="宋体" w:eastAsia="宋体"/>
          <w:sz w:val="24"/>
        </w:rPr>
        <w:t>年，全流域建成</w:t>
      </w:r>
      <w:r>
        <w:rPr>
          <w:rFonts w:hint="eastAsia" w:ascii="TimesNewRomanPSMT" w:hAnsi="TimesNewRomanPSMT" w:eastAsia="TimesNewRomanPSMT"/>
          <w:sz w:val="24"/>
        </w:rPr>
        <w:t xml:space="preserve">4 </w:t>
      </w:r>
      <w:r>
        <w:rPr>
          <w:rFonts w:hint="eastAsia" w:ascii="宋体" w:hAnsi="宋体" w:eastAsia="宋体"/>
          <w:sz w:val="24"/>
        </w:rPr>
        <w:t>座中型、</w:t>
      </w:r>
      <w:r>
        <w:rPr>
          <w:rFonts w:hint="eastAsia" w:ascii="TimesNewRomanPSMT" w:hAnsi="TimesNewRomanPSMT" w:eastAsia="TimesNewRomanPSMT"/>
          <w:sz w:val="24"/>
        </w:rPr>
        <w:t xml:space="preserve">15 </w:t>
      </w:r>
      <w:r>
        <w:rPr>
          <w:rFonts w:hint="eastAsia" w:ascii="宋体" w:hAnsi="宋体" w:eastAsia="宋体"/>
          <w:sz w:val="24"/>
        </w:rPr>
        <w:t>座小型水库，</w:t>
      </w:r>
      <w:r>
        <w:rPr>
          <w:rFonts w:hint="eastAsia" w:ascii="TimesNewRomanPSMT" w:hAnsi="TimesNewRomanPSMT" w:eastAsia="TimesNewRomanPSMT"/>
          <w:sz w:val="24"/>
        </w:rPr>
        <w:t xml:space="preserve">7 </w:t>
      </w:r>
      <w:r>
        <w:rPr>
          <w:rFonts w:hint="eastAsia" w:ascii="宋体" w:hAnsi="宋体" w:eastAsia="宋体"/>
          <w:sz w:val="24"/>
        </w:rPr>
        <w:t>座永久性引水工程；干、支、斗、农四级渠道</w:t>
      </w:r>
      <w:r>
        <w:rPr>
          <w:rFonts w:hint="eastAsia" w:ascii="TimesNewRomanPSMT" w:hAnsi="TimesNewRomanPSMT" w:eastAsia="TimesNewRomanPSMT"/>
          <w:sz w:val="24"/>
        </w:rPr>
        <w:t xml:space="preserve">6000 </w:t>
      </w:r>
      <w:r>
        <w:rPr>
          <w:rFonts w:hint="eastAsia" w:ascii="宋体" w:hAnsi="宋体" w:eastAsia="宋体"/>
          <w:sz w:val="24"/>
        </w:rPr>
        <w:t>公里（其中总干渠</w:t>
      </w:r>
      <w:r>
        <w:rPr>
          <w:rFonts w:hint="eastAsia" w:ascii="TimesNewRomanPSMT" w:hAnsi="TimesNewRomanPSMT" w:eastAsia="TimesNewRomanPSMT"/>
          <w:sz w:val="24"/>
        </w:rPr>
        <w:t xml:space="preserve">127 </w:t>
      </w:r>
      <w:r>
        <w:rPr>
          <w:rFonts w:hint="eastAsia" w:ascii="宋体" w:hAnsi="宋体" w:eastAsia="宋体"/>
          <w:sz w:val="24"/>
        </w:rPr>
        <w:t>公里，干、支、斗渠</w:t>
      </w:r>
      <w:r>
        <w:rPr>
          <w:rFonts w:hint="eastAsia" w:ascii="TimesNewRomanPSMT" w:hAnsi="TimesNewRomanPSMT" w:eastAsia="TimesNewRomanPSMT"/>
          <w:sz w:val="24"/>
        </w:rPr>
        <w:t xml:space="preserve">2162 </w:t>
      </w:r>
      <w:r>
        <w:rPr>
          <w:rFonts w:hint="eastAsia" w:ascii="宋体" w:hAnsi="宋体" w:eastAsia="宋体"/>
          <w:sz w:val="24"/>
        </w:rPr>
        <w:t>公里）斗渠以上各种渠道建筑物</w:t>
      </w:r>
      <w:r>
        <w:rPr>
          <w:rFonts w:hint="eastAsia" w:ascii="TimesNewRomanPSMT" w:hAnsi="TimesNewRomanPSMT" w:eastAsia="TimesNewRomanPSMT"/>
          <w:sz w:val="24"/>
        </w:rPr>
        <w:t xml:space="preserve">4127 </w:t>
      </w:r>
      <w:r>
        <w:rPr>
          <w:rFonts w:hint="eastAsia" w:ascii="宋体" w:hAnsi="宋体" w:eastAsia="宋体"/>
          <w:sz w:val="24"/>
        </w:rPr>
        <w:t>座；流域内建有自来水厂</w:t>
      </w:r>
      <w:r>
        <w:rPr>
          <w:rFonts w:hint="eastAsia" w:ascii="TimesNewRomanPSMT" w:hAnsi="TimesNewRomanPSMT" w:eastAsia="TimesNewRomanPSMT"/>
          <w:sz w:val="24"/>
        </w:rPr>
        <w:t xml:space="preserve">12 </w:t>
      </w:r>
      <w:r>
        <w:rPr>
          <w:rFonts w:hint="eastAsia" w:ascii="宋体" w:hAnsi="宋体" w:eastAsia="宋体"/>
          <w:sz w:val="24"/>
        </w:rPr>
        <w:t>座，城市供配水管网长约</w:t>
      </w:r>
      <w:r>
        <w:rPr>
          <w:rFonts w:hint="eastAsia" w:ascii="TimesNewRomanPSMT" w:hAnsi="TimesNewRomanPSMT" w:eastAsia="TimesNewRomanPSMT"/>
          <w:sz w:val="24"/>
        </w:rPr>
        <w:t xml:space="preserve">650 </w:t>
      </w:r>
      <w:r>
        <w:rPr>
          <w:rFonts w:hint="eastAsia" w:ascii="宋体" w:hAnsi="宋体" w:eastAsia="宋体"/>
          <w:sz w:val="24"/>
        </w:rPr>
        <w:t>公里。</w:t>
      </w:r>
    </w:p>
    <w:p w14:paraId="6E36D703">
      <w:pPr>
        <w:pageBreakBefore w:val="0"/>
        <w:widowControl w:val="0"/>
        <w:kinsoku/>
        <w:wordWrap/>
        <w:overflowPunct/>
        <w:topLinePunct w:val="0"/>
        <w:autoSpaceDE/>
        <w:autoSpaceDN/>
        <w:bidi w:val="0"/>
        <w:adjustRightInd/>
        <w:snapToGrid w:val="0"/>
        <w:spacing w:line="360" w:lineRule="auto"/>
        <w:ind w:left="0" w:leftChars="0" w:firstLine="480" w:firstLineChars="200"/>
        <w:jc w:val="left"/>
        <w:textAlignment w:val="auto"/>
        <w:rPr>
          <w:rFonts w:hint="eastAsia" w:ascii="宋体" w:hAnsi="宋体" w:eastAsia="宋体"/>
          <w:sz w:val="24"/>
          <w:lang w:val="en-US" w:eastAsia="zh-CN"/>
        </w:rPr>
      </w:pPr>
      <w:r>
        <w:rPr>
          <w:rFonts w:hint="eastAsia" w:ascii="宋体" w:hAnsi="宋体" w:eastAsia="宋体"/>
          <w:sz w:val="24"/>
        </w:rPr>
        <w:t>本项目</w:t>
      </w:r>
      <w:r>
        <w:rPr>
          <w:rFonts w:hint="eastAsia" w:ascii="宋体" w:hAnsi="宋体" w:eastAsia="宋体"/>
          <w:sz w:val="24"/>
          <w:lang w:val="en-US" w:eastAsia="zh-CN"/>
        </w:rPr>
        <w:t>H1风机东</w:t>
      </w:r>
      <w:r>
        <w:rPr>
          <w:rFonts w:hint="default" w:ascii="宋体" w:hAnsi="宋体" w:eastAsia="宋体"/>
          <w:sz w:val="24"/>
          <w:lang w:val="en-US" w:eastAsia="zh-CN"/>
        </w:rPr>
        <w:t>南</w:t>
      </w:r>
      <w:r>
        <w:rPr>
          <w:rFonts w:hint="eastAsia" w:ascii="宋体" w:hAnsi="宋体" w:eastAsia="宋体"/>
          <w:sz w:val="24"/>
          <w:lang w:val="en-US" w:eastAsia="zh-CN"/>
        </w:rPr>
        <w:t>偏南</w:t>
      </w:r>
      <w:r>
        <w:rPr>
          <w:rFonts w:hint="default" w:ascii="宋体" w:hAnsi="宋体" w:eastAsia="宋体"/>
          <w:sz w:val="24"/>
          <w:lang w:val="en-US" w:eastAsia="zh-CN"/>
        </w:rPr>
        <w:t>侧</w:t>
      </w:r>
      <w:r>
        <w:rPr>
          <w:rFonts w:hint="eastAsia" w:ascii="宋体" w:hAnsi="宋体" w:eastAsia="宋体"/>
          <w:sz w:val="24"/>
          <w:lang w:val="en-US" w:eastAsia="zh-CN"/>
        </w:rPr>
        <w:t>3.7</w:t>
      </w:r>
      <w:r>
        <w:rPr>
          <w:rFonts w:hint="default" w:ascii="宋体" w:hAnsi="宋体" w:eastAsia="宋体"/>
          <w:sz w:val="24"/>
          <w:lang w:val="en-US" w:eastAsia="zh-CN"/>
        </w:rPr>
        <w:t>km</w:t>
      </w:r>
      <w:r>
        <w:rPr>
          <w:rFonts w:hint="eastAsia" w:ascii="宋体" w:hAnsi="宋体" w:eastAsia="宋体"/>
          <w:sz w:val="24"/>
        </w:rPr>
        <w:t>为乌拉泊水源地二级保护区的乌鲁木齐河，本项目施工期、运营期不设置污水排放口，本项目与乌鲁木齐河无水力联系。</w:t>
      </w:r>
    </w:p>
    <w:p w14:paraId="43EA17BE">
      <w:pPr>
        <w:pStyle w:val="12"/>
        <w:pageBreakBefore w:val="0"/>
        <w:widowControl w:val="0"/>
        <w:kinsoku/>
        <w:wordWrap/>
        <w:overflowPunct/>
        <w:topLinePunct w:val="0"/>
        <w:autoSpaceDE/>
        <w:autoSpaceDN/>
        <w:bidi w:val="0"/>
        <w:adjustRightInd/>
        <w:snapToGrid w:val="0"/>
        <w:spacing w:before="0" w:beforeLines="0" w:after="0" w:afterLines="0" w:line="360" w:lineRule="auto"/>
        <w:ind w:left="0" w:leftChars="0" w:firstLine="0" w:firstLineChars="0"/>
        <w:textAlignment w:val="auto"/>
        <w:rPr>
          <w:rFonts w:hint="default"/>
          <w:lang w:val="en-US" w:eastAsia="zh-CN"/>
        </w:rPr>
      </w:pPr>
      <w:r>
        <w:rPr>
          <w:rFonts w:hint="eastAsia" w:ascii="TimesNewRomanPSMT" w:hAnsi="TimesNewRomanPSMT" w:eastAsia="TimesNewRomanPSMT" w:cs="Times New Roman"/>
          <w:b/>
          <w:bCs/>
          <w:kern w:val="0"/>
          <w:sz w:val="24"/>
          <w:lang w:val="en-US" w:eastAsia="zh-CN"/>
        </w:rPr>
        <w:t>4.1.4.2地下水</w:t>
      </w:r>
    </w:p>
    <w:p w14:paraId="053A6C28">
      <w:pPr>
        <w:pageBreakBefore w:val="0"/>
        <w:widowControl w:val="0"/>
        <w:kinsoku/>
        <w:wordWrap/>
        <w:overflowPunct/>
        <w:topLinePunct w:val="0"/>
        <w:autoSpaceDE/>
        <w:autoSpaceDN/>
        <w:bidi w:val="0"/>
        <w:adjustRightInd/>
        <w:snapToGrid w:val="0"/>
        <w:spacing w:line="360" w:lineRule="auto"/>
        <w:ind w:left="0" w:leftChars="0" w:firstLine="480" w:firstLineChars="200"/>
        <w:jc w:val="left"/>
        <w:textAlignment w:val="auto"/>
        <w:rPr>
          <w:rFonts w:hint="eastAsia" w:ascii="宋体" w:hAnsi="宋体" w:eastAsia="宋体"/>
          <w:sz w:val="24"/>
        </w:rPr>
      </w:pPr>
      <w:r>
        <w:rPr>
          <w:rFonts w:hint="eastAsia" w:ascii="宋体" w:hAnsi="宋体" w:eastAsia="宋体"/>
          <w:sz w:val="24"/>
        </w:rPr>
        <w:t>工程区处于山前冲洪积扇上，第四系松散堆积物的厚度较大。勘察期间，在勘探深度</w:t>
      </w:r>
      <w:r>
        <w:rPr>
          <w:rFonts w:hint="eastAsia" w:ascii="TimesNewRomanPSMT" w:hAnsi="TimesNewRomanPSMT" w:eastAsia="TimesNewRomanPSMT"/>
          <w:sz w:val="24"/>
        </w:rPr>
        <w:t>10.0m</w:t>
      </w:r>
      <w:r>
        <w:rPr>
          <w:rFonts w:hint="eastAsia" w:ascii="宋体" w:hAnsi="宋体" w:eastAsia="宋体"/>
          <w:sz w:val="24"/>
        </w:rPr>
        <w:t>范围内，未揭露到了地下水位；可不考虑地下水对拟建工程的影响。</w:t>
      </w:r>
    </w:p>
    <w:p w14:paraId="029CD40C">
      <w:pPr>
        <w:pageBreakBefore w:val="0"/>
        <w:widowControl w:val="0"/>
        <w:kinsoku/>
        <w:wordWrap/>
        <w:overflowPunct/>
        <w:topLinePunct w:val="0"/>
        <w:autoSpaceDE/>
        <w:autoSpaceDN/>
        <w:bidi w:val="0"/>
        <w:adjustRightInd/>
        <w:snapToGrid w:val="0"/>
        <w:spacing w:line="360" w:lineRule="auto"/>
        <w:jc w:val="left"/>
        <w:textAlignment w:val="auto"/>
        <w:rPr>
          <w:rFonts w:hint="eastAsia" w:ascii="宋体" w:hAnsi="宋体" w:eastAsia="宋体"/>
          <w:sz w:val="24"/>
        </w:rPr>
      </w:pPr>
      <w:r>
        <w:rPr>
          <w:rFonts w:hint="eastAsia" w:ascii="宋体" w:hAnsi="宋体" w:eastAsia="宋体"/>
          <w:sz w:val="24"/>
        </w:rPr>
        <w:t>根据现场踏勘及调查，地下水位于拟建物基础埋深以下，类型为孔隙潜水，由大</w:t>
      </w:r>
    </w:p>
    <w:p w14:paraId="74B53AD7">
      <w:pPr>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default" w:ascii="Times New Roman" w:hAnsi="Times New Roman" w:cs="Times New Roman" w:eastAsiaTheme="minorEastAsia"/>
          <w:snapToGrid w:val="0"/>
          <w:color w:val="FF0000"/>
          <w:sz w:val="24"/>
          <w:highlight w:val="none"/>
          <w:lang w:val="en-US" w:eastAsia="zh-CN"/>
        </w:rPr>
      </w:pPr>
      <w:r>
        <w:rPr>
          <w:rFonts w:hint="eastAsia" w:ascii="宋体" w:hAnsi="宋体" w:eastAsia="宋体"/>
          <w:sz w:val="24"/>
        </w:rPr>
        <w:t>气降水补给为主，以地面蒸发和地下径流方式排泄。本项目不考虑地下水对基础的影响。</w:t>
      </w:r>
    </w:p>
    <w:p w14:paraId="2DFD350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eastAsia" w:cs="Times New Roman" w:eastAsiaTheme="minorEastAsia"/>
          <w:snapToGrid w:val="0"/>
          <w:color w:val="000000" w:themeColor="text1"/>
          <w:sz w:val="24"/>
          <w:highlight w:val="none"/>
          <w:lang w:val="en-US" w:eastAsia="zh-CN"/>
          <w14:textFill>
            <w14:solidFill>
              <w14:schemeClr w14:val="tx1"/>
            </w14:solidFill>
          </w14:textFill>
        </w:rPr>
        <w:t>项目所在区域</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地表水系图详见图4.1-1。</w:t>
      </w:r>
    </w:p>
    <w:p w14:paraId="592D75A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eastAsiaTheme="minorEastAsia"/>
          <w:snapToGrid w:val="0"/>
          <w:color w:val="FF0000"/>
          <w:sz w:val="24"/>
          <w:highlight w:val="none"/>
          <w:lang w:val="en-US" w:eastAsia="zh-CN"/>
        </w:rPr>
      </w:pPr>
    </w:p>
    <w:p w14:paraId="4525BA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eastAsiaTheme="minorEastAsia"/>
          <w:snapToGrid w:val="0"/>
          <w:color w:val="FF0000"/>
          <w:sz w:val="24"/>
          <w:highlight w:val="none"/>
          <w:lang w:val="en-US" w:eastAsia="zh-CN"/>
        </w:rPr>
        <w:sectPr>
          <w:pgSz w:w="11906" w:h="16838"/>
          <w:pgMar w:top="1418" w:right="1361" w:bottom="1418" w:left="1587" w:header="1134" w:footer="992" w:gutter="0"/>
          <w:pgBorders>
            <w:top w:val="none" w:sz="0" w:space="0"/>
            <w:left w:val="none" w:sz="0" w:space="0"/>
            <w:bottom w:val="none" w:sz="0" w:space="0"/>
            <w:right w:val="none" w:sz="0" w:space="0"/>
          </w:pgBorders>
          <w:pgNumType w:fmt="decimal"/>
          <w:cols w:space="720" w:num="1"/>
          <w:docGrid w:type="linesAndChars" w:linePitch="312" w:charSpace="0"/>
        </w:sectPr>
      </w:pPr>
    </w:p>
    <w:bookmarkEnd w:id="322"/>
    <w:bookmarkEnd w:id="323"/>
    <w:bookmarkEnd w:id="324"/>
    <w:bookmarkEnd w:id="325"/>
    <w:bookmarkEnd w:id="326"/>
    <w:bookmarkEnd w:id="327"/>
    <w:bookmarkEnd w:id="328"/>
    <w:bookmarkEnd w:id="329"/>
    <w:bookmarkEnd w:id="330"/>
    <w:bookmarkEnd w:id="331"/>
    <w:p w14:paraId="75AEB292">
      <w:pPr>
        <w:pStyle w:val="11"/>
        <w:keepNext/>
        <w:keepLines/>
        <w:pageBreakBefore w:val="0"/>
        <w:widowControl w:val="0"/>
        <w:kinsoku/>
        <w:wordWrap/>
        <w:overflowPunct/>
        <w:topLinePunct w:val="0"/>
        <w:autoSpaceDE/>
        <w:autoSpaceDN/>
        <w:bidi w:val="0"/>
        <w:adjustRightInd/>
        <w:snapToGrid/>
        <w:ind w:left="0"/>
        <w:textAlignment w:val="auto"/>
        <w:outlineLvl w:val="2"/>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bookmarkStart w:id="332" w:name="_Toc13246"/>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4.1.5 与本项目相关的水源保护区概况</w:t>
      </w:r>
      <w:bookmarkEnd w:id="332"/>
    </w:p>
    <w:p w14:paraId="53AB983F">
      <w:pPr>
        <w:pStyle w:val="12"/>
        <w:keepNext/>
        <w:keepLines/>
        <w:pageBreakBefore w:val="0"/>
        <w:widowControl w:val="0"/>
        <w:numPr>
          <w:ilvl w:val="0"/>
          <w:numId w:val="0"/>
        </w:numPr>
        <w:tabs>
          <w:tab w:val="left" w:pos="1050"/>
        </w:tabs>
        <w:kinsoku/>
        <w:wordWrap/>
        <w:overflowPunct/>
        <w:topLinePunct w:val="0"/>
        <w:autoSpaceDE/>
        <w:autoSpaceDN/>
        <w:bidi w:val="0"/>
        <w:adjustRightInd/>
        <w:snapToGrid/>
        <w:spacing w:before="0" w:beforeLines="0" w:after="0" w:afterLines="0" w:line="360" w:lineRule="auto"/>
        <w:ind w:left="0"/>
        <w:textAlignment w:val="auto"/>
        <w:outlineLvl w:val="3"/>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pPr>
      <w:bookmarkStart w:id="333" w:name="_Toc391020947"/>
      <w:bookmarkStart w:id="334" w:name="_Toc391021172"/>
      <w:bookmarkStart w:id="335" w:name="_Toc22955163"/>
      <w:bookmarkStart w:id="336" w:name="_Toc74627173"/>
      <w:bookmarkStart w:id="337" w:name="_Toc528053890"/>
      <w:r>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t xml:space="preserve">4.1.5.1 </w:t>
      </w:r>
      <w:r>
        <w:rPr>
          <w:rFonts w:hint="eastAsia"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t>甘河子（含铁路专供）</w:t>
      </w:r>
      <w:r>
        <w:rPr>
          <w:rFonts w:hint="eastAsia" w:ascii="宋体" w:hAnsi="宋体" w:eastAsia="宋体" w:cs="宋体"/>
          <w:color w:val="000000" w:themeColor="text1"/>
          <w:sz w:val="24"/>
          <w:lang w:val="en-US" w:eastAsia="zh-CN"/>
          <w14:textFill>
            <w14:solidFill>
              <w14:schemeClr w14:val="tx1"/>
            </w14:solidFill>
          </w14:textFill>
        </w:rPr>
        <w:t>地下饮用</w:t>
      </w:r>
      <w:r>
        <w:rPr>
          <w:rFonts w:hint="eastAsia"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t>水源地</w:t>
      </w:r>
      <w:r>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t xml:space="preserve">保护区概况 </w:t>
      </w:r>
    </w:p>
    <w:p w14:paraId="1B3EBF49">
      <w:pPr>
        <w:spacing w:beforeLines="0" w:afterLines="0"/>
        <w:ind w:left="0" w:leftChars="0" w:firstLine="480" w:firstLineChars="200"/>
        <w:jc w:val="left"/>
        <w:rPr>
          <w:rFonts w:hint="eastAsia" w:ascii="宋体" w:hAnsi="宋体" w:eastAsia="宋体"/>
          <w:color w:val="000000" w:themeColor="text1"/>
          <w:sz w:val="24"/>
          <w14:textFill>
            <w14:solidFill>
              <w14:schemeClr w14:val="tx1"/>
            </w14:solidFill>
          </w14:textFill>
        </w:rPr>
      </w:pPr>
      <w:r>
        <w:rPr>
          <w:rFonts w:hint="eastAsia" w:ascii="宋体" w:hAnsi="宋体" w:eastAsia="宋体"/>
          <w:sz w:val="24"/>
        </w:rPr>
        <w:t>甘河子（含铁路专供）水源地一级保护区将所有供水井以</w:t>
      </w:r>
      <w:r>
        <w:rPr>
          <w:rFonts w:hint="eastAsia" w:ascii="TimesNewRomanPSMT" w:hAnsi="TimesNewRomanPSMT" w:eastAsia="TimesNewRomanPSMT"/>
          <w:sz w:val="24"/>
        </w:rPr>
        <w:t xml:space="preserve">218 </w:t>
      </w:r>
      <w:r>
        <w:rPr>
          <w:rFonts w:hint="eastAsia" w:ascii="宋体" w:hAnsi="宋体" w:eastAsia="宋体"/>
          <w:sz w:val="24"/>
        </w:rPr>
        <w:t>米为缓冲区做外接多</w:t>
      </w:r>
      <w:r>
        <w:rPr>
          <w:rFonts w:hint="eastAsia" w:ascii="宋体" w:hAnsi="宋体" w:eastAsia="宋体"/>
          <w:color w:val="000000" w:themeColor="text1"/>
          <w:sz w:val="24"/>
          <w14:textFill>
            <w14:solidFill>
              <w14:schemeClr w14:val="tx1"/>
            </w14:solidFill>
          </w14:textFill>
        </w:rPr>
        <w:t>边形，则其覆盖的区域为该水源地一级保护区，鉴于水源保护区已建成连霍高速（</w:t>
      </w:r>
      <w:r>
        <w:rPr>
          <w:rFonts w:hint="eastAsia" w:ascii="TimesNewRomanPSMT" w:hAnsi="TimesNewRomanPSMT" w:eastAsia="TimesNewRomanPSMT"/>
          <w:color w:val="000000" w:themeColor="text1"/>
          <w:sz w:val="24"/>
          <w14:textFill>
            <w14:solidFill>
              <w14:schemeClr w14:val="tx1"/>
            </w14:solidFill>
          </w14:textFill>
        </w:rPr>
        <w:t>G30</w:t>
      </w:r>
      <w:r>
        <w:rPr>
          <w:rFonts w:hint="eastAsia" w:ascii="宋体" w:hAnsi="宋体" w:eastAsia="宋体"/>
          <w:color w:val="000000" w:themeColor="text1"/>
          <w:sz w:val="24"/>
          <w14:textFill>
            <w14:solidFill>
              <w14:schemeClr w14:val="tx1"/>
            </w14:solidFill>
          </w14:textFill>
        </w:rPr>
        <w:t>）、天山大道及乌兰双线为重大公共基础设施和民生工程，且均为线性工程，无法避让饮用水水源保护区，因此将穿越段划分为二级保护区，一级保护区形成七个大区块，并将穿越段涉及的</w:t>
      </w:r>
      <w:r>
        <w:rPr>
          <w:rFonts w:hint="eastAsia" w:ascii="TimesNewRomanPSMT" w:hAnsi="TimesNewRomanPSMT" w:eastAsia="TimesNewRomanPSMT"/>
          <w:color w:val="000000" w:themeColor="text1"/>
          <w:sz w:val="24"/>
          <w14:textFill>
            <w14:solidFill>
              <w14:schemeClr w14:val="tx1"/>
            </w14:solidFill>
          </w14:textFill>
        </w:rPr>
        <w:t>B-5</w:t>
      </w:r>
      <w:r>
        <w:rPr>
          <w:rFonts w:hint="eastAsia" w:ascii="宋体" w:hAnsi="宋体" w:eastAsia="宋体"/>
          <w:color w:val="000000" w:themeColor="text1"/>
          <w:sz w:val="24"/>
          <w14:textFill>
            <w14:solidFill>
              <w14:schemeClr w14:val="tx1"/>
            </w14:solidFill>
          </w14:textFill>
        </w:rPr>
        <w:t>、</w:t>
      </w:r>
      <w:r>
        <w:rPr>
          <w:rFonts w:hint="eastAsia" w:ascii="TimesNewRomanPSMT" w:hAnsi="TimesNewRomanPSMT" w:eastAsia="TimesNewRomanPSMT"/>
          <w:color w:val="000000" w:themeColor="text1"/>
          <w:sz w:val="24"/>
          <w14:textFill>
            <w14:solidFill>
              <w14:schemeClr w14:val="tx1"/>
            </w14:solidFill>
          </w14:textFill>
        </w:rPr>
        <w:t>B-4</w:t>
      </w:r>
      <w:r>
        <w:rPr>
          <w:rFonts w:hint="eastAsia" w:ascii="宋体" w:hAnsi="宋体" w:eastAsia="宋体"/>
          <w:color w:val="000000" w:themeColor="text1"/>
          <w:sz w:val="24"/>
          <w14:textFill>
            <w14:solidFill>
              <w14:schemeClr w14:val="tx1"/>
            </w14:solidFill>
          </w14:textFill>
        </w:rPr>
        <w:t>、</w:t>
      </w:r>
      <w:r>
        <w:rPr>
          <w:rFonts w:hint="eastAsia" w:ascii="TimesNewRomanPSMT" w:hAnsi="TimesNewRomanPSMT" w:eastAsia="TimesNewRomanPSMT"/>
          <w:color w:val="000000" w:themeColor="text1"/>
          <w:sz w:val="24"/>
          <w14:textFill>
            <w14:solidFill>
              <w14:schemeClr w14:val="tx1"/>
            </w14:solidFill>
          </w14:textFill>
        </w:rPr>
        <w:t>SJ-6</w:t>
      </w:r>
      <w:r>
        <w:rPr>
          <w:rFonts w:hint="eastAsia" w:ascii="宋体" w:hAnsi="宋体" w:eastAsia="宋体"/>
          <w:color w:val="000000" w:themeColor="text1"/>
          <w:sz w:val="24"/>
          <w14:textFill>
            <w14:solidFill>
              <w14:schemeClr w14:val="tx1"/>
            </w14:solidFill>
          </w14:textFill>
        </w:rPr>
        <w:t>、</w:t>
      </w:r>
      <w:r>
        <w:rPr>
          <w:rFonts w:hint="eastAsia" w:ascii="TimesNewRomanPSMT" w:hAnsi="TimesNewRomanPSMT" w:eastAsia="TimesNewRomanPSMT"/>
          <w:color w:val="000000" w:themeColor="text1"/>
          <w:sz w:val="24"/>
          <w14:textFill>
            <w14:solidFill>
              <w14:schemeClr w14:val="tx1"/>
            </w14:solidFill>
          </w14:textFill>
        </w:rPr>
        <w:t>B-3</w:t>
      </w:r>
      <w:r>
        <w:rPr>
          <w:rFonts w:hint="eastAsia" w:ascii="宋体" w:hAnsi="宋体" w:eastAsia="宋体"/>
          <w:color w:val="000000" w:themeColor="text1"/>
          <w:sz w:val="24"/>
          <w14:textFill>
            <w14:solidFill>
              <w14:schemeClr w14:val="tx1"/>
            </w14:solidFill>
          </w14:textFill>
        </w:rPr>
        <w:t>、</w:t>
      </w:r>
      <w:r>
        <w:rPr>
          <w:rFonts w:hint="eastAsia" w:ascii="TimesNewRomanPSMT" w:hAnsi="TimesNewRomanPSMT" w:eastAsia="TimesNewRomanPSMT"/>
          <w:color w:val="000000" w:themeColor="text1"/>
          <w:sz w:val="24"/>
          <w14:textFill>
            <w14:solidFill>
              <w14:schemeClr w14:val="tx1"/>
            </w14:solidFill>
          </w14:textFill>
        </w:rPr>
        <w:t>SJ-5</w:t>
      </w:r>
      <w:r>
        <w:rPr>
          <w:rFonts w:hint="eastAsia" w:ascii="宋体" w:hAnsi="宋体" w:eastAsia="宋体"/>
          <w:color w:val="000000" w:themeColor="text1"/>
          <w:sz w:val="24"/>
          <w14:textFill>
            <w14:solidFill>
              <w14:schemeClr w14:val="tx1"/>
            </w14:solidFill>
          </w14:textFill>
        </w:rPr>
        <w:t>、</w:t>
      </w:r>
      <w:r>
        <w:rPr>
          <w:rFonts w:hint="eastAsia" w:ascii="TimesNewRomanPSMT" w:hAnsi="TimesNewRomanPSMT" w:eastAsia="TimesNewRomanPSMT"/>
          <w:color w:val="000000" w:themeColor="text1"/>
          <w:sz w:val="24"/>
          <w14:textFill>
            <w14:solidFill>
              <w14:schemeClr w14:val="tx1"/>
            </w14:solidFill>
          </w14:textFill>
        </w:rPr>
        <w:t>B-2</w:t>
      </w:r>
      <w:r>
        <w:rPr>
          <w:rFonts w:hint="eastAsia" w:ascii="宋体" w:hAnsi="宋体" w:eastAsia="宋体"/>
          <w:color w:val="000000" w:themeColor="text1"/>
          <w:sz w:val="24"/>
          <w14:textFill>
            <w14:solidFill>
              <w14:schemeClr w14:val="tx1"/>
            </w14:solidFill>
          </w14:textFill>
        </w:rPr>
        <w:t>、</w:t>
      </w:r>
      <w:r>
        <w:rPr>
          <w:rFonts w:hint="eastAsia" w:ascii="TimesNewRomanPSMT" w:hAnsi="TimesNewRomanPSMT" w:eastAsia="TimesNewRomanPSMT"/>
          <w:color w:val="000000" w:themeColor="text1"/>
          <w:sz w:val="24"/>
          <w14:textFill>
            <w14:solidFill>
              <w14:schemeClr w14:val="tx1"/>
            </w14:solidFill>
          </w14:textFill>
        </w:rPr>
        <w:t xml:space="preserve">B-1 </w:t>
      </w:r>
      <w:r>
        <w:rPr>
          <w:rFonts w:hint="eastAsia" w:ascii="宋体" w:hAnsi="宋体" w:eastAsia="宋体"/>
          <w:color w:val="000000" w:themeColor="text1"/>
          <w:sz w:val="24"/>
          <w14:textFill>
            <w14:solidFill>
              <w14:schemeClr w14:val="tx1"/>
            </w14:solidFill>
          </w14:textFill>
        </w:rPr>
        <w:t>单独划定一级保护区，由此一级保护湖区共有</w:t>
      </w:r>
      <w:r>
        <w:rPr>
          <w:rFonts w:hint="eastAsia" w:ascii="TimesNewRomanPSMT" w:hAnsi="TimesNewRomanPSMT" w:eastAsia="TimesNewRomanPSMT"/>
          <w:color w:val="000000" w:themeColor="text1"/>
          <w:sz w:val="24"/>
          <w14:textFill>
            <w14:solidFill>
              <w14:schemeClr w14:val="tx1"/>
            </w14:solidFill>
          </w14:textFill>
        </w:rPr>
        <w:t xml:space="preserve">14 </w:t>
      </w:r>
      <w:r>
        <w:rPr>
          <w:rFonts w:hint="eastAsia" w:ascii="宋体" w:hAnsi="宋体" w:eastAsia="宋体"/>
          <w:color w:val="000000" w:themeColor="text1"/>
          <w:sz w:val="24"/>
          <w14:textFill>
            <w14:solidFill>
              <w14:schemeClr w14:val="tx1"/>
            </w14:solidFill>
          </w14:textFill>
        </w:rPr>
        <w:t>个区块，一级保护区的面积为</w:t>
      </w:r>
      <w:r>
        <w:rPr>
          <w:rFonts w:hint="eastAsia" w:ascii="TimesNewRomanPSMT" w:hAnsi="TimesNewRomanPSMT" w:eastAsia="TimesNewRomanPSMT"/>
          <w:color w:val="000000" w:themeColor="text1"/>
          <w:sz w:val="24"/>
          <w14:textFill>
            <w14:solidFill>
              <w14:schemeClr w14:val="tx1"/>
            </w14:solidFill>
          </w14:textFill>
        </w:rPr>
        <w:t xml:space="preserve">12.41 </w:t>
      </w:r>
      <w:r>
        <w:rPr>
          <w:rFonts w:hint="eastAsia" w:ascii="宋体" w:hAnsi="宋体" w:eastAsia="宋体"/>
          <w:color w:val="000000" w:themeColor="text1"/>
          <w:sz w:val="24"/>
          <w14:textFill>
            <w14:solidFill>
              <w14:schemeClr w14:val="tx1"/>
            </w14:solidFill>
          </w14:textFill>
        </w:rPr>
        <w:t>平方公里。</w:t>
      </w:r>
    </w:p>
    <w:p w14:paraId="6597639B">
      <w:pPr>
        <w:spacing w:beforeLines="0" w:afterLines="0"/>
        <w:ind w:left="0" w:leftChars="0" w:firstLine="480" w:firstLineChars="200"/>
        <w:jc w:val="left"/>
        <w:rPr>
          <w:rFonts w:hint="default"/>
          <w:color w:val="000000" w:themeColor="text1"/>
          <w:lang w:val="en-US" w:eastAsia="zh-CN"/>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二级保护区以</w:t>
      </w:r>
      <w:r>
        <w:rPr>
          <w:rFonts w:hint="eastAsia" w:ascii="TimesNewRomanPSMT" w:hAnsi="TimesNewRomanPSMT" w:eastAsia="TimesNewRomanPSMT"/>
          <w:color w:val="000000" w:themeColor="text1"/>
          <w:sz w:val="24"/>
          <w14:textFill>
            <w14:solidFill>
              <w14:schemeClr w14:val="tx1"/>
            </w14:solidFill>
          </w14:textFill>
        </w:rPr>
        <w:t xml:space="preserve">2330 </w:t>
      </w:r>
      <w:r>
        <w:rPr>
          <w:rFonts w:hint="eastAsia" w:ascii="宋体" w:hAnsi="宋体" w:eastAsia="宋体"/>
          <w:color w:val="000000" w:themeColor="text1"/>
          <w:sz w:val="24"/>
          <w14:textFill>
            <w14:solidFill>
              <w14:schemeClr w14:val="tx1"/>
            </w14:solidFill>
          </w14:textFill>
        </w:rPr>
        <w:t>米作为每个供水井缓冲区半径，以此外接形成多边形，并叠加道路穿越区域，二级保护区的面积为</w:t>
      </w:r>
      <w:r>
        <w:rPr>
          <w:rFonts w:hint="eastAsia" w:ascii="TimesNewRomanPSMT" w:hAnsi="TimesNewRomanPSMT" w:eastAsia="TimesNewRomanPSMT"/>
          <w:color w:val="000000" w:themeColor="text1"/>
          <w:sz w:val="24"/>
          <w14:textFill>
            <w14:solidFill>
              <w14:schemeClr w14:val="tx1"/>
            </w14:solidFill>
          </w14:textFill>
        </w:rPr>
        <w:t xml:space="preserve">55.59 </w:t>
      </w:r>
      <w:r>
        <w:rPr>
          <w:rFonts w:hint="eastAsia" w:ascii="宋体" w:hAnsi="宋体" w:eastAsia="宋体"/>
          <w:color w:val="000000" w:themeColor="text1"/>
          <w:sz w:val="24"/>
          <w14:textFill>
            <w14:solidFill>
              <w14:schemeClr w14:val="tx1"/>
            </w14:solidFill>
          </w14:textFill>
        </w:rPr>
        <w:t>平方公里。</w:t>
      </w:r>
    </w:p>
    <w:p w14:paraId="7701B0D5">
      <w:pPr>
        <w:pStyle w:val="12"/>
        <w:keepNext/>
        <w:keepLines/>
        <w:pageBreakBefore w:val="0"/>
        <w:widowControl w:val="0"/>
        <w:numPr>
          <w:ilvl w:val="0"/>
          <w:numId w:val="0"/>
        </w:numPr>
        <w:tabs>
          <w:tab w:val="left" w:pos="1050"/>
        </w:tabs>
        <w:kinsoku/>
        <w:wordWrap/>
        <w:overflowPunct/>
        <w:topLinePunct w:val="0"/>
        <w:autoSpaceDE/>
        <w:autoSpaceDN/>
        <w:bidi w:val="0"/>
        <w:adjustRightInd/>
        <w:snapToGrid/>
        <w:spacing w:before="0" w:beforeLines="0" w:after="0" w:afterLines="0" w:line="360" w:lineRule="auto"/>
        <w:ind w:left="0"/>
        <w:textAlignment w:val="auto"/>
        <w:outlineLvl w:val="3"/>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t xml:space="preserve">4.1.5.2 </w:t>
      </w:r>
      <w:r>
        <w:rPr>
          <w:rFonts w:hint="eastAsia"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t>西山</w:t>
      </w:r>
      <w:r>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t>水源地保护区概况</w:t>
      </w:r>
    </w:p>
    <w:p w14:paraId="341EB608">
      <w:pPr>
        <w:snapToGrid w:val="0"/>
        <w:spacing w:line="360" w:lineRule="auto"/>
        <w:ind w:left="0" w:leftChars="0" w:firstLine="480" w:firstLineChars="200"/>
        <w:textAlignment w:val="baseline"/>
        <w:rPr>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(1)</w:t>
      </w:r>
      <w:r>
        <w:rPr>
          <w:rFonts w:hint="eastAsia" w:ascii="TimesNewRomanPSMT" w:hAnsi="TimesNewRomanPSMT" w:eastAsia="TimesNewRomanPSMT" w:cs="Times New Roman"/>
          <w:color w:val="000000" w:themeColor="text1"/>
          <w:kern w:val="0"/>
          <w:sz w:val="24"/>
          <w:lang w:val="en-US" w:eastAsia="zh-CN"/>
          <w14:textFill>
            <w14:solidFill>
              <w14:schemeClr w14:val="tx1"/>
            </w14:solidFill>
          </w14:textFill>
        </w:rPr>
        <w:t>地下水源保护区范围</w:t>
      </w:r>
    </w:p>
    <w:p w14:paraId="30DC44C4">
      <w:pPr>
        <w:pStyle w:val="71"/>
        <w:snapToGrid w:val="0"/>
        <w:spacing w:before="0" w:beforeAutospacing="0" w:after="0" w:afterAutospacing="0" w:line="360" w:lineRule="auto"/>
        <w:ind w:left="0" w:leftChars="0" w:firstLine="480" w:firstLineChars="200"/>
        <w:textAlignment w:val="baseline"/>
        <w:rPr>
          <w:rFonts w:hint="eastAsia" w:ascii="TimesNewRomanPSMT" w:hAnsi="TimesNewRomanPSMT" w:eastAsia="TimesNewRomanPSMT" w:cs="Times New Roman"/>
          <w:color w:val="000000" w:themeColor="text1"/>
          <w:kern w:val="0"/>
          <w:sz w:val="24"/>
          <w:lang w:val="en-US" w:eastAsia="zh-CN"/>
          <w14:textFill>
            <w14:solidFill>
              <w14:schemeClr w14:val="tx1"/>
            </w14:solidFill>
          </w14:textFill>
        </w:rPr>
      </w:pPr>
      <w:r>
        <w:rPr>
          <w:rFonts w:hint="eastAsia" w:ascii="TimesNewRomanPSMT" w:hAnsi="TimesNewRomanPSMT" w:eastAsia="TimesNewRomanPSMT" w:cs="Times New Roman"/>
          <w:color w:val="000000" w:themeColor="text1"/>
          <w:kern w:val="0"/>
          <w:sz w:val="24"/>
          <w:lang w:val="en-US" w:eastAsia="zh-CN"/>
          <w14:textFill>
            <w14:solidFill>
              <w14:schemeClr w14:val="tx1"/>
            </w14:solidFill>
          </w14:textFill>
        </w:rPr>
        <w:t>西山地下水源保护区为乌鲁木齐市地下饮用水源保护区。</w:t>
      </w:r>
    </w:p>
    <w:p w14:paraId="1C6398C6">
      <w:pPr>
        <w:pStyle w:val="71"/>
        <w:snapToGrid w:val="0"/>
        <w:spacing w:before="0" w:beforeAutospacing="0" w:after="0" w:afterAutospacing="0" w:line="360" w:lineRule="auto"/>
        <w:ind w:left="0" w:leftChars="0" w:firstLine="480" w:firstLineChars="200"/>
        <w:textAlignment w:val="baseline"/>
        <w:rPr>
          <w:rFonts w:hint="eastAsia" w:ascii="TimesNewRomanPSMT" w:hAnsi="TimesNewRomanPSMT" w:eastAsia="TimesNewRomanPSMT" w:cs="Times New Roman"/>
          <w:color w:val="000000" w:themeColor="text1"/>
          <w:kern w:val="0"/>
          <w:sz w:val="24"/>
          <w:lang w:val="en-US" w:eastAsia="zh-CN"/>
          <w14:textFill>
            <w14:solidFill>
              <w14:schemeClr w14:val="tx1"/>
            </w14:solidFill>
          </w14:textFill>
        </w:rPr>
      </w:pPr>
      <w:r>
        <w:rPr>
          <w:rFonts w:hint="eastAsia" w:ascii="TimesNewRomanPSMT" w:hAnsi="TimesNewRomanPSMT" w:eastAsia="TimesNewRomanPSMT" w:cs="Times New Roman"/>
          <w:color w:val="000000" w:themeColor="text1"/>
          <w:kern w:val="0"/>
          <w:sz w:val="24"/>
          <w:lang w:val="en-US" w:eastAsia="zh-CN"/>
          <w14:textFill>
            <w14:solidFill>
              <w14:schemeClr w14:val="tx1"/>
            </w14:solidFill>
          </w14:textFill>
        </w:rPr>
        <w:t>西山地下水源保护区的范围为：一级保护区半径约为654m，周长约为10.04km，面积6.02km</w:t>
      </w:r>
      <w:r>
        <w:rPr>
          <w:rFonts w:hint="eastAsia" w:ascii="TimesNewRomanPSMT" w:hAnsi="TimesNewRomanPSMT" w:eastAsia="TimesNewRomanPSMT" w:cs="Times New Roman"/>
          <w:color w:val="000000" w:themeColor="text1"/>
          <w:kern w:val="0"/>
          <w:sz w:val="24"/>
          <w:vertAlign w:val="superscript"/>
          <w:lang w:val="en-US" w:eastAsia="zh-CN"/>
          <w14:textFill>
            <w14:solidFill>
              <w14:schemeClr w14:val="tx1"/>
            </w14:solidFill>
          </w14:textFill>
        </w:rPr>
        <w:t>2</w:t>
      </w:r>
      <w:r>
        <w:rPr>
          <w:rFonts w:hint="eastAsia" w:ascii="TimesNewRomanPSMT" w:hAnsi="TimesNewRomanPSMT" w:eastAsia="TimesNewRomanPSMT" w:cs="Times New Roman"/>
          <w:color w:val="000000" w:themeColor="text1"/>
          <w:kern w:val="0"/>
          <w:sz w:val="24"/>
          <w:lang w:val="en-US" w:eastAsia="zh-CN"/>
          <w14:textFill>
            <w14:solidFill>
              <w14:schemeClr w14:val="tx1"/>
            </w14:solidFill>
          </w14:textFill>
        </w:rPr>
        <w:t>；二级保护区半径约为5500m，周长约为42.67km，面积114.27km</w:t>
      </w:r>
      <w:r>
        <w:rPr>
          <w:rFonts w:hint="eastAsia" w:ascii="TimesNewRomanPSMT" w:hAnsi="TimesNewRomanPSMT" w:eastAsia="TimesNewRomanPSMT" w:cs="Times New Roman"/>
          <w:color w:val="000000" w:themeColor="text1"/>
          <w:kern w:val="0"/>
          <w:sz w:val="24"/>
          <w:vertAlign w:val="superscript"/>
          <w:lang w:val="en-US" w:eastAsia="zh-CN"/>
          <w14:textFill>
            <w14:solidFill>
              <w14:schemeClr w14:val="tx1"/>
            </w14:solidFill>
          </w14:textFill>
        </w:rPr>
        <w:t>2</w:t>
      </w:r>
      <w:r>
        <w:rPr>
          <w:rFonts w:hint="eastAsia" w:ascii="TimesNewRomanPSMT" w:hAnsi="TimesNewRomanPSMT" w:eastAsia="TimesNewRomanPSMT" w:cs="Times New Roman"/>
          <w:color w:val="000000" w:themeColor="text1"/>
          <w:kern w:val="0"/>
          <w:sz w:val="24"/>
          <w:lang w:val="en-US" w:eastAsia="zh-CN"/>
          <w14:textFill>
            <w14:solidFill>
              <w14:schemeClr w14:val="tx1"/>
            </w14:solidFill>
          </w14:textFill>
        </w:rPr>
        <w:t xml:space="preserve">。西山地下水源二级保护区东界与甘河子地下水源地二级保护区西界交叠。 </w:t>
      </w:r>
    </w:p>
    <w:p w14:paraId="402B80FF">
      <w:pPr>
        <w:snapToGrid w:val="0"/>
        <w:spacing w:line="360" w:lineRule="auto"/>
        <w:ind w:left="0" w:leftChars="0" w:firstLine="480" w:firstLineChars="200"/>
        <w:textAlignment w:val="baseline"/>
        <w:rPr>
          <w:rFonts w:hint="eastAsia" w:ascii="TimesNewRomanPSMT" w:hAnsi="TimesNewRomanPSMT" w:eastAsia="TimesNewRomanPSMT" w:cs="Times New Roman"/>
          <w:color w:val="000000" w:themeColor="text1"/>
          <w:kern w:val="0"/>
          <w:sz w:val="24"/>
          <w:lang w:val="en-US" w:eastAsia="zh-CN"/>
          <w14:textFill>
            <w14:solidFill>
              <w14:schemeClr w14:val="tx1"/>
            </w14:solidFill>
          </w14:textFill>
        </w:rPr>
      </w:pPr>
      <w:r>
        <w:rPr>
          <w:rFonts w:hint="eastAsia" w:ascii="TimesNewRomanPSMT" w:hAnsi="TimesNewRomanPSMT" w:eastAsia="TimesNewRomanPSMT" w:cs="Times New Roman"/>
          <w:color w:val="000000" w:themeColor="text1"/>
          <w:kern w:val="0"/>
          <w:sz w:val="24"/>
          <w:lang w:val="en-US" w:eastAsia="zh-CN"/>
          <w14:textFill>
            <w14:solidFill>
              <w14:schemeClr w14:val="tx1"/>
            </w14:solidFill>
          </w14:textFill>
        </w:rPr>
        <w:t>(2)地下水源保护区管理</w:t>
      </w:r>
    </w:p>
    <w:p w14:paraId="00F42270">
      <w:pPr>
        <w:pageBreakBefore w:val="0"/>
        <w:widowControl w:val="0"/>
        <w:kinsoku/>
        <w:topLinePunct w:val="0"/>
        <w:autoSpaceDE/>
        <w:autoSpaceDN/>
        <w:bidi w:val="0"/>
        <w:adjustRightInd/>
        <w:snapToGrid w:val="0"/>
        <w:spacing w:line="360" w:lineRule="auto"/>
        <w:ind w:left="0" w:leftChars="0" w:firstLine="480" w:firstLineChars="200"/>
        <w:textAlignment w:val="baseline"/>
        <w:rPr>
          <w:rFonts w:hint="eastAsia" w:ascii="TimesNewRomanPSMT" w:hAnsi="TimesNewRomanPSMT" w:eastAsia="TimesNewRomanPSMT" w:cs="Times New Roman"/>
          <w:color w:val="000000" w:themeColor="text1"/>
          <w:kern w:val="0"/>
          <w:sz w:val="24"/>
          <w:lang w:val="en-US" w:eastAsia="zh-CN"/>
          <w14:textFill>
            <w14:solidFill>
              <w14:schemeClr w14:val="tx1"/>
            </w14:solidFill>
          </w14:textFill>
        </w:rPr>
      </w:pPr>
      <w:r>
        <w:rPr>
          <w:rFonts w:hint="eastAsia" w:ascii="TimesNewRomanPSMT" w:hAnsi="TimesNewRomanPSMT" w:eastAsia="TimesNewRomanPSMT" w:cs="Times New Roman"/>
          <w:color w:val="000000" w:themeColor="text1"/>
          <w:kern w:val="0"/>
          <w:sz w:val="24"/>
          <w:lang w:val="en-US" w:eastAsia="zh-CN"/>
          <w14:textFill>
            <w14:solidFill>
              <w14:schemeClr w14:val="tx1"/>
            </w14:solidFill>
          </w14:textFill>
        </w:rPr>
        <w:t>乌鲁木齐市人民政府根据《乌鲁木齐市水源保护区管理条例》有关规定，划分西山地下水源保护区隶属乌鲁木齐市环境保护局进行管理。</w:t>
      </w:r>
    </w:p>
    <w:p w14:paraId="7C9574A1">
      <w:pPr>
        <w:pStyle w:val="12"/>
        <w:keepNext/>
        <w:keepLines/>
        <w:pageBreakBefore w:val="0"/>
        <w:widowControl w:val="0"/>
        <w:numPr>
          <w:ilvl w:val="0"/>
          <w:numId w:val="0"/>
        </w:numPr>
        <w:tabs>
          <w:tab w:val="left" w:pos="1050"/>
        </w:tabs>
        <w:kinsoku/>
        <w:wordWrap/>
        <w:overflowPunct/>
        <w:topLinePunct w:val="0"/>
        <w:autoSpaceDE/>
        <w:autoSpaceDN/>
        <w:bidi w:val="0"/>
        <w:adjustRightInd/>
        <w:snapToGrid w:val="0"/>
        <w:spacing w:before="0" w:beforeLines="0" w:after="0" w:afterLines="0" w:line="360" w:lineRule="auto"/>
        <w:ind w:left="0"/>
        <w:textAlignment w:val="auto"/>
        <w:outlineLvl w:val="3"/>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t>4.1.5.3 乌拉泊、柴西、柴北、西山、甘河子（含铁路专供）准保护区概况</w:t>
      </w:r>
    </w:p>
    <w:p w14:paraId="3F7241E8">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本项目涉及乌拉泊、柴西、柴北、西山、甘河子（含铁路专供）准保护区。</w:t>
      </w:r>
    </w:p>
    <w:p w14:paraId="14E0A443">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根据《乌鲁木齐市饮用水水源保护区调整划分技术报告》，将饮用水源的补给区、径流区划分为准保护区。乌拉泊、柴西、柴北、西山、甘河子（含铁路专供）5个饮用水源的补给区相连成片，因此上述5个水源地统一划定一个整体的准保护区。准保护区拐点28个，划定的准保护区面积为1022.13km</w:t>
      </w:r>
      <w:r>
        <w:rPr>
          <w:rFonts w:hint="default" w:ascii="Times New Roman" w:hAnsi="Times New Roman" w:cs="Times New Roman" w:eastAsiaTheme="minorEastAsia"/>
          <w:snapToGrid w:val="0"/>
          <w:color w:val="000000" w:themeColor="text1"/>
          <w:sz w:val="24"/>
          <w:highlight w:val="none"/>
          <w:vertAlign w:val="superscript"/>
          <w:lang w:val="en-US" w:eastAsia="zh-CN"/>
          <w14:textFill>
            <w14:solidFill>
              <w14:schemeClr w14:val="tx1"/>
            </w14:solidFill>
          </w14:textFill>
        </w:rPr>
        <w:t>2</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w:t>
      </w:r>
    </w:p>
    <w:p w14:paraId="5117CB11">
      <w:pPr>
        <w:pStyle w:val="4"/>
        <w:pageBreakBefore w:val="0"/>
        <w:widowControl w:val="0"/>
        <w:numPr>
          <w:ilvl w:val="0"/>
          <w:numId w:val="0"/>
        </w:numPr>
        <w:tabs>
          <w:tab w:val="left" w:pos="630"/>
          <w:tab w:val="left" w:pos="3403"/>
        </w:tabs>
        <w:kinsoku/>
        <w:wordWrap w:val="0"/>
        <w:overflowPunct/>
        <w:topLinePunct w:val="0"/>
        <w:autoSpaceDE/>
        <w:autoSpaceDN/>
        <w:bidi w:val="0"/>
        <w:adjustRightInd/>
        <w:snapToGrid w:val="0"/>
        <w:spacing w:beforeLines="0" w:after="0" w:afterLines="0" w:line="360" w:lineRule="auto"/>
        <w:outlineLvl w:val="1"/>
        <w:rPr>
          <w:rFonts w:hint="default" w:ascii="Times New Roman" w:hAnsi="Times New Roman" w:cs="Times New Roman" w:eastAsiaTheme="minorEastAsia"/>
          <w:color w:val="000000" w:themeColor="text1"/>
          <w:sz w:val="30"/>
          <w:highlight w:val="none"/>
          <w:lang w:val="en-US" w:eastAsia="zh-CN"/>
          <w14:textFill>
            <w14:solidFill>
              <w14:schemeClr w14:val="tx1"/>
            </w14:solidFill>
          </w14:textFill>
        </w:rPr>
      </w:pPr>
      <w:bookmarkStart w:id="338" w:name="_Toc17125"/>
      <w:bookmarkStart w:id="339" w:name="_Toc1249"/>
      <w:bookmarkStart w:id="340" w:name="_Toc14594"/>
      <w:r>
        <w:rPr>
          <w:rFonts w:hint="default" w:ascii="Times New Roman" w:hAnsi="Times New Roman" w:cs="Times New Roman" w:eastAsiaTheme="minorEastAsia"/>
          <w:color w:val="000000" w:themeColor="text1"/>
          <w:sz w:val="30"/>
          <w:highlight w:val="none"/>
          <w:lang w:val="en-US" w:eastAsia="zh-CN"/>
          <w14:textFill>
            <w14:solidFill>
              <w14:schemeClr w14:val="tx1"/>
            </w14:solidFill>
          </w14:textFill>
        </w:rPr>
        <w:t>4.2 环境现状调查与评价</w:t>
      </w:r>
      <w:bookmarkEnd w:id="338"/>
      <w:bookmarkEnd w:id="339"/>
      <w:bookmarkEnd w:id="340"/>
    </w:p>
    <w:p w14:paraId="45DF35F3">
      <w:pPr>
        <w:pStyle w:val="11"/>
        <w:keepNext/>
        <w:keepLines/>
        <w:pageBreakBefore w:val="0"/>
        <w:widowControl w:val="0"/>
        <w:kinsoku/>
        <w:wordWrap/>
        <w:overflowPunct/>
        <w:topLinePunct w:val="0"/>
        <w:autoSpaceDE/>
        <w:autoSpaceDN/>
        <w:bidi w:val="0"/>
        <w:adjustRightInd/>
        <w:snapToGrid w:val="0"/>
        <w:spacing w:beforeLines="0" w:afterLines="0"/>
        <w:ind w:left="0"/>
        <w:textAlignment w:val="auto"/>
        <w:outlineLvl w:val="2"/>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bookmarkStart w:id="341" w:name="_Toc2713"/>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4.2.1 大气环境质量现状评价</w:t>
      </w:r>
      <w:bookmarkEnd w:id="341"/>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 xml:space="preserve"> </w:t>
      </w:r>
    </w:p>
    <w:p w14:paraId="0F46DBD9">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(1)项目所在区达标判定</w:t>
      </w:r>
    </w:p>
    <w:p w14:paraId="05AFC015">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根据生态环境部发布的“环境空气质量模型技术支持服务系统”环境质量达标区判定结果可知，项目所在地</w:t>
      </w:r>
      <w:r>
        <w:rPr>
          <w:rFonts w:hint="eastAsia" w:cs="Times New Roman" w:eastAsiaTheme="minorEastAsia"/>
          <w:snapToGrid w:val="0"/>
          <w:color w:val="000000" w:themeColor="text1"/>
          <w:sz w:val="24"/>
          <w:highlight w:val="none"/>
          <w:lang w:val="en-US" w:eastAsia="zh-CN"/>
          <w14:textFill>
            <w14:solidFill>
              <w14:schemeClr w14:val="tx1"/>
            </w14:solidFill>
          </w14:textFill>
        </w:rPr>
        <w:t>乌鲁木齐市</w:t>
      </w:r>
      <w:r>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环境空气质量满足《环境空气质量标准》(GB3095-2012)及其修改单二级标准，区域环境空气质量属于达标区。</w:t>
      </w:r>
    </w:p>
    <w:p w14:paraId="45BE3BF4">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(2)环境质量现状评价</w:t>
      </w:r>
    </w:p>
    <w:p w14:paraId="35F809CA">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①数据来源</w:t>
      </w:r>
    </w:p>
    <w:p w14:paraId="2655FD81">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根据《环境影响评价技术导则 大气环境》(HJ2.2-2018)的要求，对基本污染物和特征污染物的环境质量现状进行评价。本项目无特征污染物，故本次仅对项目所在区域环境空气质量中的6项基本污染物进行评价。</w:t>
      </w:r>
    </w:p>
    <w:p w14:paraId="2DF729D9">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基本污染物：收集了生态环境部发布的“环境空气质量模型技术支持服务系统”</w:t>
      </w:r>
      <w:r>
        <w:rPr>
          <w:rFonts w:hint="eastAsia" w:cs="Times New Roman" w:eastAsiaTheme="minorEastAsia"/>
          <w:snapToGrid w:val="0"/>
          <w:color w:val="000000" w:themeColor="text1"/>
          <w:sz w:val="24"/>
          <w:highlight w:val="none"/>
          <w:lang w:val="en-US" w:eastAsia="zh-CN"/>
          <w14:textFill>
            <w14:solidFill>
              <w14:schemeClr w14:val="tx1"/>
            </w14:solidFill>
          </w14:textFill>
        </w:rPr>
        <w:t>乌鲁木齐市</w:t>
      </w:r>
      <w:r>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202</w:t>
      </w:r>
      <w:r>
        <w:rPr>
          <w:rFonts w:hint="eastAsia" w:cs="Times New Roman" w:eastAsiaTheme="minorEastAsia"/>
          <w:snapToGrid w:val="0"/>
          <w:color w:val="000000" w:themeColor="text1"/>
          <w:sz w:val="24"/>
          <w:highlight w:val="none"/>
          <w:lang w:val="en-US" w:eastAsia="zh-CN"/>
          <w14:textFill>
            <w14:solidFill>
              <w14:schemeClr w14:val="tx1"/>
            </w14:solidFill>
          </w14:textFill>
        </w:rPr>
        <w:t>4</w:t>
      </w:r>
      <w:r>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年达标区判定数据。</w:t>
      </w:r>
    </w:p>
    <w:p w14:paraId="2C08D448">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②评价标准</w:t>
      </w:r>
    </w:p>
    <w:p w14:paraId="4BBD6A76">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常规污染物SO</w:t>
      </w:r>
      <w:r>
        <w:rPr>
          <w:rFonts w:hint="eastAsia" w:ascii="Times New Roman" w:hAnsi="Times New Roman" w:cs="Times New Roman" w:eastAsiaTheme="minorEastAsia"/>
          <w:snapToGrid w:val="0"/>
          <w:color w:val="000000" w:themeColor="text1"/>
          <w:sz w:val="24"/>
          <w:highlight w:val="none"/>
          <w:vertAlign w:val="subscript"/>
          <w:lang w:val="en-US" w:eastAsia="zh-CN"/>
          <w14:textFill>
            <w14:solidFill>
              <w14:schemeClr w14:val="tx1"/>
            </w14:solidFill>
          </w14:textFill>
        </w:rPr>
        <w:t>2</w:t>
      </w:r>
      <w:r>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、NO</w:t>
      </w:r>
      <w:r>
        <w:rPr>
          <w:rFonts w:hint="eastAsia" w:ascii="Times New Roman" w:hAnsi="Times New Roman" w:cs="Times New Roman" w:eastAsiaTheme="minorEastAsia"/>
          <w:snapToGrid w:val="0"/>
          <w:color w:val="000000" w:themeColor="text1"/>
          <w:sz w:val="24"/>
          <w:highlight w:val="none"/>
          <w:vertAlign w:val="subscript"/>
          <w:lang w:val="en-US" w:eastAsia="zh-CN"/>
          <w14:textFill>
            <w14:solidFill>
              <w14:schemeClr w14:val="tx1"/>
            </w14:solidFill>
          </w14:textFill>
        </w:rPr>
        <w:t>2</w:t>
      </w:r>
      <w:r>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、PM</w:t>
      </w:r>
      <w:r>
        <w:rPr>
          <w:rFonts w:hint="eastAsia" w:ascii="Times New Roman" w:hAnsi="Times New Roman" w:cs="Times New Roman" w:eastAsiaTheme="minorEastAsia"/>
          <w:snapToGrid w:val="0"/>
          <w:color w:val="000000" w:themeColor="text1"/>
          <w:sz w:val="24"/>
          <w:highlight w:val="none"/>
          <w:vertAlign w:val="subscript"/>
          <w:lang w:val="en-US" w:eastAsia="zh-CN"/>
          <w14:textFill>
            <w14:solidFill>
              <w14:schemeClr w14:val="tx1"/>
            </w14:solidFill>
          </w14:textFill>
        </w:rPr>
        <w:t>10</w:t>
      </w:r>
      <w:r>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、PM</w:t>
      </w:r>
      <w:r>
        <w:rPr>
          <w:rFonts w:hint="eastAsia" w:ascii="Times New Roman" w:hAnsi="Times New Roman" w:cs="Times New Roman" w:eastAsiaTheme="minorEastAsia"/>
          <w:snapToGrid w:val="0"/>
          <w:color w:val="000000" w:themeColor="text1"/>
          <w:sz w:val="24"/>
          <w:highlight w:val="none"/>
          <w:vertAlign w:val="subscript"/>
          <w:lang w:val="en-US" w:eastAsia="zh-CN"/>
          <w14:textFill>
            <w14:solidFill>
              <w14:schemeClr w14:val="tx1"/>
            </w14:solidFill>
          </w14:textFill>
        </w:rPr>
        <w:t>2.5</w:t>
      </w:r>
      <w:r>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、CO、O</w:t>
      </w:r>
      <w:r>
        <w:rPr>
          <w:rFonts w:hint="eastAsia" w:ascii="Times New Roman" w:hAnsi="Times New Roman" w:cs="Times New Roman" w:eastAsiaTheme="minorEastAsia"/>
          <w:snapToGrid w:val="0"/>
          <w:color w:val="000000" w:themeColor="text1"/>
          <w:sz w:val="24"/>
          <w:highlight w:val="none"/>
          <w:vertAlign w:val="subscript"/>
          <w:lang w:val="en-US" w:eastAsia="zh-CN"/>
          <w14:textFill>
            <w14:solidFill>
              <w14:schemeClr w14:val="tx1"/>
            </w14:solidFill>
          </w14:textFill>
        </w:rPr>
        <w:t>3</w:t>
      </w:r>
      <w:r>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执行《环境空气质量标准》(GB3095-2012)及其修改单二级标准。</w:t>
      </w:r>
    </w:p>
    <w:p w14:paraId="011C9CE0">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③评价方法</w:t>
      </w:r>
    </w:p>
    <w:p w14:paraId="6555D11D">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采用占标率法：</w:t>
      </w:r>
    </w:p>
    <w:p w14:paraId="7ED24799">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Pi=Ci/C</w:t>
      </w:r>
      <w:r>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0</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i</w:t>
      </w:r>
      <w:r>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×100%</w:t>
      </w:r>
    </w:p>
    <w:p w14:paraId="1057318D">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其中：Pi</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w:t>
      </w:r>
      <w:r>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污染物i的占标率;</w:t>
      </w:r>
    </w:p>
    <w:p w14:paraId="28656736">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Ci</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w:t>
      </w:r>
      <w:r>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常规污染物i的年评价浓度(SO</w:t>
      </w:r>
      <w:r>
        <w:rPr>
          <w:rFonts w:hint="eastAsia" w:ascii="Times New Roman" w:hAnsi="Times New Roman" w:cs="Times New Roman" w:eastAsiaTheme="minorEastAsia"/>
          <w:snapToGrid w:val="0"/>
          <w:color w:val="000000" w:themeColor="text1"/>
          <w:sz w:val="24"/>
          <w:highlight w:val="none"/>
          <w:vertAlign w:val="subscript"/>
          <w:lang w:val="en-US" w:eastAsia="zh-CN"/>
          <w14:textFill>
            <w14:solidFill>
              <w14:schemeClr w14:val="tx1"/>
            </w14:solidFill>
          </w14:textFill>
        </w:rPr>
        <w:t>2</w:t>
      </w:r>
      <w:r>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、NO</w:t>
      </w:r>
      <w:r>
        <w:rPr>
          <w:rFonts w:hint="eastAsia" w:ascii="Times New Roman" w:hAnsi="Times New Roman" w:cs="Times New Roman" w:eastAsiaTheme="minorEastAsia"/>
          <w:snapToGrid w:val="0"/>
          <w:color w:val="000000" w:themeColor="text1"/>
          <w:sz w:val="24"/>
          <w:highlight w:val="none"/>
          <w:vertAlign w:val="subscript"/>
          <w:lang w:val="en-US" w:eastAsia="zh-CN"/>
          <w14:textFill>
            <w14:solidFill>
              <w14:schemeClr w14:val="tx1"/>
            </w14:solidFill>
          </w14:textFill>
        </w:rPr>
        <w:t>2</w:t>
      </w:r>
      <w:r>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、PM</w:t>
      </w:r>
      <w:r>
        <w:rPr>
          <w:rFonts w:hint="eastAsia" w:ascii="Times New Roman" w:hAnsi="Times New Roman" w:cs="Times New Roman" w:eastAsiaTheme="minorEastAsia"/>
          <w:snapToGrid w:val="0"/>
          <w:color w:val="000000" w:themeColor="text1"/>
          <w:sz w:val="24"/>
          <w:highlight w:val="none"/>
          <w:vertAlign w:val="subscript"/>
          <w:lang w:val="en-US" w:eastAsia="zh-CN"/>
          <w14:textFill>
            <w14:solidFill>
              <w14:schemeClr w14:val="tx1"/>
            </w14:solidFill>
          </w14:textFill>
        </w:rPr>
        <w:t>10</w:t>
      </w:r>
      <w:r>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、PM</w:t>
      </w:r>
      <w:r>
        <w:rPr>
          <w:rFonts w:hint="eastAsia" w:ascii="Times New Roman" w:hAnsi="Times New Roman" w:cs="Times New Roman" w:eastAsiaTheme="minorEastAsia"/>
          <w:snapToGrid w:val="0"/>
          <w:color w:val="000000" w:themeColor="text1"/>
          <w:sz w:val="24"/>
          <w:highlight w:val="none"/>
          <w:vertAlign w:val="subscript"/>
          <w:lang w:val="en-US" w:eastAsia="zh-CN"/>
          <w14:textFill>
            <w14:solidFill>
              <w14:schemeClr w14:val="tx1"/>
            </w14:solidFill>
          </w14:textFill>
        </w:rPr>
        <w:t>2.5</w:t>
      </w:r>
      <w:r>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取年平均浓度，CO取24小时平均第95百分位数，O</w:t>
      </w:r>
      <w:r>
        <w:rPr>
          <w:rFonts w:hint="eastAsia" w:ascii="Times New Roman" w:hAnsi="Times New Roman" w:cs="Times New Roman" w:eastAsiaTheme="minorEastAsia"/>
          <w:snapToGrid w:val="0"/>
          <w:color w:val="000000" w:themeColor="text1"/>
          <w:sz w:val="24"/>
          <w:highlight w:val="none"/>
          <w:vertAlign w:val="subscript"/>
          <w:lang w:val="en-US" w:eastAsia="zh-CN"/>
          <w14:textFill>
            <w14:solidFill>
              <w14:schemeClr w14:val="tx1"/>
            </w14:solidFill>
          </w14:textFill>
        </w:rPr>
        <w:t>3</w:t>
      </w:r>
      <w:r>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取日最大8小时平均第90百分位数)，特征污染物i的实测浓度，μg/m3;</w:t>
      </w:r>
    </w:p>
    <w:p w14:paraId="1808B9CC">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C0 i</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w:t>
      </w:r>
      <w:r>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污染物i的评价标准，μg/m</w:t>
      </w:r>
      <w:r>
        <w:rPr>
          <w:rFonts w:hint="eastAsia" w:ascii="Times New Roman" w:hAnsi="Times New Roman" w:cs="Times New Roman" w:eastAsiaTheme="minorEastAsia"/>
          <w:snapToGrid w:val="0"/>
          <w:color w:val="000000" w:themeColor="text1"/>
          <w:sz w:val="24"/>
          <w:highlight w:val="none"/>
          <w:vertAlign w:val="superscript"/>
          <w:lang w:val="en-US" w:eastAsia="zh-CN"/>
          <w14:textFill>
            <w14:solidFill>
              <w14:schemeClr w14:val="tx1"/>
            </w14:solidFill>
          </w14:textFill>
        </w:rPr>
        <w:t>3</w:t>
      </w:r>
      <w:r>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w:t>
      </w:r>
    </w:p>
    <w:p w14:paraId="1E9982D5">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(3)监测及评价结果</w:t>
      </w:r>
    </w:p>
    <w:p w14:paraId="318067F9">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监测及评价结果见表4.2-1。</w:t>
      </w:r>
    </w:p>
    <w:p w14:paraId="4808E530">
      <w:pPr>
        <w:tabs>
          <w:tab w:val="left" w:pos="905"/>
        </w:tabs>
        <w:adjustRightInd w:val="0"/>
        <w:snapToGrid w:val="0"/>
        <w:spacing w:line="240" w:lineRule="auto"/>
        <w:ind w:left="0" w:leftChars="0" w:firstLine="1440" w:firstLineChars="600"/>
        <w:jc w:val="both"/>
        <w:rPr>
          <w:rFonts w:hint="default" w:ascii="Times New Roman" w:hAnsi="Times New Roman" w:cs="Times New Roman" w:eastAsiaTheme="minorEastAsia"/>
          <w:b/>
          <w:bCs/>
          <w:color w:val="000000" w:themeColor="text1"/>
          <w:kern w:val="2"/>
          <w:sz w:val="24"/>
          <w:szCs w:val="24"/>
          <w:highlight w:val="none"/>
          <w:lang w:bidi="ar-SA"/>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highlight w:val="none"/>
          <w:lang w:bidi="ar-SA"/>
          <w14:textFill>
            <w14:solidFill>
              <w14:schemeClr w14:val="tx1"/>
            </w14:solidFill>
          </w14:textFill>
        </w:rPr>
        <w:t>表</w:t>
      </w:r>
      <w:r>
        <w:rPr>
          <w:rFonts w:hint="default" w:ascii="Times New Roman" w:hAnsi="Times New Roman" w:cs="Times New Roman" w:eastAsiaTheme="minorEastAsia"/>
          <w:b/>
          <w:bCs/>
          <w:color w:val="000000" w:themeColor="text1"/>
          <w:kern w:val="2"/>
          <w:sz w:val="24"/>
          <w:szCs w:val="24"/>
          <w:highlight w:val="none"/>
          <w:lang w:val="en-US" w:eastAsia="zh-CN" w:bidi="ar-SA"/>
          <w14:textFill>
            <w14:solidFill>
              <w14:schemeClr w14:val="tx1"/>
            </w14:solidFill>
          </w14:textFill>
        </w:rPr>
        <w:t xml:space="preserve">4.2-1  </w:t>
      </w:r>
      <w:r>
        <w:rPr>
          <w:rFonts w:hint="eastAsia" w:cs="Times New Roman" w:eastAsiaTheme="minorEastAsia"/>
          <w:b/>
          <w:bCs/>
          <w:color w:val="000000" w:themeColor="text1"/>
          <w:kern w:val="2"/>
          <w:sz w:val="24"/>
          <w:szCs w:val="24"/>
          <w:highlight w:val="none"/>
          <w:lang w:val="en-US" w:eastAsia="zh-CN" w:bidi="ar-SA"/>
          <w14:textFill>
            <w14:solidFill>
              <w14:schemeClr w14:val="tx1"/>
            </w14:solidFill>
          </w14:textFill>
        </w:rPr>
        <w:t xml:space="preserve">   </w:t>
      </w:r>
      <w:r>
        <w:rPr>
          <w:rFonts w:hint="default" w:ascii="Times New Roman" w:hAnsi="Times New Roman" w:cs="Times New Roman" w:eastAsiaTheme="minorEastAsia"/>
          <w:b/>
          <w:bCs/>
          <w:color w:val="000000" w:themeColor="text1"/>
          <w:kern w:val="2"/>
          <w:sz w:val="24"/>
          <w:szCs w:val="24"/>
          <w:highlight w:val="none"/>
          <w:lang w:val="en-US" w:eastAsia="zh-CN" w:bidi="ar-SA"/>
          <w14:textFill>
            <w14:solidFill>
              <w14:schemeClr w14:val="tx1"/>
            </w14:solidFill>
          </w14:textFill>
        </w:rPr>
        <w:t xml:space="preserve">  </w:t>
      </w:r>
      <w:r>
        <w:rPr>
          <w:rFonts w:hint="default" w:ascii="Times New Roman" w:hAnsi="Times New Roman" w:cs="Times New Roman" w:eastAsiaTheme="minorEastAsia"/>
          <w:b/>
          <w:bCs/>
          <w:color w:val="000000" w:themeColor="text1"/>
          <w:kern w:val="2"/>
          <w:sz w:val="24"/>
          <w:szCs w:val="24"/>
          <w:highlight w:val="none"/>
          <w:lang w:bidi="ar-SA"/>
          <w14:textFill>
            <w14:solidFill>
              <w14:schemeClr w14:val="tx1"/>
            </w14:solidFill>
          </w14:textFill>
        </w:rPr>
        <w:t>基本污染物环境质量现状</w:t>
      </w:r>
    </w:p>
    <w:tbl>
      <w:tblPr>
        <w:tblStyle w:val="75"/>
        <w:tblW w:w="8984"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851"/>
        <w:gridCol w:w="1533"/>
        <w:gridCol w:w="1007"/>
        <w:gridCol w:w="1221"/>
        <w:gridCol w:w="1458"/>
        <w:gridCol w:w="1472"/>
        <w:gridCol w:w="1442"/>
      </w:tblGrid>
      <w:tr w14:paraId="015254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tblHeader/>
        </w:trPr>
        <w:tc>
          <w:tcPr>
            <w:tcW w:w="851" w:type="dxa"/>
            <w:vMerge w:val="restart"/>
            <w:tcBorders>
              <w:tl2br w:val="nil"/>
              <w:tr2bl w:val="nil"/>
            </w:tcBorders>
            <w:vAlign w:val="center"/>
          </w:tcPr>
          <w:p w14:paraId="212D7C17">
            <w:pPr>
              <w:keepNext w:val="0"/>
              <w:keepLines w:val="0"/>
              <w:pageBreakBefore w:val="0"/>
              <w:widowControl/>
              <w:kinsoku/>
              <w:wordWrap/>
              <w:overflowPunct/>
              <w:topLinePunct w:val="0"/>
              <w:autoSpaceDE/>
              <w:autoSpaceDN/>
              <w:bidi w:val="0"/>
              <w:adjustRightInd/>
              <w:snapToGrid/>
              <w:spacing w:before="0" w:after="0" w:line="240" w:lineRule="auto"/>
              <w:ind w:left="0" w:leftChars="0" w:right="0"/>
              <w:jc w:val="center"/>
              <w:textAlignment w:val="auto"/>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t>评价</w:t>
            </w:r>
          </w:p>
          <w:p w14:paraId="20734958">
            <w:pPr>
              <w:keepNext w:val="0"/>
              <w:keepLines w:val="0"/>
              <w:pageBreakBefore w:val="0"/>
              <w:widowControl/>
              <w:kinsoku/>
              <w:wordWrap/>
              <w:overflowPunct/>
              <w:topLinePunct w:val="0"/>
              <w:autoSpaceDE/>
              <w:autoSpaceDN/>
              <w:bidi w:val="0"/>
              <w:adjustRightInd/>
              <w:snapToGrid/>
              <w:spacing w:before="0" w:after="0" w:line="240" w:lineRule="auto"/>
              <w:ind w:left="0" w:leftChars="0" w:right="0"/>
              <w:jc w:val="center"/>
              <w:textAlignment w:val="auto"/>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t>因子</w:t>
            </w:r>
          </w:p>
        </w:tc>
        <w:tc>
          <w:tcPr>
            <w:tcW w:w="1533" w:type="dxa"/>
            <w:vMerge w:val="restart"/>
            <w:tcBorders>
              <w:tl2br w:val="nil"/>
              <w:tr2bl w:val="nil"/>
            </w:tcBorders>
            <w:vAlign w:val="center"/>
          </w:tcPr>
          <w:p w14:paraId="084CFA53">
            <w:pPr>
              <w:keepNext w:val="0"/>
              <w:keepLines w:val="0"/>
              <w:pageBreakBefore w:val="0"/>
              <w:widowControl/>
              <w:kinsoku/>
              <w:wordWrap/>
              <w:overflowPunct/>
              <w:topLinePunct w:val="0"/>
              <w:autoSpaceDE/>
              <w:autoSpaceDN/>
              <w:bidi w:val="0"/>
              <w:adjustRightInd/>
              <w:snapToGrid/>
              <w:spacing w:before="0" w:after="0" w:line="240" w:lineRule="auto"/>
              <w:ind w:left="0" w:leftChars="0" w:right="0"/>
              <w:jc w:val="center"/>
              <w:textAlignment w:val="auto"/>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t>平均时段</w:t>
            </w:r>
          </w:p>
        </w:tc>
        <w:tc>
          <w:tcPr>
            <w:tcW w:w="1007" w:type="dxa"/>
            <w:vMerge w:val="restart"/>
            <w:tcBorders>
              <w:tl2br w:val="nil"/>
              <w:tr2bl w:val="nil"/>
            </w:tcBorders>
            <w:vAlign w:val="center"/>
          </w:tcPr>
          <w:p w14:paraId="7C59F999">
            <w:pPr>
              <w:keepNext w:val="0"/>
              <w:keepLines w:val="0"/>
              <w:pageBreakBefore w:val="0"/>
              <w:widowControl/>
              <w:kinsoku/>
              <w:wordWrap/>
              <w:overflowPunct/>
              <w:topLinePunct w:val="0"/>
              <w:autoSpaceDE/>
              <w:autoSpaceDN/>
              <w:bidi w:val="0"/>
              <w:adjustRightInd/>
              <w:snapToGrid/>
              <w:spacing w:before="0" w:after="0" w:line="240" w:lineRule="auto"/>
              <w:ind w:left="0" w:leftChars="0" w:right="0"/>
              <w:jc w:val="center"/>
              <w:textAlignment w:val="auto"/>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t>百分位</w:t>
            </w:r>
          </w:p>
        </w:tc>
        <w:tc>
          <w:tcPr>
            <w:tcW w:w="5593" w:type="dxa"/>
            <w:gridSpan w:val="4"/>
            <w:tcBorders>
              <w:tl2br w:val="nil"/>
              <w:tr2bl w:val="nil"/>
            </w:tcBorders>
            <w:vAlign w:val="center"/>
          </w:tcPr>
          <w:p w14:paraId="55BF807F">
            <w:pPr>
              <w:keepNext w:val="0"/>
              <w:keepLines w:val="0"/>
              <w:pageBreakBefore w:val="0"/>
              <w:widowControl/>
              <w:kinsoku/>
              <w:wordWrap/>
              <w:overflowPunct/>
              <w:topLinePunct w:val="0"/>
              <w:autoSpaceDE/>
              <w:autoSpaceDN/>
              <w:bidi w:val="0"/>
              <w:adjustRightInd/>
              <w:snapToGrid/>
              <w:spacing w:before="0" w:after="0" w:line="240" w:lineRule="auto"/>
              <w:ind w:left="0" w:leftChars="0" w:right="0"/>
              <w:jc w:val="center"/>
              <w:textAlignment w:val="auto"/>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t>202</w:t>
            </w:r>
            <w:r>
              <w:rPr>
                <w:rFonts w:hint="eastAsia" w:cs="Times New Roman" w:eastAsiaTheme="minorEastAsia"/>
                <w:b w:val="0"/>
                <w:bCs w:val="0"/>
                <w:color w:val="000000" w:themeColor="text1"/>
                <w:kern w:val="2"/>
                <w:sz w:val="21"/>
                <w:szCs w:val="21"/>
                <w:highlight w:val="none"/>
                <w:lang w:val="en-US" w:eastAsia="zh-CN" w:bidi="ar-SA"/>
                <w14:textFill>
                  <w14:solidFill>
                    <w14:schemeClr w14:val="tx1"/>
                  </w14:solidFill>
                </w14:textFill>
              </w:rPr>
              <w:t>4</w:t>
            </w:r>
            <w: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t>年</w:t>
            </w:r>
          </w:p>
        </w:tc>
      </w:tr>
      <w:tr w14:paraId="773FB2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tblHeader/>
        </w:trPr>
        <w:tc>
          <w:tcPr>
            <w:tcW w:w="851" w:type="dxa"/>
            <w:vMerge w:val="continue"/>
            <w:tcBorders>
              <w:tl2br w:val="nil"/>
              <w:tr2bl w:val="nil"/>
            </w:tcBorders>
            <w:vAlign w:val="center"/>
          </w:tcPr>
          <w:p w14:paraId="5AB07977">
            <w:pPr>
              <w:keepNext w:val="0"/>
              <w:keepLines w:val="0"/>
              <w:pageBreakBefore w:val="0"/>
              <w:widowControl/>
              <w:kinsoku/>
              <w:wordWrap/>
              <w:overflowPunct/>
              <w:topLinePunct w:val="0"/>
              <w:autoSpaceDE/>
              <w:autoSpaceDN/>
              <w:bidi w:val="0"/>
              <w:adjustRightInd/>
              <w:snapToGrid/>
              <w:spacing w:before="0" w:after="0" w:line="240" w:lineRule="auto"/>
              <w:ind w:left="0" w:leftChars="0" w:right="0"/>
              <w:jc w:val="center"/>
              <w:textAlignment w:val="auto"/>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p>
        </w:tc>
        <w:tc>
          <w:tcPr>
            <w:tcW w:w="1533" w:type="dxa"/>
            <w:vMerge w:val="continue"/>
            <w:tcBorders>
              <w:tl2br w:val="nil"/>
              <w:tr2bl w:val="nil"/>
            </w:tcBorders>
            <w:vAlign w:val="center"/>
          </w:tcPr>
          <w:p w14:paraId="04162961">
            <w:pPr>
              <w:keepNext w:val="0"/>
              <w:keepLines w:val="0"/>
              <w:pageBreakBefore w:val="0"/>
              <w:widowControl/>
              <w:kinsoku/>
              <w:wordWrap/>
              <w:overflowPunct/>
              <w:topLinePunct w:val="0"/>
              <w:autoSpaceDE/>
              <w:autoSpaceDN/>
              <w:bidi w:val="0"/>
              <w:adjustRightInd/>
              <w:snapToGrid/>
              <w:spacing w:before="0" w:after="0" w:line="240" w:lineRule="auto"/>
              <w:ind w:left="0" w:leftChars="0" w:right="0"/>
              <w:jc w:val="center"/>
              <w:textAlignment w:val="auto"/>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p>
        </w:tc>
        <w:tc>
          <w:tcPr>
            <w:tcW w:w="1007" w:type="dxa"/>
            <w:vMerge w:val="continue"/>
            <w:tcBorders>
              <w:tl2br w:val="nil"/>
              <w:tr2bl w:val="nil"/>
            </w:tcBorders>
            <w:vAlign w:val="center"/>
          </w:tcPr>
          <w:p w14:paraId="697586AD">
            <w:pPr>
              <w:keepNext w:val="0"/>
              <w:keepLines w:val="0"/>
              <w:pageBreakBefore w:val="0"/>
              <w:widowControl/>
              <w:kinsoku/>
              <w:wordWrap/>
              <w:overflowPunct/>
              <w:topLinePunct w:val="0"/>
              <w:autoSpaceDE/>
              <w:autoSpaceDN/>
              <w:bidi w:val="0"/>
              <w:adjustRightInd/>
              <w:snapToGrid/>
              <w:spacing w:before="0" w:after="0" w:line="240" w:lineRule="auto"/>
              <w:ind w:left="0" w:leftChars="0" w:right="0"/>
              <w:jc w:val="center"/>
              <w:textAlignment w:val="auto"/>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p>
        </w:tc>
        <w:tc>
          <w:tcPr>
            <w:tcW w:w="1221" w:type="dxa"/>
            <w:tcBorders>
              <w:tl2br w:val="nil"/>
              <w:tr2bl w:val="nil"/>
            </w:tcBorders>
            <w:vAlign w:val="center"/>
          </w:tcPr>
          <w:p w14:paraId="5E850455">
            <w:pPr>
              <w:keepNext w:val="0"/>
              <w:keepLines w:val="0"/>
              <w:pageBreakBefore w:val="0"/>
              <w:widowControl/>
              <w:kinsoku/>
              <w:wordWrap/>
              <w:overflowPunct/>
              <w:topLinePunct w:val="0"/>
              <w:autoSpaceDE/>
              <w:autoSpaceDN/>
              <w:bidi w:val="0"/>
              <w:adjustRightInd/>
              <w:snapToGrid/>
              <w:spacing w:before="0" w:after="0" w:line="240" w:lineRule="auto"/>
              <w:ind w:left="0" w:leftChars="0" w:right="0"/>
              <w:jc w:val="center"/>
              <w:textAlignment w:val="auto"/>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t>现状浓度</w:t>
            </w:r>
          </w:p>
          <w:p w14:paraId="4D88F821">
            <w:pPr>
              <w:keepNext w:val="0"/>
              <w:keepLines w:val="0"/>
              <w:pageBreakBefore w:val="0"/>
              <w:widowControl/>
              <w:kinsoku/>
              <w:wordWrap/>
              <w:overflowPunct/>
              <w:topLinePunct w:val="0"/>
              <w:autoSpaceDE/>
              <w:autoSpaceDN/>
              <w:bidi w:val="0"/>
              <w:adjustRightInd/>
              <w:snapToGrid/>
              <w:spacing w:before="0" w:after="0" w:line="240" w:lineRule="auto"/>
              <w:ind w:left="0" w:leftChars="0" w:right="0"/>
              <w:jc w:val="center"/>
              <w:textAlignment w:val="auto"/>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t>μg/m</w:t>
            </w:r>
            <w:r>
              <w:rPr>
                <w:rFonts w:hint="default" w:ascii="Times New Roman" w:hAnsi="Times New Roman" w:cs="Times New Roman" w:eastAsiaTheme="minorEastAsia"/>
                <w:b w:val="0"/>
                <w:bCs w:val="0"/>
                <w:color w:val="000000" w:themeColor="text1"/>
                <w:kern w:val="2"/>
                <w:sz w:val="21"/>
                <w:szCs w:val="21"/>
                <w:highlight w:val="none"/>
                <w:vertAlign w:val="superscript"/>
                <w:lang w:val="en-US" w:eastAsia="zh-CN" w:bidi="ar-SA"/>
                <w14:textFill>
                  <w14:solidFill>
                    <w14:schemeClr w14:val="tx1"/>
                  </w14:solidFill>
                </w14:textFill>
              </w:rPr>
              <w:t>3</w:t>
            </w:r>
          </w:p>
        </w:tc>
        <w:tc>
          <w:tcPr>
            <w:tcW w:w="1458" w:type="dxa"/>
            <w:tcBorders>
              <w:tl2br w:val="nil"/>
              <w:tr2bl w:val="nil"/>
            </w:tcBorders>
            <w:vAlign w:val="center"/>
          </w:tcPr>
          <w:p w14:paraId="02C0DC8C">
            <w:pPr>
              <w:keepNext w:val="0"/>
              <w:keepLines w:val="0"/>
              <w:pageBreakBefore w:val="0"/>
              <w:widowControl/>
              <w:kinsoku/>
              <w:wordWrap/>
              <w:overflowPunct/>
              <w:topLinePunct w:val="0"/>
              <w:autoSpaceDE/>
              <w:autoSpaceDN/>
              <w:bidi w:val="0"/>
              <w:adjustRightInd/>
              <w:snapToGrid/>
              <w:spacing w:before="0" w:after="0" w:line="240" w:lineRule="auto"/>
              <w:ind w:left="0" w:leftChars="0" w:right="0"/>
              <w:jc w:val="center"/>
              <w:textAlignment w:val="auto"/>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t>标准限值</w:t>
            </w:r>
          </w:p>
          <w:p w14:paraId="49C286C4">
            <w:pPr>
              <w:keepNext w:val="0"/>
              <w:keepLines w:val="0"/>
              <w:pageBreakBefore w:val="0"/>
              <w:widowControl/>
              <w:kinsoku/>
              <w:wordWrap/>
              <w:overflowPunct/>
              <w:topLinePunct w:val="0"/>
              <w:autoSpaceDE/>
              <w:autoSpaceDN/>
              <w:bidi w:val="0"/>
              <w:adjustRightInd/>
              <w:snapToGrid/>
              <w:spacing w:before="0" w:after="0" w:line="240" w:lineRule="auto"/>
              <w:ind w:left="0" w:leftChars="0" w:right="0"/>
              <w:jc w:val="center"/>
              <w:textAlignment w:val="auto"/>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t>μg/m</w:t>
            </w:r>
            <w:r>
              <w:rPr>
                <w:rFonts w:hint="default" w:ascii="Times New Roman" w:hAnsi="Times New Roman" w:cs="Times New Roman" w:eastAsiaTheme="minorEastAsia"/>
                <w:b w:val="0"/>
                <w:bCs w:val="0"/>
                <w:color w:val="000000" w:themeColor="text1"/>
                <w:kern w:val="2"/>
                <w:sz w:val="21"/>
                <w:szCs w:val="21"/>
                <w:highlight w:val="none"/>
                <w:vertAlign w:val="superscript"/>
                <w:lang w:val="en-US" w:eastAsia="zh-CN" w:bidi="ar-SA"/>
                <w14:textFill>
                  <w14:solidFill>
                    <w14:schemeClr w14:val="tx1"/>
                  </w14:solidFill>
                </w14:textFill>
              </w:rPr>
              <w:t>3</w:t>
            </w:r>
          </w:p>
        </w:tc>
        <w:tc>
          <w:tcPr>
            <w:tcW w:w="1472" w:type="dxa"/>
            <w:tcBorders>
              <w:tl2br w:val="nil"/>
              <w:tr2bl w:val="nil"/>
            </w:tcBorders>
            <w:vAlign w:val="center"/>
          </w:tcPr>
          <w:p w14:paraId="4C345C1F">
            <w:pPr>
              <w:keepNext w:val="0"/>
              <w:keepLines w:val="0"/>
              <w:pageBreakBefore w:val="0"/>
              <w:widowControl/>
              <w:kinsoku/>
              <w:wordWrap/>
              <w:overflowPunct/>
              <w:topLinePunct w:val="0"/>
              <w:autoSpaceDE/>
              <w:autoSpaceDN/>
              <w:bidi w:val="0"/>
              <w:adjustRightInd/>
              <w:snapToGrid/>
              <w:spacing w:before="0" w:after="0" w:line="240" w:lineRule="auto"/>
              <w:ind w:left="0" w:leftChars="0" w:right="0"/>
              <w:jc w:val="center"/>
              <w:textAlignment w:val="auto"/>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t>占标率%</w:t>
            </w:r>
          </w:p>
        </w:tc>
        <w:tc>
          <w:tcPr>
            <w:tcW w:w="1442" w:type="dxa"/>
            <w:tcBorders>
              <w:tl2br w:val="nil"/>
              <w:tr2bl w:val="nil"/>
            </w:tcBorders>
            <w:vAlign w:val="center"/>
          </w:tcPr>
          <w:p w14:paraId="5B859FF8">
            <w:pPr>
              <w:keepNext w:val="0"/>
              <w:keepLines w:val="0"/>
              <w:pageBreakBefore w:val="0"/>
              <w:widowControl/>
              <w:kinsoku/>
              <w:wordWrap/>
              <w:overflowPunct/>
              <w:topLinePunct w:val="0"/>
              <w:autoSpaceDE/>
              <w:autoSpaceDN/>
              <w:bidi w:val="0"/>
              <w:adjustRightInd/>
              <w:snapToGrid/>
              <w:spacing w:before="0" w:after="0" w:line="240" w:lineRule="auto"/>
              <w:ind w:left="0" w:leftChars="0" w:right="0"/>
              <w:jc w:val="center"/>
              <w:textAlignment w:val="auto"/>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t>达标情况</w:t>
            </w:r>
          </w:p>
        </w:tc>
      </w:tr>
      <w:tr w14:paraId="03DE1B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851" w:type="dxa"/>
            <w:tcBorders>
              <w:tl2br w:val="nil"/>
              <w:tr2bl w:val="nil"/>
            </w:tcBorders>
            <w:vAlign w:val="center"/>
          </w:tcPr>
          <w:p w14:paraId="3027D596">
            <w:pPr>
              <w:keepNext w:val="0"/>
              <w:keepLines w:val="0"/>
              <w:pageBreakBefore w:val="0"/>
              <w:widowControl/>
              <w:kinsoku/>
              <w:wordWrap/>
              <w:overflowPunct/>
              <w:topLinePunct w:val="0"/>
              <w:autoSpaceDE/>
              <w:autoSpaceDN/>
              <w:bidi w:val="0"/>
              <w:adjustRightInd/>
              <w:snapToGrid/>
              <w:spacing w:before="0" w:after="0" w:line="240" w:lineRule="auto"/>
              <w:ind w:left="0" w:leftChars="0" w:right="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SO</w:t>
            </w:r>
            <w:r>
              <w:rPr>
                <w:rFonts w:hint="default" w:ascii="Times New Roman" w:hAnsi="Times New Roman" w:cs="Times New Roman" w:eastAsiaTheme="minorEastAsia"/>
                <w:color w:val="000000" w:themeColor="text1"/>
                <w:kern w:val="2"/>
                <w:sz w:val="21"/>
                <w:szCs w:val="21"/>
                <w:highlight w:val="none"/>
                <w:vertAlign w:val="subscript"/>
                <w:lang w:val="en-US" w:eastAsia="zh-CN" w:bidi="ar-SA"/>
                <w14:textFill>
                  <w14:solidFill>
                    <w14:schemeClr w14:val="tx1"/>
                  </w14:solidFill>
                </w14:textFill>
              </w:rPr>
              <w:t>2</w:t>
            </w:r>
          </w:p>
        </w:tc>
        <w:tc>
          <w:tcPr>
            <w:tcW w:w="1533" w:type="dxa"/>
            <w:tcBorders>
              <w:tl2br w:val="nil"/>
              <w:tr2bl w:val="nil"/>
            </w:tcBorders>
            <w:vAlign w:val="center"/>
          </w:tcPr>
          <w:p w14:paraId="07767602">
            <w:pPr>
              <w:keepNext w:val="0"/>
              <w:keepLines w:val="0"/>
              <w:pageBreakBefore w:val="0"/>
              <w:widowControl/>
              <w:kinsoku/>
              <w:wordWrap/>
              <w:overflowPunct/>
              <w:topLinePunct w:val="0"/>
              <w:autoSpaceDE/>
              <w:autoSpaceDN/>
              <w:bidi w:val="0"/>
              <w:adjustRightInd/>
              <w:snapToGrid/>
              <w:spacing w:before="0" w:after="0" w:line="240" w:lineRule="auto"/>
              <w:ind w:left="0" w:leftChars="0" w:right="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年平均浓度</w:t>
            </w:r>
          </w:p>
        </w:tc>
        <w:tc>
          <w:tcPr>
            <w:tcW w:w="1007" w:type="dxa"/>
            <w:tcBorders>
              <w:tl2br w:val="nil"/>
              <w:tr2bl w:val="nil"/>
            </w:tcBorders>
            <w:vAlign w:val="center"/>
          </w:tcPr>
          <w:p w14:paraId="0FF9E7AB">
            <w:pPr>
              <w:keepNext w:val="0"/>
              <w:keepLines w:val="0"/>
              <w:pageBreakBefore w:val="0"/>
              <w:widowControl/>
              <w:kinsoku/>
              <w:wordWrap/>
              <w:overflowPunct/>
              <w:topLinePunct w:val="0"/>
              <w:autoSpaceDE/>
              <w:autoSpaceDN/>
              <w:bidi w:val="0"/>
              <w:adjustRightInd/>
              <w:snapToGrid/>
              <w:spacing w:before="0" w:after="0" w:line="240" w:lineRule="auto"/>
              <w:ind w:left="0" w:leftChars="0" w:right="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w:t>
            </w:r>
          </w:p>
        </w:tc>
        <w:tc>
          <w:tcPr>
            <w:tcW w:w="1221" w:type="dxa"/>
            <w:tcBorders>
              <w:tl2br w:val="nil"/>
              <w:tr2bl w:val="nil"/>
            </w:tcBorders>
            <w:vAlign w:val="center"/>
          </w:tcPr>
          <w:p w14:paraId="5402048B">
            <w:pPr>
              <w:keepNext w:val="0"/>
              <w:keepLines w:val="0"/>
              <w:pageBreakBefore w:val="0"/>
              <w:widowControl/>
              <w:kinsoku/>
              <w:wordWrap/>
              <w:overflowPunct/>
              <w:topLinePunct w:val="0"/>
              <w:autoSpaceDE/>
              <w:autoSpaceDN/>
              <w:bidi w:val="0"/>
              <w:adjustRightInd/>
              <w:snapToGrid/>
              <w:spacing w:before="0" w:after="0" w:line="240" w:lineRule="auto"/>
              <w:ind w:left="0" w:leftChars="0" w:right="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cs="Times New Roman" w:eastAsiaTheme="minorEastAsia"/>
                <w:color w:val="000000" w:themeColor="text1"/>
                <w:kern w:val="2"/>
                <w:sz w:val="21"/>
                <w:szCs w:val="21"/>
                <w:highlight w:val="none"/>
                <w:lang w:val="en-US" w:eastAsia="zh-CN" w:bidi="ar-SA"/>
                <w14:textFill>
                  <w14:solidFill>
                    <w14:schemeClr w14:val="tx1"/>
                  </w14:solidFill>
                </w14:textFill>
              </w:rPr>
              <w:t>5</w:t>
            </w:r>
          </w:p>
        </w:tc>
        <w:tc>
          <w:tcPr>
            <w:tcW w:w="1458" w:type="dxa"/>
            <w:tcBorders>
              <w:tl2br w:val="nil"/>
              <w:tr2bl w:val="nil"/>
            </w:tcBorders>
            <w:vAlign w:val="center"/>
          </w:tcPr>
          <w:p w14:paraId="6A1B17A7">
            <w:pPr>
              <w:keepNext w:val="0"/>
              <w:keepLines w:val="0"/>
              <w:pageBreakBefore w:val="0"/>
              <w:widowControl/>
              <w:kinsoku/>
              <w:wordWrap/>
              <w:overflowPunct/>
              <w:topLinePunct w:val="0"/>
              <w:autoSpaceDE/>
              <w:autoSpaceDN/>
              <w:bidi w:val="0"/>
              <w:adjustRightInd/>
              <w:snapToGrid/>
              <w:spacing w:before="0" w:after="0" w:line="240" w:lineRule="auto"/>
              <w:ind w:left="0" w:leftChars="0" w:right="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60</w:t>
            </w:r>
          </w:p>
        </w:tc>
        <w:tc>
          <w:tcPr>
            <w:tcW w:w="1472" w:type="dxa"/>
            <w:tcBorders>
              <w:tl2br w:val="nil"/>
              <w:tr2bl w:val="nil"/>
            </w:tcBorders>
            <w:vAlign w:val="center"/>
          </w:tcPr>
          <w:p w14:paraId="6C974589">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cs="Times New Roman" w:eastAsiaTheme="minorEastAsia"/>
                <w:color w:val="000000" w:themeColor="text1"/>
                <w:kern w:val="2"/>
                <w:sz w:val="21"/>
                <w:szCs w:val="21"/>
                <w:highlight w:val="none"/>
                <w:lang w:val="en-US" w:eastAsia="zh-CN" w:bidi="ar-SA"/>
                <w14:textFill>
                  <w14:solidFill>
                    <w14:schemeClr w14:val="tx1"/>
                  </w14:solidFill>
                </w14:textFill>
              </w:rPr>
              <w:t>8.33</w:t>
            </w:r>
          </w:p>
        </w:tc>
        <w:tc>
          <w:tcPr>
            <w:tcW w:w="1442" w:type="dxa"/>
            <w:tcBorders>
              <w:tl2br w:val="nil"/>
              <w:tr2bl w:val="nil"/>
            </w:tcBorders>
            <w:vAlign w:val="center"/>
          </w:tcPr>
          <w:p w14:paraId="4CBCED08">
            <w:pPr>
              <w:keepNext w:val="0"/>
              <w:keepLines w:val="0"/>
              <w:pageBreakBefore w:val="0"/>
              <w:widowControl/>
              <w:kinsoku/>
              <w:wordWrap/>
              <w:overflowPunct/>
              <w:topLinePunct w:val="0"/>
              <w:autoSpaceDE/>
              <w:autoSpaceDN/>
              <w:bidi w:val="0"/>
              <w:adjustRightInd/>
              <w:snapToGrid/>
              <w:spacing w:before="0" w:after="0" w:line="240" w:lineRule="auto"/>
              <w:ind w:left="0" w:leftChars="0" w:right="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达标</w:t>
            </w:r>
          </w:p>
        </w:tc>
      </w:tr>
      <w:tr w14:paraId="532A53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851" w:type="dxa"/>
            <w:tcBorders>
              <w:tl2br w:val="nil"/>
              <w:tr2bl w:val="nil"/>
            </w:tcBorders>
            <w:vAlign w:val="center"/>
          </w:tcPr>
          <w:p w14:paraId="2EE0A130">
            <w:pPr>
              <w:keepNext w:val="0"/>
              <w:keepLines w:val="0"/>
              <w:pageBreakBefore w:val="0"/>
              <w:widowControl/>
              <w:kinsoku/>
              <w:wordWrap/>
              <w:overflowPunct/>
              <w:topLinePunct w:val="0"/>
              <w:autoSpaceDE/>
              <w:autoSpaceDN/>
              <w:bidi w:val="0"/>
              <w:adjustRightInd/>
              <w:snapToGrid/>
              <w:spacing w:before="0" w:after="0" w:line="240" w:lineRule="auto"/>
              <w:ind w:left="0" w:leftChars="0" w:right="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NO</w:t>
            </w:r>
            <w:r>
              <w:rPr>
                <w:rFonts w:hint="default" w:ascii="Times New Roman" w:hAnsi="Times New Roman" w:cs="Times New Roman" w:eastAsiaTheme="minorEastAsia"/>
                <w:color w:val="000000" w:themeColor="text1"/>
                <w:kern w:val="2"/>
                <w:sz w:val="21"/>
                <w:szCs w:val="21"/>
                <w:highlight w:val="none"/>
                <w:vertAlign w:val="subscript"/>
                <w:lang w:val="en-US" w:eastAsia="zh-CN" w:bidi="ar-SA"/>
                <w14:textFill>
                  <w14:solidFill>
                    <w14:schemeClr w14:val="tx1"/>
                  </w14:solidFill>
                </w14:textFill>
              </w:rPr>
              <w:t>2</w:t>
            </w:r>
          </w:p>
        </w:tc>
        <w:tc>
          <w:tcPr>
            <w:tcW w:w="1533" w:type="dxa"/>
            <w:tcBorders>
              <w:tl2br w:val="nil"/>
              <w:tr2bl w:val="nil"/>
            </w:tcBorders>
            <w:vAlign w:val="center"/>
          </w:tcPr>
          <w:p w14:paraId="2AEE5221">
            <w:pPr>
              <w:keepNext w:val="0"/>
              <w:keepLines w:val="0"/>
              <w:pageBreakBefore w:val="0"/>
              <w:widowControl/>
              <w:kinsoku/>
              <w:wordWrap/>
              <w:overflowPunct/>
              <w:topLinePunct w:val="0"/>
              <w:autoSpaceDE/>
              <w:autoSpaceDN/>
              <w:bidi w:val="0"/>
              <w:adjustRightInd/>
              <w:snapToGrid/>
              <w:spacing w:before="0" w:after="0" w:line="240" w:lineRule="auto"/>
              <w:ind w:left="0" w:leftChars="0" w:right="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年平均浓度</w:t>
            </w:r>
          </w:p>
        </w:tc>
        <w:tc>
          <w:tcPr>
            <w:tcW w:w="1007" w:type="dxa"/>
            <w:tcBorders>
              <w:tl2br w:val="nil"/>
              <w:tr2bl w:val="nil"/>
            </w:tcBorders>
            <w:vAlign w:val="center"/>
          </w:tcPr>
          <w:p w14:paraId="446EFC00">
            <w:pPr>
              <w:keepNext w:val="0"/>
              <w:keepLines w:val="0"/>
              <w:pageBreakBefore w:val="0"/>
              <w:widowControl/>
              <w:kinsoku/>
              <w:wordWrap/>
              <w:overflowPunct/>
              <w:topLinePunct w:val="0"/>
              <w:autoSpaceDE/>
              <w:autoSpaceDN/>
              <w:bidi w:val="0"/>
              <w:adjustRightInd/>
              <w:snapToGrid/>
              <w:spacing w:before="0" w:after="0" w:line="240" w:lineRule="auto"/>
              <w:ind w:left="0" w:leftChars="0" w:right="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w:t>
            </w:r>
          </w:p>
        </w:tc>
        <w:tc>
          <w:tcPr>
            <w:tcW w:w="1221" w:type="dxa"/>
            <w:tcBorders>
              <w:tl2br w:val="nil"/>
              <w:tr2bl w:val="nil"/>
            </w:tcBorders>
            <w:vAlign w:val="center"/>
          </w:tcPr>
          <w:p w14:paraId="655E16A5">
            <w:pPr>
              <w:keepNext w:val="0"/>
              <w:keepLines w:val="0"/>
              <w:pageBreakBefore w:val="0"/>
              <w:widowControl/>
              <w:kinsoku/>
              <w:wordWrap/>
              <w:overflowPunct/>
              <w:topLinePunct w:val="0"/>
              <w:autoSpaceDE/>
              <w:autoSpaceDN/>
              <w:bidi w:val="0"/>
              <w:adjustRightInd/>
              <w:snapToGrid/>
              <w:spacing w:before="0" w:after="0" w:line="240" w:lineRule="auto"/>
              <w:ind w:left="0" w:leftChars="0" w:right="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3</w:t>
            </w:r>
            <w:r>
              <w:rPr>
                <w:rFonts w:hint="eastAsia" w:cs="Times New Roman" w:eastAsiaTheme="minorEastAsia"/>
                <w:color w:val="000000" w:themeColor="text1"/>
                <w:kern w:val="2"/>
                <w:sz w:val="21"/>
                <w:szCs w:val="21"/>
                <w:highlight w:val="none"/>
                <w:lang w:val="en-US" w:eastAsia="zh-CN" w:bidi="ar-SA"/>
                <w14:textFill>
                  <w14:solidFill>
                    <w14:schemeClr w14:val="tx1"/>
                  </w14:solidFill>
                </w14:textFill>
              </w:rPr>
              <w:t>0</w:t>
            </w:r>
          </w:p>
        </w:tc>
        <w:tc>
          <w:tcPr>
            <w:tcW w:w="1458" w:type="dxa"/>
            <w:tcBorders>
              <w:tl2br w:val="nil"/>
              <w:tr2bl w:val="nil"/>
            </w:tcBorders>
            <w:vAlign w:val="center"/>
          </w:tcPr>
          <w:p w14:paraId="185E9FC9">
            <w:pPr>
              <w:keepNext w:val="0"/>
              <w:keepLines w:val="0"/>
              <w:pageBreakBefore w:val="0"/>
              <w:widowControl/>
              <w:kinsoku/>
              <w:wordWrap/>
              <w:overflowPunct/>
              <w:topLinePunct w:val="0"/>
              <w:autoSpaceDE/>
              <w:autoSpaceDN/>
              <w:bidi w:val="0"/>
              <w:adjustRightInd/>
              <w:snapToGrid/>
              <w:spacing w:before="0" w:after="0" w:line="240" w:lineRule="auto"/>
              <w:ind w:left="0" w:leftChars="0" w:right="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40</w:t>
            </w:r>
          </w:p>
        </w:tc>
        <w:tc>
          <w:tcPr>
            <w:tcW w:w="1472" w:type="dxa"/>
            <w:tcBorders>
              <w:tl2br w:val="nil"/>
              <w:tr2bl w:val="nil"/>
            </w:tcBorders>
            <w:vAlign w:val="center"/>
          </w:tcPr>
          <w:p w14:paraId="194F5633">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cs="Times New Roman" w:eastAsiaTheme="minorEastAsia"/>
                <w:color w:val="000000" w:themeColor="text1"/>
                <w:kern w:val="2"/>
                <w:sz w:val="21"/>
                <w:szCs w:val="21"/>
                <w:highlight w:val="none"/>
                <w:lang w:val="en-US" w:eastAsia="zh-CN" w:bidi="ar-SA"/>
                <w14:textFill>
                  <w14:solidFill>
                    <w14:schemeClr w14:val="tx1"/>
                  </w14:solidFill>
                </w14:textFill>
              </w:rPr>
              <w:t>75.00</w:t>
            </w:r>
          </w:p>
        </w:tc>
        <w:tc>
          <w:tcPr>
            <w:tcW w:w="1442" w:type="dxa"/>
            <w:tcBorders>
              <w:tl2br w:val="nil"/>
              <w:tr2bl w:val="nil"/>
            </w:tcBorders>
            <w:vAlign w:val="center"/>
          </w:tcPr>
          <w:p w14:paraId="4A9F6D3A">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达标</w:t>
            </w:r>
          </w:p>
        </w:tc>
      </w:tr>
      <w:tr w14:paraId="34F8CF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851" w:type="dxa"/>
            <w:tcBorders>
              <w:tl2br w:val="nil"/>
              <w:tr2bl w:val="nil"/>
            </w:tcBorders>
            <w:vAlign w:val="center"/>
          </w:tcPr>
          <w:p w14:paraId="2DEE0F2D">
            <w:pPr>
              <w:keepNext w:val="0"/>
              <w:keepLines w:val="0"/>
              <w:pageBreakBefore w:val="0"/>
              <w:widowControl/>
              <w:kinsoku/>
              <w:wordWrap/>
              <w:overflowPunct/>
              <w:topLinePunct w:val="0"/>
              <w:autoSpaceDE/>
              <w:autoSpaceDN/>
              <w:bidi w:val="0"/>
              <w:adjustRightInd/>
              <w:snapToGrid/>
              <w:spacing w:before="0" w:after="0" w:line="240" w:lineRule="auto"/>
              <w:ind w:left="0" w:leftChars="0" w:right="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PM</w:t>
            </w:r>
            <w:r>
              <w:rPr>
                <w:rFonts w:hint="default" w:ascii="Times New Roman" w:hAnsi="Times New Roman" w:cs="Times New Roman" w:eastAsiaTheme="minorEastAsia"/>
                <w:color w:val="000000" w:themeColor="text1"/>
                <w:kern w:val="2"/>
                <w:sz w:val="21"/>
                <w:szCs w:val="21"/>
                <w:highlight w:val="none"/>
                <w:vertAlign w:val="subscript"/>
                <w:lang w:val="en-US" w:eastAsia="zh-CN" w:bidi="ar-SA"/>
                <w14:textFill>
                  <w14:solidFill>
                    <w14:schemeClr w14:val="tx1"/>
                  </w14:solidFill>
                </w14:textFill>
              </w:rPr>
              <w:t>2.5</w:t>
            </w:r>
          </w:p>
        </w:tc>
        <w:tc>
          <w:tcPr>
            <w:tcW w:w="1533" w:type="dxa"/>
            <w:tcBorders>
              <w:tl2br w:val="nil"/>
              <w:tr2bl w:val="nil"/>
            </w:tcBorders>
            <w:vAlign w:val="center"/>
          </w:tcPr>
          <w:p w14:paraId="372E6259">
            <w:pPr>
              <w:keepNext w:val="0"/>
              <w:keepLines w:val="0"/>
              <w:pageBreakBefore w:val="0"/>
              <w:widowControl/>
              <w:kinsoku/>
              <w:wordWrap/>
              <w:overflowPunct/>
              <w:topLinePunct w:val="0"/>
              <w:autoSpaceDE/>
              <w:autoSpaceDN/>
              <w:bidi w:val="0"/>
              <w:adjustRightInd/>
              <w:snapToGrid/>
              <w:spacing w:before="0" w:after="0" w:line="240" w:lineRule="auto"/>
              <w:ind w:left="0" w:leftChars="0" w:right="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年平均浓度</w:t>
            </w:r>
          </w:p>
        </w:tc>
        <w:tc>
          <w:tcPr>
            <w:tcW w:w="1007" w:type="dxa"/>
            <w:tcBorders>
              <w:tl2br w:val="nil"/>
              <w:tr2bl w:val="nil"/>
            </w:tcBorders>
            <w:vAlign w:val="center"/>
          </w:tcPr>
          <w:p w14:paraId="6BE333A2">
            <w:pPr>
              <w:keepNext w:val="0"/>
              <w:keepLines w:val="0"/>
              <w:pageBreakBefore w:val="0"/>
              <w:widowControl/>
              <w:kinsoku/>
              <w:wordWrap/>
              <w:overflowPunct/>
              <w:topLinePunct w:val="0"/>
              <w:autoSpaceDE/>
              <w:autoSpaceDN/>
              <w:bidi w:val="0"/>
              <w:adjustRightInd/>
              <w:snapToGrid/>
              <w:spacing w:before="0" w:after="0" w:line="240" w:lineRule="auto"/>
              <w:ind w:left="0" w:leftChars="0" w:right="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w:t>
            </w:r>
          </w:p>
        </w:tc>
        <w:tc>
          <w:tcPr>
            <w:tcW w:w="1221" w:type="dxa"/>
            <w:tcBorders>
              <w:tl2br w:val="nil"/>
              <w:tr2bl w:val="nil"/>
            </w:tcBorders>
            <w:vAlign w:val="center"/>
          </w:tcPr>
          <w:p w14:paraId="3D70F22B">
            <w:pPr>
              <w:keepNext w:val="0"/>
              <w:keepLines w:val="0"/>
              <w:pageBreakBefore w:val="0"/>
              <w:widowControl/>
              <w:kinsoku/>
              <w:wordWrap/>
              <w:overflowPunct/>
              <w:topLinePunct w:val="0"/>
              <w:autoSpaceDE/>
              <w:autoSpaceDN/>
              <w:bidi w:val="0"/>
              <w:adjustRightInd/>
              <w:snapToGrid/>
              <w:spacing w:before="0" w:after="0" w:line="240" w:lineRule="auto"/>
              <w:ind w:left="0" w:leftChars="0" w:right="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cs="Times New Roman" w:eastAsiaTheme="minorEastAsia"/>
                <w:color w:val="000000" w:themeColor="text1"/>
                <w:kern w:val="2"/>
                <w:sz w:val="21"/>
                <w:szCs w:val="21"/>
                <w:highlight w:val="none"/>
                <w:lang w:val="en-US" w:eastAsia="zh-CN" w:bidi="ar-SA"/>
                <w14:textFill>
                  <w14:solidFill>
                    <w14:schemeClr w14:val="tx1"/>
                  </w14:solidFill>
                </w14:textFill>
              </w:rPr>
              <w:t>34</w:t>
            </w:r>
          </w:p>
        </w:tc>
        <w:tc>
          <w:tcPr>
            <w:tcW w:w="1458" w:type="dxa"/>
            <w:tcBorders>
              <w:tl2br w:val="nil"/>
              <w:tr2bl w:val="nil"/>
            </w:tcBorders>
            <w:vAlign w:val="center"/>
          </w:tcPr>
          <w:p w14:paraId="27434340">
            <w:pPr>
              <w:keepNext w:val="0"/>
              <w:keepLines w:val="0"/>
              <w:pageBreakBefore w:val="0"/>
              <w:widowControl/>
              <w:kinsoku/>
              <w:wordWrap/>
              <w:overflowPunct/>
              <w:topLinePunct w:val="0"/>
              <w:autoSpaceDE/>
              <w:autoSpaceDN/>
              <w:bidi w:val="0"/>
              <w:adjustRightInd/>
              <w:snapToGrid/>
              <w:spacing w:before="0" w:after="0" w:line="240" w:lineRule="auto"/>
              <w:ind w:left="0" w:leftChars="0" w:right="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35</w:t>
            </w:r>
          </w:p>
        </w:tc>
        <w:tc>
          <w:tcPr>
            <w:tcW w:w="1472" w:type="dxa"/>
            <w:tcBorders>
              <w:tl2br w:val="nil"/>
              <w:tr2bl w:val="nil"/>
            </w:tcBorders>
            <w:vAlign w:val="center"/>
          </w:tcPr>
          <w:p w14:paraId="25EA1084">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cs="Times New Roman" w:eastAsiaTheme="minorEastAsia"/>
                <w:color w:val="000000" w:themeColor="text1"/>
                <w:kern w:val="2"/>
                <w:sz w:val="21"/>
                <w:szCs w:val="21"/>
                <w:highlight w:val="none"/>
                <w:lang w:val="en-US" w:eastAsia="zh-CN" w:bidi="ar-SA"/>
                <w14:textFill>
                  <w14:solidFill>
                    <w14:schemeClr w14:val="tx1"/>
                  </w14:solidFill>
                </w14:textFill>
              </w:rPr>
              <w:t>97.14</w:t>
            </w:r>
          </w:p>
        </w:tc>
        <w:tc>
          <w:tcPr>
            <w:tcW w:w="1442" w:type="dxa"/>
            <w:tcBorders>
              <w:tl2br w:val="nil"/>
              <w:tr2bl w:val="nil"/>
            </w:tcBorders>
            <w:vAlign w:val="center"/>
          </w:tcPr>
          <w:p w14:paraId="08F9290D">
            <w:pPr>
              <w:keepNext w:val="0"/>
              <w:keepLines w:val="0"/>
              <w:pageBreakBefore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达标</w:t>
            </w:r>
          </w:p>
        </w:tc>
      </w:tr>
      <w:tr w14:paraId="729BE1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851" w:type="dxa"/>
            <w:tcBorders>
              <w:tl2br w:val="nil"/>
              <w:tr2bl w:val="nil"/>
            </w:tcBorders>
            <w:vAlign w:val="center"/>
          </w:tcPr>
          <w:p w14:paraId="09BC98F1">
            <w:pPr>
              <w:keepNext w:val="0"/>
              <w:keepLines w:val="0"/>
              <w:pageBreakBefore w:val="0"/>
              <w:widowControl/>
              <w:kinsoku/>
              <w:wordWrap/>
              <w:overflowPunct/>
              <w:topLinePunct w:val="0"/>
              <w:autoSpaceDE/>
              <w:autoSpaceDN/>
              <w:bidi w:val="0"/>
              <w:adjustRightInd/>
              <w:snapToGrid/>
              <w:spacing w:before="0" w:after="0" w:line="240" w:lineRule="auto"/>
              <w:ind w:left="0" w:leftChars="0" w:right="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PM</w:t>
            </w:r>
            <w:r>
              <w:rPr>
                <w:rFonts w:hint="default" w:ascii="Times New Roman" w:hAnsi="Times New Roman" w:cs="Times New Roman" w:eastAsiaTheme="minorEastAsia"/>
                <w:color w:val="000000" w:themeColor="text1"/>
                <w:kern w:val="2"/>
                <w:sz w:val="21"/>
                <w:szCs w:val="21"/>
                <w:highlight w:val="none"/>
                <w:vertAlign w:val="subscript"/>
                <w:lang w:val="en-US" w:eastAsia="zh-CN" w:bidi="ar-SA"/>
                <w14:textFill>
                  <w14:solidFill>
                    <w14:schemeClr w14:val="tx1"/>
                  </w14:solidFill>
                </w14:textFill>
              </w:rPr>
              <w:t>10</w:t>
            </w:r>
          </w:p>
        </w:tc>
        <w:tc>
          <w:tcPr>
            <w:tcW w:w="1533" w:type="dxa"/>
            <w:tcBorders>
              <w:tl2br w:val="nil"/>
              <w:tr2bl w:val="nil"/>
            </w:tcBorders>
            <w:vAlign w:val="center"/>
          </w:tcPr>
          <w:p w14:paraId="4FC23E8F">
            <w:pPr>
              <w:keepNext w:val="0"/>
              <w:keepLines w:val="0"/>
              <w:pageBreakBefore w:val="0"/>
              <w:widowControl/>
              <w:kinsoku/>
              <w:wordWrap/>
              <w:overflowPunct/>
              <w:topLinePunct w:val="0"/>
              <w:autoSpaceDE/>
              <w:autoSpaceDN/>
              <w:bidi w:val="0"/>
              <w:adjustRightInd/>
              <w:snapToGrid/>
              <w:spacing w:before="0" w:after="0" w:line="240" w:lineRule="auto"/>
              <w:ind w:left="0" w:leftChars="0" w:right="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年平均浓度</w:t>
            </w:r>
          </w:p>
        </w:tc>
        <w:tc>
          <w:tcPr>
            <w:tcW w:w="1007" w:type="dxa"/>
            <w:tcBorders>
              <w:tl2br w:val="nil"/>
              <w:tr2bl w:val="nil"/>
            </w:tcBorders>
            <w:vAlign w:val="center"/>
          </w:tcPr>
          <w:p w14:paraId="17A24347">
            <w:pPr>
              <w:keepNext w:val="0"/>
              <w:keepLines w:val="0"/>
              <w:pageBreakBefore w:val="0"/>
              <w:widowControl/>
              <w:kinsoku/>
              <w:wordWrap/>
              <w:overflowPunct/>
              <w:topLinePunct w:val="0"/>
              <w:autoSpaceDE/>
              <w:autoSpaceDN/>
              <w:bidi w:val="0"/>
              <w:adjustRightInd/>
              <w:snapToGrid/>
              <w:spacing w:before="0" w:after="0" w:line="240" w:lineRule="auto"/>
              <w:ind w:left="0" w:leftChars="0" w:right="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w:t>
            </w:r>
          </w:p>
        </w:tc>
        <w:tc>
          <w:tcPr>
            <w:tcW w:w="1221" w:type="dxa"/>
            <w:tcBorders>
              <w:tl2br w:val="nil"/>
              <w:tr2bl w:val="nil"/>
            </w:tcBorders>
            <w:vAlign w:val="center"/>
          </w:tcPr>
          <w:p w14:paraId="392B5513">
            <w:pPr>
              <w:keepNext w:val="0"/>
              <w:keepLines w:val="0"/>
              <w:pageBreakBefore w:val="0"/>
              <w:widowControl/>
              <w:kinsoku/>
              <w:wordWrap/>
              <w:overflowPunct/>
              <w:topLinePunct w:val="0"/>
              <w:autoSpaceDE/>
              <w:autoSpaceDN/>
              <w:bidi w:val="0"/>
              <w:adjustRightInd/>
              <w:snapToGrid/>
              <w:spacing w:before="0" w:after="0" w:line="240" w:lineRule="auto"/>
              <w:ind w:left="0" w:leftChars="0" w:right="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cs="Times New Roman" w:eastAsiaTheme="minorEastAsia"/>
                <w:color w:val="000000" w:themeColor="text1"/>
                <w:kern w:val="2"/>
                <w:sz w:val="21"/>
                <w:szCs w:val="21"/>
                <w:highlight w:val="none"/>
                <w:lang w:val="en-US" w:eastAsia="zh-CN" w:bidi="ar-SA"/>
                <w14:textFill>
                  <w14:solidFill>
                    <w14:schemeClr w14:val="tx1"/>
                  </w14:solidFill>
                </w14:textFill>
              </w:rPr>
              <w:t>60</w:t>
            </w:r>
          </w:p>
        </w:tc>
        <w:tc>
          <w:tcPr>
            <w:tcW w:w="1458" w:type="dxa"/>
            <w:tcBorders>
              <w:tl2br w:val="nil"/>
              <w:tr2bl w:val="nil"/>
            </w:tcBorders>
            <w:vAlign w:val="center"/>
          </w:tcPr>
          <w:p w14:paraId="01B673B6">
            <w:pPr>
              <w:keepNext w:val="0"/>
              <w:keepLines w:val="0"/>
              <w:pageBreakBefore w:val="0"/>
              <w:widowControl/>
              <w:kinsoku/>
              <w:wordWrap/>
              <w:overflowPunct/>
              <w:topLinePunct w:val="0"/>
              <w:autoSpaceDE/>
              <w:autoSpaceDN/>
              <w:bidi w:val="0"/>
              <w:adjustRightInd/>
              <w:snapToGrid/>
              <w:spacing w:before="0" w:after="0" w:line="240" w:lineRule="auto"/>
              <w:ind w:left="0" w:leftChars="0" w:right="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70</w:t>
            </w:r>
          </w:p>
        </w:tc>
        <w:tc>
          <w:tcPr>
            <w:tcW w:w="1472" w:type="dxa"/>
            <w:tcBorders>
              <w:tl2br w:val="nil"/>
              <w:tr2bl w:val="nil"/>
            </w:tcBorders>
            <w:vAlign w:val="center"/>
          </w:tcPr>
          <w:p w14:paraId="01195764">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cs="Times New Roman" w:eastAsiaTheme="minorEastAsia"/>
                <w:color w:val="000000" w:themeColor="text1"/>
                <w:kern w:val="2"/>
                <w:sz w:val="21"/>
                <w:szCs w:val="21"/>
                <w:highlight w:val="none"/>
                <w:lang w:val="en-US" w:eastAsia="zh-CN" w:bidi="ar-SA"/>
                <w14:textFill>
                  <w14:solidFill>
                    <w14:schemeClr w14:val="tx1"/>
                  </w14:solidFill>
                </w14:textFill>
              </w:rPr>
              <w:t>85.71</w:t>
            </w:r>
          </w:p>
        </w:tc>
        <w:tc>
          <w:tcPr>
            <w:tcW w:w="1442" w:type="dxa"/>
            <w:tcBorders>
              <w:tl2br w:val="nil"/>
              <w:tr2bl w:val="nil"/>
            </w:tcBorders>
            <w:vAlign w:val="center"/>
          </w:tcPr>
          <w:p w14:paraId="7E5F2B55">
            <w:pPr>
              <w:keepNext w:val="0"/>
              <w:keepLines w:val="0"/>
              <w:pageBreakBefore w:val="0"/>
              <w:widowControl/>
              <w:kinsoku/>
              <w:wordWrap/>
              <w:overflowPunct/>
              <w:topLinePunct w:val="0"/>
              <w:autoSpaceDE/>
              <w:autoSpaceDN/>
              <w:bidi w:val="0"/>
              <w:adjustRightInd w:val="0"/>
              <w:snapToGrid w:val="0"/>
              <w:spacing w:before="0" w:after="0" w:line="240" w:lineRule="auto"/>
              <w:ind w:left="0" w:leftChars="0" w:right="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达标</w:t>
            </w:r>
          </w:p>
        </w:tc>
      </w:tr>
      <w:tr w14:paraId="1A7FC7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851" w:type="dxa"/>
            <w:tcBorders>
              <w:tl2br w:val="nil"/>
              <w:tr2bl w:val="nil"/>
            </w:tcBorders>
            <w:vAlign w:val="center"/>
          </w:tcPr>
          <w:p w14:paraId="73B83104">
            <w:pPr>
              <w:keepNext w:val="0"/>
              <w:keepLines w:val="0"/>
              <w:pageBreakBefore w:val="0"/>
              <w:widowControl/>
              <w:kinsoku/>
              <w:wordWrap/>
              <w:overflowPunct/>
              <w:topLinePunct w:val="0"/>
              <w:autoSpaceDE/>
              <w:autoSpaceDN/>
              <w:bidi w:val="0"/>
              <w:adjustRightInd/>
              <w:snapToGrid/>
              <w:spacing w:before="0" w:after="0" w:line="240" w:lineRule="auto"/>
              <w:ind w:left="0" w:leftChars="0" w:right="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CO</w:t>
            </w:r>
          </w:p>
        </w:tc>
        <w:tc>
          <w:tcPr>
            <w:tcW w:w="1533" w:type="dxa"/>
            <w:tcBorders>
              <w:tl2br w:val="nil"/>
              <w:tr2bl w:val="nil"/>
            </w:tcBorders>
            <w:vAlign w:val="center"/>
          </w:tcPr>
          <w:p w14:paraId="6CEEFC17">
            <w:pPr>
              <w:keepNext w:val="0"/>
              <w:keepLines w:val="0"/>
              <w:pageBreakBefore w:val="0"/>
              <w:widowControl/>
              <w:kinsoku/>
              <w:wordWrap/>
              <w:overflowPunct/>
              <w:topLinePunct w:val="0"/>
              <w:autoSpaceDE/>
              <w:autoSpaceDN/>
              <w:bidi w:val="0"/>
              <w:adjustRightInd/>
              <w:snapToGrid/>
              <w:spacing w:before="0" w:after="0" w:line="240" w:lineRule="auto"/>
              <w:ind w:left="0" w:leftChars="0" w:right="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百分位上日平均质量浓度</w:t>
            </w:r>
          </w:p>
        </w:tc>
        <w:tc>
          <w:tcPr>
            <w:tcW w:w="1007" w:type="dxa"/>
            <w:tcBorders>
              <w:tl2br w:val="nil"/>
              <w:tr2bl w:val="nil"/>
            </w:tcBorders>
            <w:vAlign w:val="center"/>
          </w:tcPr>
          <w:p w14:paraId="0CF47CCF">
            <w:pPr>
              <w:keepNext w:val="0"/>
              <w:keepLines w:val="0"/>
              <w:pageBreakBefore w:val="0"/>
              <w:widowControl/>
              <w:kinsoku/>
              <w:wordWrap/>
              <w:overflowPunct/>
              <w:topLinePunct w:val="0"/>
              <w:autoSpaceDE/>
              <w:autoSpaceDN/>
              <w:bidi w:val="0"/>
              <w:adjustRightInd/>
              <w:snapToGrid/>
              <w:spacing w:before="0" w:after="0" w:line="240" w:lineRule="auto"/>
              <w:ind w:left="0" w:leftChars="0" w:right="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95%</w:t>
            </w:r>
          </w:p>
        </w:tc>
        <w:tc>
          <w:tcPr>
            <w:tcW w:w="1221" w:type="dxa"/>
            <w:tcBorders>
              <w:tl2br w:val="nil"/>
              <w:tr2bl w:val="nil"/>
            </w:tcBorders>
            <w:vAlign w:val="center"/>
          </w:tcPr>
          <w:p w14:paraId="071B78BA">
            <w:pPr>
              <w:keepNext w:val="0"/>
              <w:keepLines w:val="0"/>
              <w:pageBreakBefore w:val="0"/>
              <w:widowControl/>
              <w:kinsoku/>
              <w:wordWrap/>
              <w:overflowPunct/>
              <w:topLinePunct w:val="0"/>
              <w:autoSpaceDE/>
              <w:autoSpaceDN/>
              <w:bidi w:val="0"/>
              <w:adjustRightInd/>
              <w:snapToGrid/>
              <w:spacing w:before="0" w:after="0" w:line="240" w:lineRule="auto"/>
              <w:ind w:left="0" w:leftChars="0" w:right="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1</w:t>
            </w:r>
            <w:r>
              <w:rPr>
                <w:rFonts w:hint="eastAsia" w:cs="Times New Roman" w:eastAsiaTheme="minorEastAsia"/>
                <w:color w:val="000000" w:themeColor="text1"/>
                <w:kern w:val="2"/>
                <w:sz w:val="21"/>
                <w:szCs w:val="21"/>
                <w:highlight w:val="none"/>
                <w:lang w:val="en-US" w:eastAsia="zh-CN" w:bidi="ar-SA"/>
                <w14:textFill>
                  <w14:solidFill>
                    <w14:schemeClr w14:val="tx1"/>
                  </w14:solidFill>
                </w14:textFill>
              </w:rPr>
              <w:t>3</w:t>
            </w: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00</w:t>
            </w:r>
          </w:p>
        </w:tc>
        <w:tc>
          <w:tcPr>
            <w:tcW w:w="1458" w:type="dxa"/>
            <w:tcBorders>
              <w:tl2br w:val="nil"/>
              <w:tr2bl w:val="nil"/>
            </w:tcBorders>
            <w:vAlign w:val="center"/>
          </w:tcPr>
          <w:p w14:paraId="1BB4DE07">
            <w:pPr>
              <w:keepNext w:val="0"/>
              <w:keepLines w:val="0"/>
              <w:pageBreakBefore w:val="0"/>
              <w:widowControl/>
              <w:kinsoku/>
              <w:wordWrap/>
              <w:overflowPunct/>
              <w:topLinePunct w:val="0"/>
              <w:autoSpaceDE/>
              <w:autoSpaceDN/>
              <w:bidi w:val="0"/>
              <w:adjustRightInd/>
              <w:snapToGrid/>
              <w:spacing w:before="0" w:after="0" w:line="240" w:lineRule="auto"/>
              <w:ind w:left="0" w:leftChars="0" w:right="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4000</w:t>
            </w:r>
          </w:p>
        </w:tc>
        <w:tc>
          <w:tcPr>
            <w:tcW w:w="1472" w:type="dxa"/>
            <w:tcBorders>
              <w:tl2br w:val="nil"/>
              <w:tr2bl w:val="nil"/>
            </w:tcBorders>
            <w:vAlign w:val="center"/>
          </w:tcPr>
          <w:p w14:paraId="5FA5C5BB">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cs="Times New Roman" w:eastAsiaTheme="minorEastAsia"/>
                <w:color w:val="000000" w:themeColor="text1"/>
                <w:kern w:val="2"/>
                <w:sz w:val="21"/>
                <w:szCs w:val="21"/>
                <w:highlight w:val="none"/>
                <w:lang w:val="en-US" w:eastAsia="zh-CN" w:bidi="ar-SA"/>
                <w14:textFill>
                  <w14:solidFill>
                    <w14:schemeClr w14:val="tx1"/>
                  </w14:solidFill>
                </w14:textFill>
              </w:rPr>
              <w:t>32.50</w:t>
            </w:r>
          </w:p>
        </w:tc>
        <w:tc>
          <w:tcPr>
            <w:tcW w:w="1442" w:type="dxa"/>
            <w:tcBorders>
              <w:tl2br w:val="nil"/>
              <w:tr2bl w:val="nil"/>
            </w:tcBorders>
            <w:vAlign w:val="center"/>
          </w:tcPr>
          <w:p w14:paraId="1A521536">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达标</w:t>
            </w:r>
          </w:p>
        </w:tc>
      </w:tr>
      <w:tr w14:paraId="3D45CC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851" w:type="dxa"/>
            <w:tcBorders>
              <w:tl2br w:val="nil"/>
              <w:tr2bl w:val="nil"/>
            </w:tcBorders>
            <w:vAlign w:val="center"/>
          </w:tcPr>
          <w:p w14:paraId="619FCC72">
            <w:pPr>
              <w:keepNext w:val="0"/>
              <w:keepLines w:val="0"/>
              <w:pageBreakBefore w:val="0"/>
              <w:widowControl/>
              <w:kinsoku/>
              <w:wordWrap/>
              <w:overflowPunct/>
              <w:topLinePunct w:val="0"/>
              <w:autoSpaceDE/>
              <w:autoSpaceDN/>
              <w:bidi w:val="0"/>
              <w:adjustRightInd/>
              <w:snapToGrid/>
              <w:spacing w:before="0" w:after="0" w:line="240" w:lineRule="auto"/>
              <w:ind w:left="0" w:leftChars="0" w:right="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O</w:t>
            </w:r>
            <w:r>
              <w:rPr>
                <w:rFonts w:hint="default" w:ascii="Times New Roman" w:hAnsi="Times New Roman" w:cs="Times New Roman" w:eastAsiaTheme="minorEastAsia"/>
                <w:color w:val="000000" w:themeColor="text1"/>
                <w:kern w:val="2"/>
                <w:sz w:val="21"/>
                <w:szCs w:val="21"/>
                <w:highlight w:val="none"/>
                <w:vertAlign w:val="subscript"/>
                <w:lang w:val="en-US" w:eastAsia="zh-CN" w:bidi="ar-SA"/>
                <w14:textFill>
                  <w14:solidFill>
                    <w14:schemeClr w14:val="tx1"/>
                  </w14:solidFill>
                </w14:textFill>
              </w:rPr>
              <w:t>3</w:t>
            </w:r>
          </w:p>
        </w:tc>
        <w:tc>
          <w:tcPr>
            <w:tcW w:w="1533" w:type="dxa"/>
            <w:tcBorders>
              <w:tl2br w:val="nil"/>
              <w:tr2bl w:val="nil"/>
            </w:tcBorders>
            <w:vAlign w:val="center"/>
          </w:tcPr>
          <w:p w14:paraId="191C2D2B">
            <w:pPr>
              <w:keepNext w:val="0"/>
              <w:keepLines w:val="0"/>
              <w:pageBreakBefore w:val="0"/>
              <w:widowControl/>
              <w:kinsoku/>
              <w:wordWrap/>
              <w:overflowPunct/>
              <w:topLinePunct w:val="0"/>
              <w:autoSpaceDE/>
              <w:autoSpaceDN/>
              <w:bidi w:val="0"/>
              <w:adjustRightInd/>
              <w:snapToGrid/>
              <w:spacing w:before="0" w:after="0" w:line="240" w:lineRule="auto"/>
              <w:ind w:left="0" w:leftChars="0" w:right="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百分位上8h平均质量浓度</w:t>
            </w:r>
          </w:p>
        </w:tc>
        <w:tc>
          <w:tcPr>
            <w:tcW w:w="1007" w:type="dxa"/>
            <w:tcBorders>
              <w:tl2br w:val="nil"/>
              <w:tr2bl w:val="nil"/>
            </w:tcBorders>
            <w:vAlign w:val="center"/>
          </w:tcPr>
          <w:p w14:paraId="1C276530">
            <w:pPr>
              <w:keepNext w:val="0"/>
              <w:keepLines w:val="0"/>
              <w:pageBreakBefore w:val="0"/>
              <w:widowControl/>
              <w:kinsoku/>
              <w:wordWrap/>
              <w:overflowPunct/>
              <w:topLinePunct w:val="0"/>
              <w:autoSpaceDE/>
              <w:autoSpaceDN/>
              <w:bidi w:val="0"/>
              <w:adjustRightInd/>
              <w:snapToGrid/>
              <w:spacing w:before="0" w:after="0" w:line="240" w:lineRule="auto"/>
              <w:ind w:left="0" w:leftChars="0" w:right="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90%</w:t>
            </w:r>
          </w:p>
        </w:tc>
        <w:tc>
          <w:tcPr>
            <w:tcW w:w="1221" w:type="dxa"/>
            <w:tcBorders>
              <w:tl2br w:val="nil"/>
              <w:tr2bl w:val="nil"/>
            </w:tcBorders>
            <w:vAlign w:val="center"/>
          </w:tcPr>
          <w:p w14:paraId="3301D7E7">
            <w:pPr>
              <w:keepNext w:val="0"/>
              <w:keepLines w:val="0"/>
              <w:pageBreakBefore w:val="0"/>
              <w:widowControl/>
              <w:kinsoku/>
              <w:wordWrap/>
              <w:overflowPunct/>
              <w:topLinePunct w:val="0"/>
              <w:autoSpaceDE/>
              <w:autoSpaceDN/>
              <w:bidi w:val="0"/>
              <w:adjustRightInd/>
              <w:snapToGrid/>
              <w:spacing w:before="0" w:after="0" w:line="240" w:lineRule="auto"/>
              <w:ind w:left="0" w:leftChars="0" w:right="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13</w:t>
            </w:r>
            <w:r>
              <w:rPr>
                <w:rFonts w:hint="eastAsia" w:cs="Times New Roman" w:eastAsiaTheme="minorEastAsia"/>
                <w:color w:val="000000" w:themeColor="text1"/>
                <w:kern w:val="2"/>
                <w:sz w:val="21"/>
                <w:szCs w:val="21"/>
                <w:highlight w:val="none"/>
                <w:lang w:val="en-US" w:eastAsia="zh-CN" w:bidi="ar-SA"/>
                <w14:textFill>
                  <w14:solidFill>
                    <w14:schemeClr w14:val="tx1"/>
                  </w14:solidFill>
                </w14:textFill>
              </w:rPr>
              <w:t>4</w:t>
            </w:r>
          </w:p>
        </w:tc>
        <w:tc>
          <w:tcPr>
            <w:tcW w:w="1458" w:type="dxa"/>
            <w:tcBorders>
              <w:tl2br w:val="nil"/>
              <w:tr2bl w:val="nil"/>
            </w:tcBorders>
            <w:vAlign w:val="center"/>
          </w:tcPr>
          <w:p w14:paraId="74096CE6">
            <w:pPr>
              <w:keepNext w:val="0"/>
              <w:keepLines w:val="0"/>
              <w:pageBreakBefore w:val="0"/>
              <w:widowControl/>
              <w:kinsoku/>
              <w:wordWrap/>
              <w:overflowPunct/>
              <w:topLinePunct w:val="0"/>
              <w:autoSpaceDE/>
              <w:autoSpaceDN/>
              <w:bidi w:val="0"/>
              <w:adjustRightInd/>
              <w:snapToGrid/>
              <w:spacing w:before="0" w:after="0" w:line="240" w:lineRule="auto"/>
              <w:ind w:left="0" w:leftChars="0" w:right="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160</w:t>
            </w:r>
          </w:p>
        </w:tc>
        <w:tc>
          <w:tcPr>
            <w:tcW w:w="1472" w:type="dxa"/>
            <w:tcBorders>
              <w:tl2br w:val="nil"/>
              <w:tr2bl w:val="nil"/>
            </w:tcBorders>
            <w:vAlign w:val="center"/>
          </w:tcPr>
          <w:p w14:paraId="3FA8959C">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cs="Times New Roman" w:eastAsiaTheme="minorEastAsia"/>
                <w:color w:val="000000" w:themeColor="text1"/>
                <w:kern w:val="2"/>
                <w:sz w:val="21"/>
                <w:szCs w:val="21"/>
                <w:highlight w:val="none"/>
                <w:lang w:val="en-US" w:eastAsia="zh-CN" w:bidi="ar-SA"/>
                <w14:textFill>
                  <w14:solidFill>
                    <w14:schemeClr w14:val="tx1"/>
                  </w14:solidFill>
                </w14:textFill>
              </w:rPr>
              <w:t>83.75</w:t>
            </w:r>
          </w:p>
        </w:tc>
        <w:tc>
          <w:tcPr>
            <w:tcW w:w="1442" w:type="dxa"/>
            <w:tcBorders>
              <w:tl2br w:val="nil"/>
              <w:tr2bl w:val="nil"/>
            </w:tcBorders>
            <w:vAlign w:val="center"/>
          </w:tcPr>
          <w:p w14:paraId="0D3165D4">
            <w:pPr>
              <w:keepNext w:val="0"/>
              <w:keepLines w:val="0"/>
              <w:pageBreakBefore w:val="0"/>
              <w:widowControl/>
              <w:kinsoku/>
              <w:wordWrap/>
              <w:overflowPunct/>
              <w:topLinePunct w:val="0"/>
              <w:autoSpaceDE/>
              <w:autoSpaceDN/>
              <w:bidi w:val="0"/>
              <w:adjustRightInd/>
              <w:snapToGrid/>
              <w:spacing w:before="0" w:after="0" w:line="240" w:lineRule="auto"/>
              <w:ind w:left="0" w:leftChars="0" w:right="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达标</w:t>
            </w:r>
          </w:p>
        </w:tc>
      </w:tr>
    </w:tbl>
    <w:p w14:paraId="50154DFC">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000000" w:themeColor="text1"/>
          <w:kern w:val="2"/>
          <w:sz w:val="24"/>
          <w:szCs w:val="24"/>
          <w:highlight w:val="none"/>
          <w:lang w:bidi="ar-SA"/>
          <w14:textFill>
            <w14:solidFill>
              <w14:schemeClr w14:val="tx1"/>
            </w14:solidFill>
          </w14:textFill>
        </w:rPr>
      </w:pPr>
    </w:p>
    <w:p w14:paraId="1DEAD911">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由表4.2-1可知：202</w:t>
      </w:r>
      <w:r>
        <w:rPr>
          <w:rFonts w:hint="eastAsia" w:cs="Times New Roman" w:eastAsiaTheme="minorEastAsia"/>
          <w:snapToGrid w:val="0"/>
          <w:color w:val="000000" w:themeColor="text1"/>
          <w:sz w:val="24"/>
          <w:highlight w:val="none"/>
          <w:lang w:val="en-US" w:eastAsia="zh-CN"/>
          <w14:textFill>
            <w14:solidFill>
              <w14:schemeClr w14:val="tx1"/>
            </w14:solidFill>
          </w14:textFill>
        </w:rPr>
        <w:t>4</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年，</w:t>
      </w:r>
      <w:r>
        <w:rPr>
          <w:rFonts w:hint="eastAsia" w:cs="Times New Roman" w:eastAsiaTheme="minorEastAsia"/>
          <w:snapToGrid w:val="0"/>
          <w:color w:val="000000" w:themeColor="text1"/>
          <w:sz w:val="24"/>
          <w:highlight w:val="none"/>
          <w:lang w:val="en-US" w:eastAsia="zh-CN"/>
          <w14:textFill>
            <w14:solidFill>
              <w14:schemeClr w14:val="tx1"/>
            </w14:solidFill>
          </w14:textFill>
        </w:rPr>
        <w:t>乌鲁木齐市</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环境空气质量各监测因子监测浓度均满足《环境空气质量标准》(GB3095-2012)二级标准，属于环境空气质量达标区。</w:t>
      </w:r>
    </w:p>
    <w:p w14:paraId="60893DEF">
      <w:pPr>
        <w:pStyle w:val="11"/>
        <w:keepNext/>
        <w:keepLines/>
        <w:pageBreakBefore w:val="0"/>
        <w:widowControl w:val="0"/>
        <w:kinsoku/>
        <w:wordWrap/>
        <w:overflowPunct/>
        <w:topLinePunct w:val="0"/>
        <w:autoSpaceDE/>
        <w:autoSpaceDN/>
        <w:bidi w:val="0"/>
        <w:adjustRightInd/>
        <w:snapToGrid/>
        <w:ind w:left="0"/>
        <w:textAlignment w:val="auto"/>
        <w:outlineLvl w:val="2"/>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bookmarkStart w:id="342" w:name="_Toc24073"/>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4.2.2 地表水环境质量现状评价</w:t>
      </w:r>
      <w:bookmarkEnd w:id="342"/>
    </w:p>
    <w:p w14:paraId="2932942C">
      <w:pPr>
        <w:spacing w:beforeLines="0" w:afterLines="0"/>
        <w:ind w:left="0" w:leftChars="0" w:firstLine="480" w:firstLineChars="200"/>
        <w:jc w:val="left"/>
        <w:rPr>
          <w:rFonts w:hint="eastAsia" w:ascii="宋体" w:hAnsi="宋体" w:eastAsia="宋体"/>
          <w:sz w:val="24"/>
        </w:rPr>
      </w:pPr>
      <w:bookmarkStart w:id="343" w:name="_Toc13966"/>
      <w:r>
        <w:rPr>
          <w:rFonts w:hint="eastAsia" w:ascii="宋体" w:hAnsi="宋体" w:eastAsia="宋体"/>
          <w:sz w:val="24"/>
        </w:rPr>
        <w:t>本项目</w:t>
      </w:r>
      <w:r>
        <w:rPr>
          <w:rFonts w:hint="eastAsia" w:ascii="宋体" w:hAnsi="宋体" w:eastAsia="宋体"/>
          <w:sz w:val="24"/>
          <w:lang w:val="en-US" w:eastAsia="zh-CN"/>
        </w:rPr>
        <w:t>H1风机东</w:t>
      </w:r>
      <w:r>
        <w:rPr>
          <w:rFonts w:hint="default" w:ascii="宋体" w:hAnsi="宋体" w:eastAsia="宋体"/>
          <w:sz w:val="24"/>
          <w:lang w:val="en-US" w:eastAsia="zh-CN"/>
        </w:rPr>
        <w:t>南</w:t>
      </w:r>
      <w:r>
        <w:rPr>
          <w:rFonts w:hint="eastAsia" w:ascii="宋体" w:hAnsi="宋体" w:eastAsia="宋体"/>
          <w:sz w:val="24"/>
          <w:lang w:val="en-US" w:eastAsia="zh-CN"/>
        </w:rPr>
        <w:t>偏南</w:t>
      </w:r>
      <w:r>
        <w:rPr>
          <w:rFonts w:hint="default" w:ascii="宋体" w:hAnsi="宋体" w:eastAsia="宋体"/>
          <w:sz w:val="24"/>
          <w:lang w:val="en-US" w:eastAsia="zh-CN"/>
        </w:rPr>
        <w:t>侧</w:t>
      </w:r>
      <w:r>
        <w:rPr>
          <w:rFonts w:hint="eastAsia" w:ascii="宋体" w:hAnsi="宋体" w:eastAsia="宋体"/>
          <w:sz w:val="24"/>
          <w:lang w:val="en-US" w:eastAsia="zh-CN"/>
        </w:rPr>
        <w:t>3.7</w:t>
      </w:r>
      <w:r>
        <w:rPr>
          <w:rFonts w:hint="default" w:ascii="宋体" w:hAnsi="宋体" w:eastAsia="宋体"/>
          <w:sz w:val="24"/>
          <w:lang w:val="en-US" w:eastAsia="zh-CN"/>
        </w:rPr>
        <w:t>km</w:t>
      </w:r>
      <w:r>
        <w:rPr>
          <w:rFonts w:hint="eastAsia" w:ascii="宋体" w:hAnsi="宋体" w:eastAsia="宋体"/>
          <w:sz w:val="24"/>
        </w:rPr>
        <w:t>为乌拉泊水源地二级保护区的乌鲁木齐河，本项目地表水环境评价等级为三级</w:t>
      </w:r>
      <w:r>
        <w:rPr>
          <w:rFonts w:hint="eastAsia" w:ascii="TimesNewRomanPSMT" w:hAnsi="TimesNewRomanPSMT" w:eastAsia="TimesNewRomanPSMT"/>
          <w:sz w:val="24"/>
        </w:rPr>
        <w:t>B</w:t>
      </w:r>
      <w:r>
        <w:rPr>
          <w:rFonts w:hint="eastAsia" w:ascii="宋体" w:hAnsi="宋体" w:eastAsia="宋体"/>
          <w:sz w:val="24"/>
        </w:rPr>
        <w:t>，项目施工期、运营期无水污染物排放，本项目与乌鲁木齐河无水力联系。</w:t>
      </w:r>
    </w:p>
    <w:p w14:paraId="382D5B47">
      <w:pPr>
        <w:spacing w:beforeLines="0" w:afterLines="0"/>
        <w:ind w:left="0" w:leftChars="0" w:firstLine="480" w:firstLineChars="200"/>
        <w:jc w:val="left"/>
        <w:rPr>
          <w:rFonts w:hint="eastAsia" w:ascii="宋体" w:hAnsi="宋体" w:eastAsia="宋体"/>
          <w:sz w:val="24"/>
        </w:rPr>
      </w:pPr>
      <w:r>
        <w:rPr>
          <w:rFonts w:hint="eastAsia" w:ascii="宋体" w:hAnsi="宋体" w:eastAsia="宋体"/>
          <w:sz w:val="24"/>
        </w:rPr>
        <w:t>乌鲁木齐河发源于天山山脉喀拉乌成山天格尔Ⅱ峰附近乌鲁木齐县的天山乌鲁木齐河源</w:t>
      </w:r>
      <w:r>
        <w:rPr>
          <w:rFonts w:hint="eastAsia" w:ascii="TimesNewRomanPSMT" w:hAnsi="TimesNewRomanPSMT" w:eastAsia="TimesNewRomanPSMT"/>
          <w:sz w:val="24"/>
        </w:rPr>
        <w:t xml:space="preserve">1 </w:t>
      </w:r>
      <w:r>
        <w:rPr>
          <w:rFonts w:hint="eastAsia" w:ascii="宋体" w:hAnsi="宋体" w:eastAsia="宋体"/>
          <w:sz w:val="24"/>
        </w:rPr>
        <w:t>号冰川，自南流向北东北，流经英雄桥出山口后，至乌拉泊折向正北，横穿乌鲁木齐市天山区、沙依巴克区、新市区等，进入五家渠市，最后流入准噶尔盆地南缘米东区的东道海子，全长</w:t>
      </w:r>
      <w:r>
        <w:rPr>
          <w:rFonts w:hint="eastAsia" w:ascii="TimesNewRomanPSMT" w:hAnsi="TimesNewRomanPSMT" w:eastAsia="TimesNewRomanPSMT"/>
          <w:sz w:val="24"/>
        </w:rPr>
        <w:t xml:space="preserve">214 </w:t>
      </w:r>
      <w:r>
        <w:rPr>
          <w:rFonts w:hint="eastAsia" w:ascii="宋体" w:hAnsi="宋体" w:eastAsia="宋体"/>
          <w:sz w:val="24"/>
        </w:rPr>
        <w:t>公里。</w:t>
      </w:r>
    </w:p>
    <w:p w14:paraId="72718607">
      <w:pPr>
        <w:spacing w:beforeLines="0" w:afterLines="0"/>
        <w:ind w:left="0" w:leftChars="0" w:firstLine="480" w:firstLineChars="200"/>
        <w:jc w:val="left"/>
        <w:rPr>
          <w:rFonts w:hint="eastAsia" w:ascii="宋体" w:hAnsi="宋体" w:eastAsia="宋体"/>
          <w:sz w:val="24"/>
        </w:rPr>
      </w:pPr>
      <w:r>
        <w:rPr>
          <w:rFonts w:hint="eastAsia" w:ascii="宋体" w:hAnsi="宋体" w:eastAsia="宋体"/>
          <w:sz w:val="24"/>
        </w:rPr>
        <w:t>乌鲁木齐河流域上游建有青年渠、大西沟渠首、大西沟水库。本次评价收集到乌鲁木齐河水质监测资料。根据乌鲁木齐市人民政府网站公布的《</w:t>
      </w:r>
      <w:r>
        <w:rPr>
          <w:rFonts w:hint="eastAsia" w:ascii="TimesNewRomanPSMT" w:hAnsi="TimesNewRomanPSMT" w:eastAsia="TimesNewRomanPSMT"/>
          <w:sz w:val="24"/>
        </w:rPr>
        <w:t xml:space="preserve">2024 </w:t>
      </w:r>
      <w:r>
        <w:rPr>
          <w:rFonts w:hint="eastAsia" w:ascii="宋体" w:hAnsi="宋体" w:eastAsia="宋体"/>
          <w:sz w:val="24"/>
        </w:rPr>
        <w:t>年第一季度乌鲁木齐市水质状况报告》（网址：</w:t>
      </w:r>
      <w:r>
        <w:rPr>
          <w:rFonts w:hint="eastAsia" w:ascii="TimesNewRomanPSMT" w:hAnsi="TimesNewRomanPSMT" w:eastAsia="TimesNewRomanPSMT"/>
          <w:sz w:val="24"/>
        </w:rPr>
        <w:t>http://www.wlmq.gov.cn/fjbm/shbj/infoPublic/567439.htm</w:t>
      </w:r>
      <w:r>
        <w:rPr>
          <w:rFonts w:hint="eastAsia" w:ascii="宋体" w:hAnsi="宋体" w:eastAsia="宋体"/>
          <w:sz w:val="24"/>
        </w:rPr>
        <w:t>）显示，一季度，乌鲁木齐市地表水体对乌鲁木齐河、乌拉泊水库开展监测，地表水河流各断面及乌拉泊水库出水断面每月监测</w:t>
      </w:r>
      <w:r>
        <w:rPr>
          <w:rFonts w:hint="eastAsia" w:ascii="TimesNewRomanPSMT" w:hAnsi="TimesNewRomanPSMT" w:eastAsia="TimesNewRomanPSMT"/>
          <w:sz w:val="24"/>
        </w:rPr>
        <w:t xml:space="preserve">1 </w:t>
      </w:r>
      <w:r>
        <w:rPr>
          <w:rFonts w:hint="eastAsia" w:ascii="宋体" w:hAnsi="宋体" w:eastAsia="宋体"/>
          <w:sz w:val="24"/>
        </w:rPr>
        <w:t>次，</w:t>
      </w:r>
      <w:r>
        <w:rPr>
          <w:rFonts w:hint="eastAsia" w:ascii="TimesNewRomanPSMT" w:hAnsi="TimesNewRomanPSMT" w:eastAsia="TimesNewRomanPSMT"/>
          <w:sz w:val="24"/>
        </w:rPr>
        <w:t xml:space="preserve">2024 </w:t>
      </w:r>
      <w:r>
        <w:rPr>
          <w:rFonts w:hint="eastAsia" w:ascii="宋体" w:hAnsi="宋体" w:eastAsia="宋体"/>
          <w:sz w:val="24"/>
        </w:rPr>
        <w:t>年第一季度乌鲁木齐河跃进桥（红五月桥）断面为</w:t>
      </w:r>
      <w:r>
        <w:rPr>
          <w:rFonts w:hint="eastAsia" w:ascii="TimesNewRomanPSMT" w:hAnsi="TimesNewRomanPSMT" w:eastAsia="TimesNewRomanPSMT"/>
          <w:sz w:val="24"/>
        </w:rPr>
        <w:t xml:space="preserve">II </w:t>
      </w:r>
      <w:r>
        <w:rPr>
          <w:rFonts w:hint="eastAsia" w:ascii="宋体" w:hAnsi="宋体" w:eastAsia="宋体"/>
          <w:sz w:val="24"/>
        </w:rPr>
        <w:t>类水质，英雄桥河青年渠断面均为</w:t>
      </w:r>
      <w:r>
        <w:rPr>
          <w:rFonts w:hint="eastAsia" w:ascii="TimesNewRomanPSMT" w:hAnsi="TimesNewRomanPSMT" w:eastAsia="TimesNewRomanPSMT"/>
          <w:sz w:val="24"/>
        </w:rPr>
        <w:t xml:space="preserve">I </w:t>
      </w:r>
      <w:r>
        <w:rPr>
          <w:rFonts w:hint="eastAsia" w:ascii="宋体" w:hAnsi="宋体" w:eastAsia="宋体"/>
          <w:sz w:val="24"/>
        </w:rPr>
        <w:t>类水质，水质状况均为优。乌拉泊水库出水口一季度为</w:t>
      </w:r>
      <w:r>
        <w:rPr>
          <w:rFonts w:hint="eastAsia" w:ascii="TimesNewRomanPSMT" w:hAnsi="TimesNewRomanPSMT" w:eastAsia="TimesNewRomanPSMT"/>
          <w:sz w:val="24"/>
        </w:rPr>
        <w:t xml:space="preserve">I </w:t>
      </w:r>
      <w:r>
        <w:rPr>
          <w:rFonts w:hint="eastAsia" w:ascii="宋体" w:hAnsi="宋体" w:eastAsia="宋体"/>
          <w:sz w:val="24"/>
        </w:rPr>
        <w:t>类水质，</w:t>
      </w:r>
      <w:r>
        <w:rPr>
          <w:rFonts w:hint="eastAsia" w:ascii="TimesNewRomanPSMT" w:hAnsi="TimesNewRomanPSMT" w:eastAsia="TimesNewRomanPSMT"/>
          <w:sz w:val="24"/>
        </w:rPr>
        <w:t xml:space="preserve">21 </w:t>
      </w:r>
      <w:r>
        <w:rPr>
          <w:rFonts w:hint="eastAsia" w:ascii="宋体" w:hAnsi="宋体" w:eastAsia="宋体"/>
          <w:sz w:val="24"/>
        </w:rPr>
        <w:t>个基本项目全部达到《地表水环境质量标准》（</w:t>
      </w:r>
      <w:r>
        <w:rPr>
          <w:rFonts w:hint="eastAsia" w:ascii="TimesNewRomanPSMT" w:hAnsi="TimesNewRomanPSMT" w:eastAsia="TimesNewRomanPSMT"/>
          <w:sz w:val="24"/>
        </w:rPr>
        <w:t>GB3838-2002</w:t>
      </w:r>
      <w:r>
        <w:rPr>
          <w:rFonts w:hint="eastAsia" w:ascii="宋体" w:hAnsi="宋体" w:eastAsia="宋体"/>
          <w:sz w:val="24"/>
        </w:rPr>
        <w:t>）中</w:t>
      </w:r>
      <w:r>
        <w:rPr>
          <w:rFonts w:hint="eastAsia" w:ascii="TimesNewRomanPSMT" w:hAnsi="TimesNewRomanPSMT" w:eastAsia="TimesNewRomanPSMT"/>
          <w:sz w:val="24"/>
        </w:rPr>
        <w:t xml:space="preserve">I </w:t>
      </w:r>
      <w:r>
        <w:rPr>
          <w:rFonts w:hint="eastAsia" w:ascii="宋体" w:hAnsi="宋体" w:eastAsia="宋体"/>
          <w:sz w:val="24"/>
        </w:rPr>
        <w:t>类水质标准要求，水质状况为优，水库营养化程度表现为中营养。</w:t>
      </w:r>
    </w:p>
    <w:p w14:paraId="58B08049">
      <w:pPr>
        <w:pStyle w:val="11"/>
        <w:keepNext/>
        <w:keepLines/>
        <w:pageBreakBefore w:val="0"/>
        <w:widowControl w:val="0"/>
        <w:kinsoku/>
        <w:wordWrap/>
        <w:overflowPunct/>
        <w:topLinePunct w:val="0"/>
        <w:autoSpaceDE/>
        <w:autoSpaceDN/>
        <w:bidi w:val="0"/>
        <w:adjustRightInd/>
        <w:snapToGrid/>
        <w:ind w:left="0"/>
        <w:textAlignment w:val="auto"/>
        <w:outlineLvl w:val="2"/>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4.2.3 地下水环境质量现状评价</w:t>
      </w:r>
      <w:bookmarkEnd w:id="343"/>
    </w:p>
    <w:p w14:paraId="3FE0A9B7">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FF0000"/>
          <w:sz w:val="24"/>
          <w:highlight w:val="none"/>
          <w:lang w:val="en-US" w:eastAsia="zh-CN"/>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根据《环境影响评价技术导则 地下水》(HJ610-2016)，本项目地下水环境影响评价项目类别为Ⅳ类，可不开展地下水环境影响评价。但本项目涉及</w:t>
      </w:r>
      <w:r>
        <w:rPr>
          <w:rFonts w:hint="eastAsia" w:ascii="宋体" w:hAnsi="宋体" w:eastAsia="宋体" w:cs="宋体"/>
          <w:color w:val="000000" w:themeColor="text1"/>
          <w:sz w:val="24"/>
          <w:lang w:val="en-US" w:eastAsia="zh-CN"/>
          <w14:textFill>
            <w14:solidFill>
              <w14:schemeClr w14:val="tx1"/>
            </w14:solidFill>
          </w14:textFill>
        </w:rPr>
        <w:t>西山地下饮用水源地二级保护区、</w:t>
      </w:r>
      <w:r>
        <w:rPr>
          <w:rFonts w:hint="eastAsia" w:ascii="宋体" w:hAnsi="宋体" w:eastAsia="宋体"/>
          <w:color w:val="000000" w:themeColor="text1"/>
          <w:sz w:val="24"/>
          <w:highlight w:val="none"/>
          <w14:textFill>
            <w14:solidFill>
              <w14:schemeClr w14:val="tx1"/>
            </w14:solidFill>
          </w14:textFill>
        </w:rPr>
        <w:t>甘河子（含铁路专供）</w:t>
      </w:r>
      <w:r>
        <w:rPr>
          <w:rFonts w:hint="eastAsia" w:ascii="宋体" w:hAnsi="宋体" w:eastAsia="宋体"/>
          <w:color w:val="000000" w:themeColor="text1"/>
          <w:sz w:val="24"/>
          <w:highlight w:val="none"/>
          <w:lang w:val="en-US" w:eastAsia="zh-CN"/>
          <w14:textFill>
            <w14:solidFill>
              <w14:schemeClr w14:val="tx1"/>
            </w14:solidFill>
          </w14:textFill>
        </w:rPr>
        <w:t>地下饮用</w:t>
      </w:r>
      <w:r>
        <w:rPr>
          <w:rFonts w:hint="eastAsia" w:ascii="宋体" w:hAnsi="宋体" w:eastAsia="宋体"/>
          <w:color w:val="000000" w:themeColor="text1"/>
          <w:sz w:val="24"/>
          <w:highlight w:val="none"/>
          <w14:textFill>
            <w14:solidFill>
              <w14:schemeClr w14:val="tx1"/>
            </w14:solidFill>
          </w14:textFill>
        </w:rPr>
        <w:t>水源地</w:t>
      </w:r>
      <w:r>
        <w:rPr>
          <w:rFonts w:hint="eastAsia" w:ascii="宋体" w:hAnsi="宋体" w:eastAsia="宋体"/>
          <w:color w:val="000000" w:themeColor="text1"/>
          <w:sz w:val="24"/>
          <w:highlight w:val="none"/>
          <w:lang w:val="en-US" w:eastAsia="zh-CN"/>
          <w14:textFill>
            <w14:solidFill>
              <w14:schemeClr w14:val="tx1"/>
            </w14:solidFill>
          </w14:textFill>
        </w:rPr>
        <w:t>二级保护区</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和乌拉泊、柴西、柴北、西山、甘河子（含铁路专供）准保护区。因此，本次评价地下水现状调查方法采用资料收集法，收集《乌鲁木齐市集中式饮用水水源地2024年6月水质状况报告》对本项目地下水</w:t>
      </w:r>
      <w:r>
        <w:rPr>
          <w:rFonts w:hint="eastAsia" w:cs="Times New Roman" w:eastAsiaTheme="minorEastAsia"/>
          <w:snapToGrid w:val="0"/>
          <w:color w:val="000000" w:themeColor="text1"/>
          <w:sz w:val="24"/>
          <w:highlight w:val="none"/>
          <w:lang w:val="en-US" w:eastAsia="zh-CN"/>
          <w14:textFill>
            <w14:solidFill>
              <w14:schemeClr w14:val="tx1"/>
            </w14:solidFill>
          </w14:textFill>
        </w:rPr>
        <w:t>环境</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现状进行评价。</w:t>
      </w:r>
    </w:p>
    <w:p w14:paraId="56615E17">
      <w:pPr>
        <w:pageBreakBefore w:val="0"/>
        <w:widowControl w:val="0"/>
        <w:kinsoku/>
        <w:wordWrap/>
        <w:overflowPunct/>
        <w:topLinePunct w:val="0"/>
        <w:bidi w:val="0"/>
        <w:snapToGrid w:val="0"/>
        <w:jc w:val="left"/>
        <w:textAlignment w:val="auto"/>
        <w:rPr>
          <w:rFonts w:hint="eastAsia" w:ascii="TimesNewRomanPSMT" w:hAnsi="TimesNewRomanPSMT" w:eastAsia="TimesNewRomanPSMT"/>
          <w:sz w:val="24"/>
        </w:rPr>
      </w:pPr>
      <w:r>
        <w:rPr>
          <w:rFonts w:hint="eastAsia" w:ascii="宋体" w:hAnsi="宋体" w:eastAsia="宋体"/>
          <w:sz w:val="24"/>
        </w:rPr>
        <w:t>根据乌鲁木齐市人民政府网站公布的《乌鲁木齐市集中式饮用水水源地</w:t>
      </w:r>
      <w:r>
        <w:rPr>
          <w:rFonts w:hint="eastAsia" w:ascii="TimesNewRomanPSMT" w:hAnsi="TimesNewRomanPSMT" w:eastAsia="TimesNewRomanPSMT"/>
          <w:sz w:val="24"/>
        </w:rPr>
        <w:t xml:space="preserve">2024 </w:t>
      </w:r>
      <w:r>
        <w:rPr>
          <w:rFonts w:hint="eastAsia" w:ascii="宋体" w:hAnsi="宋体" w:eastAsia="宋体"/>
          <w:sz w:val="24"/>
        </w:rPr>
        <w:t>年</w:t>
      </w:r>
      <w:r>
        <w:rPr>
          <w:rFonts w:hint="eastAsia" w:ascii="TimesNewRomanPSMT" w:hAnsi="TimesNewRomanPSMT" w:eastAsia="TimesNewRomanPSMT"/>
          <w:sz w:val="24"/>
        </w:rPr>
        <w:t>6</w:t>
      </w:r>
    </w:p>
    <w:p w14:paraId="76B7F7A3">
      <w:pPr>
        <w:pageBreakBefore w:val="0"/>
        <w:widowControl w:val="0"/>
        <w:kinsoku/>
        <w:wordWrap/>
        <w:overflowPunct/>
        <w:topLinePunct w:val="0"/>
        <w:bidi w:val="0"/>
        <w:snapToGrid w:val="0"/>
        <w:ind w:left="0" w:leftChars="0" w:firstLine="0" w:firstLineChars="0"/>
        <w:jc w:val="left"/>
        <w:textAlignment w:val="auto"/>
        <w:rPr>
          <w:rFonts w:hint="eastAsia" w:ascii="宋体" w:hAnsi="宋体" w:eastAsia="宋体"/>
          <w:sz w:val="24"/>
        </w:rPr>
      </w:pPr>
      <w:r>
        <w:rPr>
          <w:rFonts w:hint="eastAsia" w:ascii="宋体" w:hAnsi="宋体" w:eastAsia="宋体"/>
          <w:sz w:val="24"/>
        </w:rPr>
        <w:t>月水质状况报告》显示，</w:t>
      </w:r>
      <w:r>
        <w:rPr>
          <w:rFonts w:hint="eastAsia" w:ascii="TimesNewRomanPSMT" w:hAnsi="TimesNewRomanPSMT" w:eastAsia="TimesNewRomanPSMT"/>
          <w:sz w:val="24"/>
        </w:rPr>
        <w:t xml:space="preserve">2024 </w:t>
      </w:r>
      <w:r>
        <w:rPr>
          <w:rFonts w:hint="eastAsia" w:ascii="宋体" w:hAnsi="宋体" w:eastAsia="宋体"/>
          <w:sz w:val="24"/>
        </w:rPr>
        <w:t>年</w:t>
      </w:r>
      <w:r>
        <w:rPr>
          <w:rFonts w:hint="eastAsia" w:ascii="TimesNewRomanPSMT" w:hAnsi="TimesNewRomanPSMT" w:eastAsia="TimesNewRomanPSMT"/>
          <w:sz w:val="24"/>
        </w:rPr>
        <w:t xml:space="preserve">6 </w:t>
      </w:r>
      <w:r>
        <w:rPr>
          <w:rFonts w:hint="eastAsia" w:ascii="宋体" w:hAnsi="宋体" w:eastAsia="宋体"/>
          <w:sz w:val="24"/>
        </w:rPr>
        <w:t>月，乌鲁木齐市监测了</w:t>
      </w:r>
      <w:r>
        <w:rPr>
          <w:rFonts w:hint="eastAsia" w:ascii="TimesNewRomanPSMT" w:hAnsi="TimesNewRomanPSMT" w:eastAsia="TimesNewRomanPSMT"/>
          <w:sz w:val="24"/>
        </w:rPr>
        <w:t xml:space="preserve">6 </w:t>
      </w:r>
      <w:r>
        <w:rPr>
          <w:rFonts w:hint="eastAsia" w:ascii="宋体" w:hAnsi="宋体" w:eastAsia="宋体"/>
          <w:sz w:val="24"/>
        </w:rPr>
        <w:t>个集中式饮用水水源地，</w:t>
      </w:r>
    </w:p>
    <w:p w14:paraId="5262D1FA">
      <w:pPr>
        <w:pageBreakBefore w:val="0"/>
        <w:widowControl w:val="0"/>
        <w:kinsoku/>
        <w:wordWrap/>
        <w:overflowPunct/>
        <w:topLinePunct w:val="0"/>
        <w:bidi w:val="0"/>
        <w:snapToGrid w:val="0"/>
        <w:ind w:left="0" w:leftChars="0" w:firstLine="0" w:firstLineChars="0"/>
        <w:jc w:val="left"/>
        <w:textAlignment w:val="auto"/>
        <w:rPr>
          <w:rFonts w:hint="eastAsia" w:ascii="宋体" w:hAnsi="宋体" w:eastAsia="宋体"/>
          <w:sz w:val="24"/>
        </w:rPr>
      </w:pPr>
      <w:r>
        <w:rPr>
          <w:rFonts w:hint="eastAsia" w:ascii="宋体" w:hAnsi="宋体" w:eastAsia="宋体"/>
          <w:sz w:val="24"/>
        </w:rPr>
        <w:t>中地表水饮用水水源地</w:t>
      </w:r>
      <w:r>
        <w:rPr>
          <w:rFonts w:hint="eastAsia" w:ascii="TimesNewRomanPSMT" w:hAnsi="TimesNewRomanPSMT" w:eastAsia="TimesNewRomanPSMT"/>
          <w:sz w:val="24"/>
        </w:rPr>
        <w:t>1</w:t>
      </w:r>
      <w:r>
        <w:rPr>
          <w:rFonts w:hint="eastAsia" w:ascii="宋体" w:hAnsi="宋体" w:eastAsia="宋体"/>
          <w:sz w:val="24"/>
        </w:rPr>
        <w:t>个，地下水饮用水水源地</w:t>
      </w:r>
      <w:r>
        <w:rPr>
          <w:rFonts w:hint="eastAsia" w:ascii="TimesNewRomanPSMT" w:hAnsi="TimesNewRomanPSMT" w:eastAsia="TimesNewRomanPSMT"/>
          <w:sz w:val="24"/>
        </w:rPr>
        <w:t>5</w:t>
      </w:r>
      <w:r>
        <w:rPr>
          <w:rFonts w:hint="eastAsia" w:ascii="宋体" w:hAnsi="宋体" w:eastAsia="宋体"/>
          <w:sz w:val="24"/>
        </w:rPr>
        <w:t>个。其中地下水饮用水水源地</w:t>
      </w:r>
      <w:r>
        <w:rPr>
          <w:rFonts w:hint="eastAsia" w:ascii="宋体" w:hAnsi="宋体" w:eastAsia="宋体"/>
          <w:sz w:val="24"/>
          <w:lang w:val="en-US" w:eastAsia="zh-CN"/>
        </w:rPr>
        <w:t>包括</w:t>
      </w:r>
      <w:r>
        <w:rPr>
          <w:rFonts w:hint="eastAsia" w:ascii="宋体" w:hAnsi="宋体" w:eastAsia="宋体"/>
          <w:sz w:val="24"/>
        </w:rPr>
        <w:t>甘河子水源地监测点，监测项目为：色、嗅和味、浑浊度、肉眼可见物、</w:t>
      </w:r>
      <w:r>
        <w:rPr>
          <w:rFonts w:hint="eastAsia" w:ascii="TimesNewRomanPSMT" w:hAnsi="TimesNewRomanPSMT" w:eastAsia="TimesNewRomanPSMT"/>
          <w:sz w:val="24"/>
        </w:rPr>
        <w:t xml:space="preserve">pH </w:t>
      </w:r>
      <w:r>
        <w:rPr>
          <w:rFonts w:hint="eastAsia" w:ascii="宋体" w:hAnsi="宋体" w:eastAsia="宋体"/>
          <w:sz w:val="24"/>
        </w:rPr>
        <w:t>值、总硬度、溶解性总固体、硫酸盐、氯化物、铁、锰、铜、锌、钼、挥发酚、阴离子表面活剂、高锰酸盐指数、氨氮、硫化物、钠、总大肠菌群、汞、砷、硒、镉、六价铬、铅、三氯甲烷、四氯化碳、苯、甲苯、总α放射性、总β放射性。</w:t>
      </w:r>
    </w:p>
    <w:p w14:paraId="7A161645">
      <w:pPr>
        <w:pageBreakBefore w:val="0"/>
        <w:widowControl w:val="0"/>
        <w:kinsoku/>
        <w:wordWrap/>
        <w:overflowPunct/>
        <w:topLinePunct w:val="0"/>
        <w:bidi w:val="0"/>
        <w:snapToGrid w:val="0"/>
        <w:jc w:val="left"/>
        <w:textAlignment w:val="auto"/>
        <w:rPr>
          <w:rFonts w:hint="eastAsia" w:ascii="宋体" w:hAnsi="宋体" w:eastAsia="宋体"/>
          <w:sz w:val="24"/>
        </w:rPr>
      </w:pPr>
      <w:r>
        <w:rPr>
          <w:rFonts w:hint="eastAsia" w:ascii="宋体" w:hAnsi="宋体" w:eastAsia="宋体"/>
          <w:sz w:val="24"/>
        </w:rPr>
        <w:t>甘河子（含铁路局）水源地二级保护区地下水环境质量执行《地下水质量标准》</w:t>
      </w:r>
    </w:p>
    <w:p w14:paraId="1E1EB989">
      <w:pPr>
        <w:pageBreakBefore w:val="0"/>
        <w:widowControl w:val="0"/>
        <w:kinsoku/>
        <w:wordWrap/>
        <w:overflowPunct/>
        <w:topLinePunct w:val="0"/>
        <w:bidi w:val="0"/>
        <w:snapToGrid w:val="0"/>
        <w:ind w:left="0" w:leftChars="0" w:firstLine="0" w:firstLineChars="0"/>
        <w:jc w:val="left"/>
        <w:textAlignment w:val="auto"/>
        <w:rPr>
          <w:rFonts w:hint="eastAsia" w:ascii="宋体" w:hAnsi="宋体" w:eastAsia="宋体"/>
          <w:sz w:val="24"/>
        </w:rPr>
      </w:pPr>
      <w:r>
        <w:rPr>
          <w:rFonts w:hint="eastAsia" w:ascii="宋体" w:hAnsi="宋体" w:eastAsia="宋体"/>
          <w:sz w:val="24"/>
        </w:rPr>
        <w:t>（</w:t>
      </w:r>
      <w:r>
        <w:rPr>
          <w:rFonts w:hint="eastAsia" w:ascii="TimesNewRomanPSMT" w:hAnsi="TimesNewRomanPSMT" w:eastAsia="TimesNewRomanPSMT"/>
          <w:sz w:val="24"/>
        </w:rPr>
        <w:t>GB/T14848-2017</w:t>
      </w:r>
      <w:r>
        <w:rPr>
          <w:rFonts w:hint="eastAsia" w:ascii="宋体" w:hAnsi="宋体" w:eastAsia="宋体"/>
          <w:sz w:val="24"/>
        </w:rPr>
        <w:t>）</w:t>
      </w:r>
      <w:r>
        <w:rPr>
          <w:rFonts w:hint="eastAsia" w:ascii="TimesNewRomanPSMT" w:hAnsi="TimesNewRomanPSMT" w:eastAsia="TimesNewRomanPSMT"/>
          <w:sz w:val="24"/>
        </w:rPr>
        <w:t>Ⅲ</w:t>
      </w:r>
      <w:r>
        <w:rPr>
          <w:rFonts w:hint="eastAsia" w:ascii="宋体" w:hAnsi="宋体" w:eastAsia="宋体"/>
          <w:sz w:val="24"/>
        </w:rPr>
        <w:t>类标准，根据《乌鲁木齐市集中式饮用水水源地</w:t>
      </w:r>
      <w:r>
        <w:rPr>
          <w:rFonts w:hint="eastAsia" w:ascii="TimesNewRomanPSMT" w:hAnsi="TimesNewRomanPSMT" w:eastAsia="TimesNewRomanPSMT"/>
          <w:sz w:val="24"/>
        </w:rPr>
        <w:t xml:space="preserve">2024 </w:t>
      </w:r>
      <w:r>
        <w:rPr>
          <w:rFonts w:hint="eastAsia" w:ascii="宋体" w:hAnsi="宋体" w:eastAsia="宋体"/>
          <w:sz w:val="24"/>
        </w:rPr>
        <w:t>年</w:t>
      </w:r>
      <w:r>
        <w:rPr>
          <w:rFonts w:hint="eastAsia" w:ascii="TimesNewRomanPSMT" w:hAnsi="TimesNewRomanPSMT" w:eastAsia="TimesNewRomanPSMT"/>
          <w:sz w:val="24"/>
        </w:rPr>
        <w:t xml:space="preserve">6 </w:t>
      </w:r>
      <w:r>
        <w:rPr>
          <w:rFonts w:hint="eastAsia" w:ascii="宋体" w:hAnsi="宋体" w:eastAsia="宋体"/>
          <w:sz w:val="24"/>
        </w:rPr>
        <w:t>月水质状况报告》中甘河子水源地监测结果可知，其地下水可达《地下水质量标准》</w:t>
      </w:r>
      <w:r>
        <w:rPr>
          <w:rFonts w:hint="eastAsia" w:ascii="TimesNewRomanPSMT" w:hAnsi="TimesNewRomanPSMT" w:eastAsia="TimesNewRomanPSMT"/>
          <w:sz w:val="24"/>
        </w:rPr>
        <w:t>(GB/T14848-2017)</w:t>
      </w:r>
      <w:r>
        <w:rPr>
          <w:rFonts w:hint="eastAsia" w:ascii="宋体" w:hAnsi="宋体" w:eastAsia="宋体"/>
          <w:sz w:val="24"/>
        </w:rPr>
        <w:t>Ⅱ类标准限值，说明甘河子水源地水质优良。</w:t>
      </w:r>
    </w:p>
    <w:p w14:paraId="465E05CF">
      <w:pPr>
        <w:pageBreakBefore w:val="0"/>
        <w:widowControl w:val="0"/>
        <w:kinsoku/>
        <w:wordWrap/>
        <w:overflowPunct/>
        <w:topLinePunct w:val="0"/>
        <w:bidi w:val="0"/>
        <w:snapToGrid w:val="0"/>
        <w:jc w:val="left"/>
        <w:textAlignment w:val="auto"/>
        <w:rPr>
          <w:rFonts w:hint="eastAsia"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本项目</w:t>
      </w:r>
      <w:r>
        <w:rPr>
          <w:rFonts w:hint="eastAsia" w:ascii="宋体" w:hAnsi="宋体" w:eastAsia="宋体"/>
          <w:color w:val="000000" w:themeColor="text1"/>
          <w:sz w:val="24"/>
          <w:lang w:val="en-US" w:eastAsia="zh-CN"/>
          <w14:textFill>
            <w14:solidFill>
              <w14:schemeClr w14:val="tx1"/>
            </w14:solidFill>
          </w14:textFill>
        </w:rPr>
        <w:t>3台风机占用</w:t>
      </w:r>
      <w:r>
        <w:rPr>
          <w:rFonts w:hint="eastAsia" w:ascii="宋体" w:hAnsi="宋体" w:eastAsia="宋体"/>
          <w:color w:val="000000" w:themeColor="text1"/>
          <w:sz w:val="24"/>
          <w14:textFill>
            <w14:solidFill>
              <w14:schemeClr w14:val="tx1"/>
            </w14:solidFill>
          </w14:textFill>
        </w:rPr>
        <w:t>甘河子水源地</w:t>
      </w:r>
      <w:r>
        <w:rPr>
          <w:rFonts w:hint="eastAsia" w:ascii="宋体" w:hAnsi="宋体" w:eastAsia="宋体"/>
          <w:color w:val="000000" w:themeColor="text1"/>
          <w:sz w:val="24"/>
          <w:lang w:val="en-US" w:eastAsia="zh-CN"/>
          <w14:textFill>
            <w14:solidFill>
              <w14:schemeClr w14:val="tx1"/>
            </w14:solidFill>
          </w14:textFill>
        </w:rPr>
        <w:t>二级保护区</w:t>
      </w:r>
      <w:r>
        <w:rPr>
          <w:rFonts w:hint="eastAsia" w:ascii="宋体" w:hAnsi="宋体" w:eastAsia="宋体"/>
          <w:color w:val="000000" w:themeColor="text1"/>
          <w:sz w:val="24"/>
          <w14:textFill>
            <w14:solidFill>
              <w14:schemeClr w14:val="tx1"/>
            </w14:solidFill>
          </w14:textFill>
        </w:rPr>
        <w:t>，属同一水文地质单元，通过引用</w:t>
      </w:r>
    </w:p>
    <w:p w14:paraId="03C88FB0">
      <w:pPr>
        <w:pageBreakBefore w:val="0"/>
        <w:widowControl w:val="0"/>
        <w:kinsoku/>
        <w:wordWrap/>
        <w:overflowPunct/>
        <w:topLinePunct w:val="0"/>
        <w:bidi w:val="0"/>
        <w:snapToGrid w:val="0"/>
        <w:ind w:left="0" w:leftChars="0" w:firstLine="0" w:firstLineChars="0"/>
        <w:jc w:val="left"/>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《乌鲁木齐市集中式饮用水水源地</w:t>
      </w:r>
      <w:r>
        <w:rPr>
          <w:rFonts w:hint="eastAsia" w:ascii="TimesNewRomanPSMT" w:hAnsi="TimesNewRomanPSMT" w:eastAsia="TimesNewRomanPSMT"/>
          <w:color w:val="000000" w:themeColor="text1"/>
          <w:sz w:val="24"/>
          <w14:textFill>
            <w14:solidFill>
              <w14:schemeClr w14:val="tx1"/>
            </w14:solidFill>
          </w14:textFill>
        </w:rPr>
        <w:t xml:space="preserve">2024 </w:t>
      </w:r>
      <w:r>
        <w:rPr>
          <w:rFonts w:hint="eastAsia" w:ascii="宋体" w:hAnsi="宋体" w:eastAsia="宋体"/>
          <w:color w:val="000000" w:themeColor="text1"/>
          <w:sz w:val="24"/>
          <w14:textFill>
            <w14:solidFill>
              <w14:schemeClr w14:val="tx1"/>
            </w14:solidFill>
          </w14:textFill>
        </w:rPr>
        <w:t>年</w:t>
      </w:r>
      <w:r>
        <w:rPr>
          <w:rFonts w:hint="eastAsia" w:ascii="TimesNewRomanPSMT" w:hAnsi="TimesNewRomanPSMT" w:eastAsia="TimesNewRomanPSMT"/>
          <w:color w:val="000000" w:themeColor="text1"/>
          <w:sz w:val="24"/>
          <w14:textFill>
            <w14:solidFill>
              <w14:schemeClr w14:val="tx1"/>
            </w14:solidFill>
          </w14:textFill>
        </w:rPr>
        <w:t>6</w:t>
      </w:r>
      <w:r>
        <w:rPr>
          <w:rFonts w:hint="eastAsia" w:ascii="宋体" w:hAnsi="宋体" w:eastAsia="宋体"/>
          <w:color w:val="000000" w:themeColor="text1"/>
          <w:sz w:val="24"/>
          <w14:textFill>
            <w14:solidFill>
              <w14:schemeClr w14:val="tx1"/>
            </w14:solidFill>
          </w14:textFill>
        </w:rPr>
        <w:t>月水质状况报告》中甘河子水源地水质监测结果，可反映本项目地下水环境现状，因此引用水质状况报告可行。</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由此可见，本项目评价区域地下水水质良好。</w:t>
      </w:r>
    </w:p>
    <w:p w14:paraId="411B9717">
      <w:pPr>
        <w:pStyle w:val="11"/>
        <w:keepNext/>
        <w:keepLines/>
        <w:pageBreakBefore w:val="0"/>
        <w:widowControl w:val="0"/>
        <w:kinsoku/>
        <w:wordWrap/>
        <w:overflowPunct/>
        <w:topLinePunct w:val="0"/>
        <w:autoSpaceDE/>
        <w:autoSpaceDN/>
        <w:bidi w:val="0"/>
        <w:adjustRightInd/>
        <w:snapToGrid w:val="0"/>
        <w:spacing w:beforeLines="0" w:afterLines="0"/>
        <w:ind w:left="0"/>
        <w:textAlignment w:val="auto"/>
        <w:outlineLvl w:val="2"/>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bookmarkStart w:id="344" w:name="_Toc14130"/>
      <w:bookmarkStart w:id="345" w:name="_Toc17044"/>
      <w:bookmarkStart w:id="346" w:name="_Toc21510"/>
      <w:bookmarkStart w:id="347" w:name="_Toc29235"/>
      <w:bookmarkStart w:id="348" w:name="_Toc6562"/>
      <w:bookmarkStart w:id="349" w:name="_Toc13616"/>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4.2.4 声环境现状调查与评价</w:t>
      </w:r>
      <w:bookmarkEnd w:id="344"/>
      <w:bookmarkEnd w:id="345"/>
      <w:bookmarkEnd w:id="346"/>
      <w:bookmarkEnd w:id="347"/>
      <w:bookmarkEnd w:id="348"/>
      <w:bookmarkEnd w:id="349"/>
    </w:p>
    <w:p w14:paraId="3D8C1BC6">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本次环评由新疆鼎耀工程咨询有限公司于202</w:t>
      </w:r>
      <w:r>
        <w:rPr>
          <w:rFonts w:hint="eastAsia" w:cs="Times New Roman" w:eastAsiaTheme="minorEastAsia"/>
          <w:snapToGrid w:val="0"/>
          <w:color w:val="000000" w:themeColor="text1"/>
          <w:sz w:val="24"/>
          <w:highlight w:val="none"/>
          <w:lang w:val="en-US" w:eastAsia="zh-CN"/>
          <w14:textFill>
            <w14:solidFill>
              <w14:schemeClr w14:val="tx1"/>
            </w14:solidFill>
          </w14:textFill>
        </w:rPr>
        <w:t>5</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年</w:t>
      </w:r>
      <w:r>
        <w:rPr>
          <w:rFonts w:hint="eastAsia" w:cs="Times New Roman" w:eastAsiaTheme="minorEastAsia"/>
          <w:snapToGrid w:val="0"/>
          <w:color w:val="000000" w:themeColor="text1"/>
          <w:sz w:val="24"/>
          <w:highlight w:val="none"/>
          <w:lang w:val="en-US" w:eastAsia="zh-CN"/>
          <w14:textFill>
            <w14:solidFill>
              <w14:schemeClr w14:val="tx1"/>
            </w14:solidFill>
          </w14:textFill>
        </w:rPr>
        <w:t>7</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月</w:t>
      </w:r>
      <w:r>
        <w:rPr>
          <w:rFonts w:hint="eastAsia" w:cs="Times New Roman" w:eastAsiaTheme="minorEastAsia"/>
          <w:snapToGrid w:val="0"/>
          <w:color w:val="000000" w:themeColor="text1"/>
          <w:sz w:val="24"/>
          <w:highlight w:val="none"/>
          <w:lang w:val="en-US" w:eastAsia="zh-CN"/>
          <w14:textFill>
            <w14:solidFill>
              <w14:schemeClr w14:val="tx1"/>
            </w14:solidFill>
          </w14:textFill>
        </w:rPr>
        <w:t>8</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日对项目区声环境现状进行现场监测。</w:t>
      </w:r>
    </w:p>
    <w:p w14:paraId="534557E0">
      <w:pPr>
        <w:pStyle w:val="12"/>
        <w:keepNext/>
        <w:keepLines/>
        <w:pageBreakBefore w:val="0"/>
        <w:widowControl w:val="0"/>
        <w:numPr>
          <w:ilvl w:val="0"/>
          <w:numId w:val="0"/>
        </w:numPr>
        <w:tabs>
          <w:tab w:val="left" w:pos="1050"/>
        </w:tabs>
        <w:kinsoku/>
        <w:wordWrap/>
        <w:overflowPunct/>
        <w:topLinePunct w:val="0"/>
        <w:autoSpaceDE/>
        <w:autoSpaceDN/>
        <w:bidi w:val="0"/>
        <w:adjustRightInd/>
        <w:snapToGrid w:val="0"/>
        <w:spacing w:before="0" w:beforeLines="0" w:after="0" w:afterLines="0" w:line="360" w:lineRule="auto"/>
        <w:ind w:left="0"/>
        <w:textAlignment w:val="auto"/>
        <w:outlineLvl w:val="3"/>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t>4.</w:t>
      </w:r>
      <w:r>
        <w:rPr>
          <w:rFonts w:hint="eastAsia"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t>2.4.1</w:t>
      </w:r>
      <w:r>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t xml:space="preserve"> 监测因子</w:t>
      </w:r>
    </w:p>
    <w:p w14:paraId="343AF081">
      <w:pPr>
        <w:keepNext w:val="0"/>
        <w:keepLines w:val="0"/>
        <w:pageBreakBefore w:val="0"/>
        <w:widowControl w:val="0"/>
        <w:kinsoku/>
        <w:wordWrap/>
        <w:overflowPunct/>
        <w:topLinePunct w:val="0"/>
        <w:bidi w:val="0"/>
        <w:snapToGrid w:val="0"/>
        <w:spacing w:line="360" w:lineRule="auto"/>
        <w:ind w:left="0" w:leftChars="0" w:firstLine="480" w:firstLineChars="200"/>
        <w:textAlignment w:val="auto"/>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昼间、夜间</w:t>
      </w:r>
      <w:r>
        <w:rPr>
          <w:rFonts w:hint="default" w:ascii="Times New Roman" w:hAnsi="Times New Roman" w:cs="Times New Roman" w:eastAsiaTheme="minorEastAsia"/>
          <w:color w:val="000000" w:themeColor="text1"/>
          <w:sz w:val="24"/>
          <w:highlight w:val="none"/>
          <w14:textFill>
            <w14:solidFill>
              <w14:schemeClr w14:val="tx1"/>
            </w14:solidFill>
          </w14:textFill>
        </w:rPr>
        <w:t>等效声级，L</w:t>
      </w:r>
      <w:r>
        <w:rPr>
          <w:rFonts w:hint="default" w:ascii="Times New Roman" w:hAnsi="Times New Roman" w:cs="Times New Roman" w:eastAsiaTheme="minorEastAsia"/>
          <w:color w:val="000000" w:themeColor="text1"/>
          <w:sz w:val="24"/>
          <w:highlight w:val="none"/>
          <w:vertAlign w:val="subscript"/>
          <w14:textFill>
            <w14:solidFill>
              <w14:schemeClr w14:val="tx1"/>
            </w14:solidFill>
          </w14:textFill>
        </w:rPr>
        <w:t>eq</w:t>
      </w:r>
    </w:p>
    <w:p w14:paraId="1A314BD7">
      <w:pPr>
        <w:pStyle w:val="12"/>
        <w:keepNext/>
        <w:keepLines/>
        <w:pageBreakBefore w:val="0"/>
        <w:widowControl w:val="0"/>
        <w:numPr>
          <w:ilvl w:val="0"/>
          <w:numId w:val="0"/>
        </w:numPr>
        <w:tabs>
          <w:tab w:val="left" w:pos="1050"/>
        </w:tabs>
        <w:kinsoku/>
        <w:wordWrap/>
        <w:overflowPunct/>
        <w:topLinePunct w:val="0"/>
        <w:autoSpaceDE/>
        <w:autoSpaceDN/>
        <w:bidi w:val="0"/>
        <w:adjustRightInd/>
        <w:snapToGrid w:val="0"/>
        <w:spacing w:before="0" w:beforeLines="0" w:after="0" w:afterLines="0" w:line="360" w:lineRule="auto"/>
        <w:ind w:left="0"/>
        <w:textAlignment w:val="auto"/>
        <w:outlineLvl w:val="3"/>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t>4.2</w:t>
      </w:r>
      <w:r>
        <w:rPr>
          <w:rFonts w:hint="eastAsia"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t>.4.2</w:t>
      </w:r>
      <w:r>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t>监测方法及布点</w:t>
      </w:r>
    </w:p>
    <w:p w14:paraId="51B645C9">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firstLine="480" w:firstLineChars="200"/>
        <w:textAlignment w:val="auto"/>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14:textFill>
            <w14:solidFill>
              <w14:schemeClr w14:val="tx1"/>
            </w14:solidFill>
          </w14:textFill>
        </w:rPr>
        <w:t>监测方法：《声环境质量标准》</w:t>
      </w:r>
      <w: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 w:val="24"/>
          <w:highlight w:val="none"/>
          <w14:textFill>
            <w14:solidFill>
              <w14:schemeClr w14:val="tx1"/>
            </w14:solidFill>
          </w14:textFill>
        </w:rPr>
        <w:t>GB3096-2008</w:t>
      </w:r>
      <w: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 w:val="24"/>
          <w:highlight w:val="none"/>
          <w14:textFill>
            <w14:solidFill>
              <w14:schemeClr w14:val="tx1"/>
            </w14:solidFill>
          </w14:textFill>
        </w:rPr>
        <w:t>；</w:t>
      </w:r>
      <w:r>
        <w:rPr>
          <w:rFonts w:hint="default" w:ascii="Times New Roman" w:hAnsi="Times New Roman" w:cs="Times New Roman" w:eastAsiaTheme="minorEastAsia"/>
          <w:color w:val="000000" w:themeColor="text1"/>
          <w:kern w:val="0"/>
          <w:sz w:val="24"/>
          <w:highlight w:val="none"/>
          <w14:textFill>
            <w14:solidFill>
              <w14:schemeClr w14:val="tx1"/>
            </w14:solidFill>
          </w14:textFill>
        </w:rPr>
        <w:t>《工业企业厂界环境噪声排放标准》</w:t>
      </w:r>
      <w:r>
        <w:rPr>
          <w:rFonts w:hint="default" w:ascii="Times New Roman" w:hAnsi="Times New Roman" w:cs="Times New Roman" w:eastAsiaTheme="minorEastAsia"/>
          <w:color w:val="000000" w:themeColor="text1"/>
          <w:kern w:val="0"/>
          <w:sz w:val="24"/>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kern w:val="0"/>
          <w:sz w:val="24"/>
          <w:highlight w:val="none"/>
          <w14:textFill>
            <w14:solidFill>
              <w14:schemeClr w14:val="tx1"/>
            </w14:solidFill>
          </w14:textFill>
        </w:rPr>
        <w:t>GB12348-2008</w:t>
      </w:r>
      <w:r>
        <w:rPr>
          <w:rFonts w:hint="default" w:ascii="Times New Roman" w:hAnsi="Times New Roman" w:cs="Times New Roman" w:eastAsiaTheme="minorEastAsia"/>
          <w:color w:val="000000" w:themeColor="text1"/>
          <w:kern w:val="0"/>
          <w:sz w:val="24"/>
          <w:highlight w:val="none"/>
          <w:lang w:eastAsia="zh-CN"/>
          <w14:textFill>
            <w14:solidFill>
              <w14:schemeClr w14:val="tx1"/>
            </w14:solidFill>
          </w14:textFill>
        </w:rPr>
        <w:t>)。</w:t>
      </w:r>
    </w:p>
    <w:p w14:paraId="4CA32E66">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firstLine="480" w:firstLineChars="200"/>
        <w:textAlignment w:val="auto"/>
        <w:rPr>
          <w:rFonts w:hint="default" w:ascii="Times New Roman" w:hAnsi="Times New Roman" w:cs="Times New Roman" w:eastAsiaTheme="minorEastAsia"/>
          <w:color w:val="000000" w:themeColor="text1"/>
          <w:sz w:val="24"/>
          <w:highlight w:val="none"/>
          <w14:textFill>
            <w14:solidFill>
              <w14:schemeClr w14:val="tx1"/>
            </w14:solidFill>
          </w14:textFill>
        </w:rPr>
        <w:sectPr>
          <w:pgSz w:w="11906" w:h="16838"/>
          <w:pgMar w:top="1418" w:right="1361" w:bottom="1418" w:left="1587" w:header="1134" w:footer="992" w:gutter="0"/>
          <w:pgBorders>
            <w:top w:val="none" w:sz="0" w:space="0"/>
            <w:left w:val="none" w:sz="0" w:space="0"/>
            <w:bottom w:val="none" w:sz="0" w:space="0"/>
            <w:right w:val="none" w:sz="0" w:space="0"/>
          </w:pgBorders>
          <w:pgNumType w:fmt="decimal"/>
          <w:cols w:space="720" w:num="1"/>
          <w:docGrid w:type="linesAndChars" w:linePitch="312" w:charSpace="0"/>
        </w:sectPr>
      </w:pPr>
      <w:r>
        <w:rPr>
          <w:rFonts w:hint="default" w:ascii="Times New Roman" w:hAnsi="Times New Roman" w:cs="Times New Roman" w:eastAsiaTheme="minorEastAsia"/>
          <w:color w:val="000000" w:themeColor="text1"/>
          <w:sz w:val="24"/>
          <w:highlight w:val="none"/>
          <w14:textFill>
            <w14:solidFill>
              <w14:schemeClr w14:val="tx1"/>
            </w14:solidFill>
          </w14:textFill>
        </w:rPr>
        <w:t>布点原则：根据《环境影响评价技术导则 声环境》</w:t>
      </w:r>
      <w: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 w:val="24"/>
          <w:highlight w:val="none"/>
          <w14:textFill>
            <w14:solidFill>
              <w14:schemeClr w14:val="tx1"/>
            </w14:solidFill>
          </w14:textFill>
        </w:rPr>
        <w:t>HJ2.4-20</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21</w:t>
      </w:r>
      <w: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 w:val="24"/>
          <w:highlight w:val="none"/>
          <w14:textFill>
            <w14:solidFill>
              <w14:schemeClr w14:val="tx1"/>
            </w14:solidFill>
          </w14:textFill>
        </w:rPr>
        <w:t>的要求，</w:t>
      </w:r>
      <w:r>
        <w:rPr>
          <w:rFonts w:hint="eastAsia" w:cs="Times New Roman" w:eastAsiaTheme="minorEastAsia"/>
          <w:color w:val="000000" w:themeColor="text1"/>
          <w:sz w:val="24"/>
          <w:highlight w:val="none"/>
          <w:lang w:val="en-US" w:eastAsia="zh-CN"/>
          <w14:textFill>
            <w14:solidFill>
              <w14:schemeClr w14:val="tx1"/>
            </w14:solidFill>
          </w14:textFill>
        </w:rPr>
        <w:t>项目风机布设点位较为分散，本次评级</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在</w:t>
      </w:r>
      <w:r>
        <w:rPr>
          <w:rFonts w:hint="eastAsia" w:cs="Times New Roman" w:eastAsiaTheme="minorEastAsia"/>
          <w:color w:val="000000" w:themeColor="text1"/>
          <w:sz w:val="24"/>
          <w:highlight w:val="none"/>
          <w:lang w:val="en-US" w:eastAsia="zh-CN"/>
          <w14:textFill>
            <w14:solidFill>
              <w14:schemeClr w14:val="tx1"/>
            </w14:solidFill>
          </w14:textFill>
        </w:rPr>
        <w:t>有代表性的风机点位设置</w:t>
      </w:r>
      <w:r>
        <w:rPr>
          <w:rFonts w:hint="default" w:ascii="Times New Roman" w:hAnsi="Times New Roman" w:cs="Times New Roman" w:eastAsiaTheme="minorEastAsia"/>
          <w:color w:val="000000" w:themeColor="text1"/>
          <w:sz w:val="24"/>
          <w:highlight w:val="none"/>
          <w14:textFill>
            <w14:solidFill>
              <w14:schemeClr w14:val="tx1"/>
            </w14:solidFill>
          </w14:textFill>
        </w:rPr>
        <w:t>现状监测点</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w:t>
      </w:r>
      <w:r>
        <w:rPr>
          <w:rFonts w:hint="eastAsia" w:cs="Times New Roman" w:eastAsiaTheme="minorEastAsia"/>
          <w:color w:val="000000" w:themeColor="text1"/>
          <w:sz w:val="24"/>
          <w:highlight w:val="none"/>
          <w:lang w:val="en-US" w:eastAsia="zh-CN"/>
          <w14:textFill>
            <w14:solidFill>
              <w14:schemeClr w14:val="tx1"/>
            </w14:solidFill>
          </w14:textFill>
        </w:rPr>
        <w:t>共设置6个监测点</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highlight w:val="none"/>
          <w14:textFill>
            <w14:solidFill>
              <w14:schemeClr w14:val="tx1"/>
            </w14:solidFill>
          </w14:textFill>
        </w:rPr>
        <w:t>距地面1.</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highlight w:val="none"/>
          <w14:textFill>
            <w14:solidFill>
              <w14:schemeClr w14:val="tx1"/>
            </w14:solidFill>
          </w14:textFill>
        </w:rPr>
        <w:t>m处监测</w:t>
      </w:r>
      <w:r>
        <w:rPr>
          <w:rFonts w:hint="eastAsia" w:cs="Times New Roman" w:eastAsiaTheme="minorEastAsia"/>
          <w:color w:val="000000" w:themeColor="text1"/>
          <w:sz w:val="24"/>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 w:val="24"/>
          <w:highlight w:val="none"/>
          <w14:textFill>
            <w14:solidFill>
              <w14:schemeClr w14:val="tx1"/>
            </w14:solidFill>
          </w14:textFill>
        </w:rPr>
        <w:t>具体点位布置</w:t>
      </w:r>
      <w:r>
        <w:rPr>
          <w:rFonts w:hint="eastAsia" w:cs="Times New Roman" w:eastAsiaTheme="minorEastAsia"/>
          <w:color w:val="000000" w:themeColor="text1"/>
          <w:sz w:val="24"/>
          <w:highlight w:val="none"/>
          <w:lang w:val="en-US" w:eastAsia="zh-CN"/>
          <w14:textFill>
            <w14:solidFill>
              <w14:schemeClr w14:val="tx1"/>
            </w14:solidFill>
          </w14:textFill>
        </w:rPr>
        <w:t>图见</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图</w:t>
      </w:r>
      <w:r>
        <w:rPr>
          <w:rFonts w:hint="eastAsia" w:cs="Times New Roman" w:eastAsiaTheme="minorEastAsia"/>
          <w:color w:val="000000" w:themeColor="text1"/>
          <w:sz w:val="24"/>
          <w:highlight w:val="none"/>
          <w:lang w:val="en-US" w:eastAsia="zh-CN"/>
          <w14:textFill>
            <w14:solidFill>
              <w14:schemeClr w14:val="tx1"/>
            </w14:solidFill>
          </w14:textFill>
        </w:rPr>
        <w:t>4.2-1。</w:t>
      </w:r>
    </w:p>
    <w:p w14:paraId="18B22B18">
      <w:pPr>
        <w:pStyle w:val="91"/>
        <w:ind w:left="0" w:leftChars="0" w:firstLine="0" w:firstLineChars="0"/>
        <w:jc w:val="center"/>
        <w:rPr>
          <w:rFonts w:hint="default" w:ascii="Times New Roman" w:hAnsi="Times New Roman" w:cs="Times New Roman" w:eastAsiaTheme="minorEastAsia"/>
          <w:b/>
          <w:color w:val="FF0000"/>
          <w:sz w:val="28"/>
          <w:szCs w:val="28"/>
          <w:highlight w:val="none"/>
          <w:lang w:eastAsia="zh-CN"/>
        </w:rPr>
      </w:pPr>
      <w:r>
        <w:drawing>
          <wp:inline distT="0" distB="0" distL="114300" distR="114300">
            <wp:extent cx="4967605" cy="4638675"/>
            <wp:effectExtent l="0" t="0" r="635" b="9525"/>
            <wp:docPr id="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pic:cNvPicPr>
                      <a:picLocks noChangeAspect="1"/>
                    </pic:cNvPicPr>
                  </pic:nvPicPr>
                  <pic:blipFill>
                    <a:blip r:embed="rId32"/>
                    <a:stretch>
                      <a:fillRect/>
                    </a:stretch>
                  </pic:blipFill>
                  <pic:spPr>
                    <a:xfrm>
                      <a:off x="0" y="0"/>
                      <a:ext cx="4967605" cy="4638675"/>
                    </a:xfrm>
                    <a:prstGeom prst="rect">
                      <a:avLst/>
                    </a:prstGeom>
                    <a:noFill/>
                    <a:ln>
                      <a:noFill/>
                    </a:ln>
                  </pic:spPr>
                </pic:pic>
              </a:graphicData>
            </a:graphic>
          </wp:inline>
        </w:drawing>
      </w:r>
    </w:p>
    <w:p w14:paraId="09F36CD9">
      <w:pPr>
        <w:pStyle w:val="52"/>
        <w:ind w:left="0" w:leftChars="0" w:firstLine="0" w:firstLineChars="0"/>
        <w:jc w:val="center"/>
        <w:rPr>
          <w:rFonts w:hint="default" w:ascii="Times New Roman" w:hAnsi="Times New Roman" w:cs="Times New Roman" w:eastAsiaTheme="minorEastAsia"/>
          <w:color w:val="000000" w:themeColor="text1"/>
          <w:highlight w:val="none"/>
          <w:lang w:val="en-US"/>
          <w14:textFill>
            <w14:solidFill>
              <w14:schemeClr w14:val="tx1"/>
            </w14:solidFill>
          </w14:textFill>
        </w:rPr>
        <w:sectPr>
          <w:pgSz w:w="11906" w:h="16838"/>
          <w:pgMar w:top="1418" w:right="1361" w:bottom="1418" w:left="1587" w:header="1304" w:footer="992" w:gutter="0"/>
          <w:pgBorders>
            <w:top w:val="none" w:sz="0" w:space="0"/>
            <w:left w:val="none" w:sz="0" w:space="0"/>
            <w:bottom w:val="none" w:sz="0" w:space="0"/>
            <w:right w:val="none" w:sz="0" w:space="0"/>
          </w:pgBorders>
          <w:pgNumType w:fmt="decimal"/>
          <w:cols w:space="720" w:num="1"/>
          <w:docGrid w:type="linesAndChars" w:linePitch="312" w:charSpace="0"/>
        </w:sectPr>
      </w:pPr>
      <w:r>
        <w:rPr>
          <w:rFonts w:hint="default" w:ascii="Times New Roman" w:hAnsi="Times New Roman" w:cs="Times New Roman" w:eastAsiaTheme="minorEastAsia"/>
          <w:b/>
          <w:bCs/>
          <w:snapToGrid w:val="0"/>
          <w:color w:val="000000" w:themeColor="text1"/>
          <w:sz w:val="24"/>
          <w:szCs w:val="24"/>
          <w:highlight w:val="none"/>
          <w:lang w:val="en-US" w:eastAsia="zh-CN"/>
          <w14:textFill>
            <w14:solidFill>
              <w14:schemeClr w14:val="tx1"/>
            </w14:solidFill>
          </w14:textFill>
        </w:rPr>
        <w:t>图4.2-</w:t>
      </w:r>
      <w:r>
        <w:rPr>
          <w:rFonts w:hint="eastAsia" w:cs="Times New Roman" w:eastAsiaTheme="minorEastAsia"/>
          <w:b/>
          <w:bCs/>
          <w:snapToGrid w:val="0"/>
          <w:color w:val="000000" w:themeColor="text1"/>
          <w:sz w:val="24"/>
          <w:szCs w:val="24"/>
          <w:highlight w:val="none"/>
          <w:lang w:val="en-US" w:eastAsia="zh-CN"/>
          <w14:textFill>
            <w14:solidFill>
              <w14:schemeClr w14:val="tx1"/>
            </w14:solidFill>
          </w14:textFill>
        </w:rPr>
        <w:t>1</w:t>
      </w:r>
      <w:r>
        <w:rPr>
          <w:rFonts w:hint="default" w:ascii="Times New Roman" w:hAnsi="Times New Roman" w:cs="Times New Roman" w:eastAsiaTheme="minorEastAsia"/>
          <w:b/>
          <w:bCs/>
          <w:snapToGrid w:val="0"/>
          <w:color w:val="000000" w:themeColor="text1"/>
          <w:sz w:val="24"/>
          <w:szCs w:val="24"/>
          <w:highlight w:val="none"/>
          <w:lang w:val="en-US" w:eastAsia="zh-CN"/>
          <w14:textFill>
            <w14:solidFill>
              <w14:schemeClr w14:val="tx1"/>
            </w14:solidFill>
          </w14:textFill>
        </w:rPr>
        <w:t xml:space="preserve">    声环境现状监测点位图</w:t>
      </w:r>
    </w:p>
    <w:p w14:paraId="1DBD6461">
      <w:pPr>
        <w:pStyle w:val="12"/>
        <w:keepNext/>
        <w:keepLines/>
        <w:pageBreakBefore w:val="0"/>
        <w:widowControl w:val="0"/>
        <w:numPr>
          <w:ilvl w:val="0"/>
          <w:numId w:val="0"/>
        </w:numPr>
        <w:tabs>
          <w:tab w:val="left" w:pos="1050"/>
        </w:tabs>
        <w:kinsoku/>
        <w:wordWrap/>
        <w:overflowPunct/>
        <w:topLinePunct w:val="0"/>
        <w:autoSpaceDE/>
        <w:autoSpaceDN/>
        <w:bidi w:val="0"/>
        <w:adjustRightInd/>
        <w:snapToGrid w:val="0"/>
        <w:spacing w:before="0" w:beforeLines="0" w:after="0" w:afterLines="0" w:line="360" w:lineRule="auto"/>
        <w:ind w:left="0"/>
        <w:textAlignment w:val="auto"/>
        <w:outlineLvl w:val="3"/>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t>4.</w:t>
      </w:r>
      <w:r>
        <w:rPr>
          <w:rFonts w:hint="eastAsia"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t>2.4.</w:t>
      </w:r>
      <w:r>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t>3 监测单位及监测时间</w:t>
      </w:r>
    </w:p>
    <w:p w14:paraId="1DEC9CFD">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firstLine="480" w:firstLineChars="200"/>
        <w:textAlignment w:val="auto"/>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default" w:ascii="Times New Roman" w:hAnsi="Times New Roman" w:cs="Times New Roman" w:eastAsiaTheme="minorEastAsia"/>
          <w:color w:val="000000" w:themeColor="text1"/>
          <w:sz w:val="24"/>
          <w:highlight w:val="none"/>
          <w14:textFill>
            <w14:solidFill>
              <w14:schemeClr w14:val="tx1"/>
            </w14:solidFill>
          </w14:textFill>
        </w:rPr>
        <w:t>监测单位：新疆鼎耀工程咨询有限公司</w:t>
      </w:r>
    </w:p>
    <w:p w14:paraId="69216669">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firstLine="480" w:firstLineChars="200"/>
        <w:textAlignment w:val="auto"/>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14:textFill>
            <w14:solidFill>
              <w14:schemeClr w14:val="tx1"/>
            </w14:solidFill>
          </w14:textFill>
        </w:rPr>
        <w:t>监测时间：202</w:t>
      </w:r>
      <w:r>
        <w:rPr>
          <w:rFonts w:hint="eastAsia" w:cs="Times New Roman" w:eastAsiaTheme="minorEastAsia"/>
          <w:color w:val="000000" w:themeColor="text1"/>
          <w:sz w:val="24"/>
          <w:highlight w:val="none"/>
          <w:lang w:val="en-US" w:eastAsia="zh-CN"/>
          <w14:textFill>
            <w14:solidFill>
              <w14:schemeClr w14:val="tx1"/>
            </w14:solidFill>
          </w14:textFill>
        </w:rPr>
        <w:t>5</w:t>
      </w:r>
      <w:r>
        <w:rPr>
          <w:rFonts w:hint="default" w:ascii="Times New Roman" w:hAnsi="Times New Roman" w:cs="Times New Roman" w:eastAsiaTheme="minorEastAsia"/>
          <w:color w:val="000000" w:themeColor="text1"/>
          <w:sz w:val="24"/>
          <w:highlight w:val="none"/>
          <w14:textFill>
            <w14:solidFill>
              <w14:schemeClr w14:val="tx1"/>
            </w14:solidFill>
          </w14:textFill>
        </w:rPr>
        <w:t>年</w:t>
      </w:r>
      <w:r>
        <w:rPr>
          <w:rFonts w:hint="eastAsia" w:cs="Times New Roman" w:eastAsiaTheme="minorEastAsia"/>
          <w:color w:val="000000" w:themeColor="text1"/>
          <w:sz w:val="24"/>
          <w:highlight w:val="none"/>
          <w:lang w:val="en-US" w:eastAsia="zh-CN"/>
          <w14:textFill>
            <w14:solidFill>
              <w14:schemeClr w14:val="tx1"/>
            </w14:solidFill>
          </w14:textFill>
        </w:rPr>
        <w:t>7</w:t>
      </w:r>
      <w:r>
        <w:rPr>
          <w:rFonts w:hint="default" w:ascii="Times New Roman" w:hAnsi="Times New Roman" w:cs="Times New Roman" w:eastAsiaTheme="minorEastAsia"/>
          <w:color w:val="000000" w:themeColor="text1"/>
          <w:sz w:val="24"/>
          <w:highlight w:val="none"/>
          <w14:textFill>
            <w14:solidFill>
              <w14:schemeClr w14:val="tx1"/>
            </w14:solidFill>
          </w14:textFill>
        </w:rPr>
        <w:t>月</w:t>
      </w:r>
      <w:r>
        <w:rPr>
          <w:rFonts w:hint="eastAsia" w:cs="Times New Roman" w:eastAsiaTheme="minorEastAsia"/>
          <w:color w:val="000000" w:themeColor="text1"/>
          <w:sz w:val="24"/>
          <w:highlight w:val="none"/>
          <w:lang w:val="en-US" w:eastAsia="zh-CN"/>
          <w14:textFill>
            <w14:solidFill>
              <w14:schemeClr w14:val="tx1"/>
            </w14:solidFill>
          </w14:textFill>
        </w:rPr>
        <w:t>8</w:t>
      </w:r>
      <w:r>
        <w:rPr>
          <w:rFonts w:hint="default" w:ascii="Times New Roman" w:hAnsi="Times New Roman" w:cs="Times New Roman" w:eastAsiaTheme="minorEastAsia"/>
          <w:color w:val="000000" w:themeColor="text1"/>
          <w:sz w:val="24"/>
          <w:highlight w:val="none"/>
          <w14:textFill>
            <w14:solidFill>
              <w14:schemeClr w14:val="tx1"/>
            </w14:solidFill>
          </w14:textFill>
        </w:rPr>
        <w:t>日</w:t>
      </w:r>
    </w:p>
    <w:p w14:paraId="54B27B25">
      <w:pPr>
        <w:pStyle w:val="12"/>
        <w:keepNext/>
        <w:keepLines/>
        <w:pageBreakBefore w:val="0"/>
        <w:widowControl w:val="0"/>
        <w:numPr>
          <w:ilvl w:val="0"/>
          <w:numId w:val="0"/>
        </w:numPr>
        <w:tabs>
          <w:tab w:val="left" w:pos="1050"/>
        </w:tabs>
        <w:kinsoku/>
        <w:wordWrap/>
        <w:overflowPunct/>
        <w:topLinePunct w:val="0"/>
        <w:autoSpaceDE/>
        <w:autoSpaceDN/>
        <w:bidi w:val="0"/>
        <w:adjustRightInd/>
        <w:snapToGrid w:val="0"/>
        <w:spacing w:before="0" w:beforeLines="0" w:after="0" w:afterLines="0" w:line="360" w:lineRule="auto"/>
        <w:ind w:left="0"/>
        <w:textAlignment w:val="auto"/>
        <w:outlineLvl w:val="3"/>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t>4.</w:t>
      </w:r>
      <w:r>
        <w:rPr>
          <w:rFonts w:hint="eastAsia"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t>2.4.</w:t>
      </w:r>
      <w:r>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t>4 监测仪器、监测条件</w:t>
      </w:r>
    </w:p>
    <w:p w14:paraId="4531058A">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firstLine="480" w:firstLineChars="200"/>
        <w:textAlignment w:val="auto"/>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default" w:ascii="Times New Roman" w:hAnsi="Times New Roman" w:cs="Times New Roman" w:eastAsiaTheme="minorEastAsia"/>
          <w:color w:val="000000" w:themeColor="text1"/>
          <w:sz w:val="24"/>
          <w:highlight w:val="none"/>
          <w14:textFill>
            <w14:solidFill>
              <w14:schemeClr w14:val="tx1"/>
            </w14:solidFill>
          </w14:textFill>
        </w:rPr>
        <w:t>监测仪器参数，见表</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4.2</w:t>
      </w:r>
      <w:r>
        <w:rPr>
          <w:rFonts w:hint="default" w:ascii="Times New Roman" w:hAnsi="Times New Roman" w:cs="Times New Roman" w:eastAsiaTheme="minorEastAsia"/>
          <w:color w:val="000000" w:themeColor="text1"/>
          <w:sz w:val="24"/>
          <w:highlight w:val="none"/>
          <w14:textFill>
            <w14:solidFill>
              <w14:schemeClr w14:val="tx1"/>
            </w14:solidFill>
          </w14:textFill>
        </w:rPr>
        <w:t>-</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highlight w:val="none"/>
          <w14:textFill>
            <w14:solidFill>
              <w14:schemeClr w14:val="tx1"/>
            </w14:solidFill>
          </w14:textFill>
        </w:rPr>
        <w:t>。</w:t>
      </w:r>
    </w:p>
    <w:p w14:paraId="67FC560A">
      <w:pPr>
        <w:spacing w:line="240" w:lineRule="auto"/>
        <w:ind w:left="0" w:leftChars="0" w:firstLine="0" w:firstLineChars="0"/>
        <w:jc w:val="center"/>
        <w:rPr>
          <w:rFonts w:hint="default" w:ascii="Times New Roman" w:hAnsi="Times New Roman" w:cs="Times New Roman" w:eastAsiaTheme="minorEastAsia"/>
          <w:b/>
          <w:color w:val="000000" w:themeColor="text1"/>
          <w:sz w:val="24"/>
          <w:highlight w:val="none"/>
          <w14:textFill>
            <w14:solidFill>
              <w14:schemeClr w14:val="tx1"/>
            </w14:solidFill>
          </w14:textFill>
        </w:rPr>
      </w:pPr>
      <w:r>
        <w:rPr>
          <w:rFonts w:hint="default" w:ascii="Times New Roman" w:hAnsi="Times New Roman" w:cs="Times New Roman" w:eastAsiaTheme="minorEastAsia"/>
          <w:b/>
          <w:color w:val="000000" w:themeColor="text1"/>
          <w:sz w:val="24"/>
          <w:highlight w:val="none"/>
          <w14:textFill>
            <w14:solidFill>
              <w14:schemeClr w14:val="tx1"/>
            </w14:solidFill>
          </w14:textFill>
        </w:rPr>
        <w:t>表</w:t>
      </w:r>
      <w:r>
        <w:rPr>
          <w:rFonts w:hint="default" w:ascii="Times New Roman" w:hAnsi="Times New Roman" w:cs="Times New Roman" w:eastAsiaTheme="minorEastAsia"/>
          <w:b/>
          <w:color w:val="000000" w:themeColor="text1"/>
          <w:sz w:val="24"/>
          <w:highlight w:val="none"/>
          <w:lang w:val="en-US" w:eastAsia="zh-CN"/>
          <w14:textFill>
            <w14:solidFill>
              <w14:schemeClr w14:val="tx1"/>
            </w14:solidFill>
          </w14:textFill>
        </w:rPr>
        <w:t>4.2</w:t>
      </w:r>
      <w:r>
        <w:rPr>
          <w:rFonts w:hint="default" w:ascii="Times New Roman" w:hAnsi="Times New Roman" w:cs="Times New Roman" w:eastAsiaTheme="minorEastAsia"/>
          <w:b/>
          <w:color w:val="000000" w:themeColor="text1"/>
          <w:sz w:val="24"/>
          <w:highlight w:val="none"/>
          <w14:textFill>
            <w14:solidFill>
              <w14:schemeClr w14:val="tx1"/>
            </w14:solidFill>
          </w14:textFill>
        </w:rPr>
        <w:t>-</w:t>
      </w:r>
      <w:r>
        <w:rPr>
          <w:rFonts w:hint="default" w:ascii="Times New Roman" w:hAnsi="Times New Roman" w:cs="Times New Roman" w:eastAsiaTheme="minorEastAsia"/>
          <w:b/>
          <w:color w:val="000000" w:themeColor="text1"/>
          <w:sz w:val="24"/>
          <w:highlight w:val="none"/>
          <w:lang w:val="en-US" w:eastAsia="zh-CN"/>
          <w14:textFill>
            <w14:solidFill>
              <w14:schemeClr w14:val="tx1"/>
            </w14:solidFill>
          </w14:textFill>
        </w:rPr>
        <w:t xml:space="preserve">3    </w:t>
      </w:r>
      <w:r>
        <w:rPr>
          <w:rFonts w:hint="default" w:ascii="Times New Roman" w:hAnsi="Times New Roman" w:cs="Times New Roman" w:eastAsiaTheme="minorEastAsia"/>
          <w:b/>
          <w:color w:val="000000" w:themeColor="text1"/>
          <w:sz w:val="24"/>
          <w:highlight w:val="none"/>
          <w14:textFill>
            <w14:solidFill>
              <w14:schemeClr w14:val="tx1"/>
            </w14:solidFill>
          </w14:textFill>
        </w:rPr>
        <w:t>测量设备特性表</w:t>
      </w:r>
    </w:p>
    <w:tbl>
      <w:tblPr>
        <w:tblStyle w:val="75"/>
        <w:tblW w:w="5013"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57" w:type="dxa"/>
          <w:bottom w:w="0" w:type="dxa"/>
          <w:right w:w="57" w:type="dxa"/>
        </w:tblCellMar>
      </w:tblPr>
      <w:tblGrid>
        <w:gridCol w:w="411"/>
        <w:gridCol w:w="640"/>
        <w:gridCol w:w="1539"/>
        <w:gridCol w:w="943"/>
        <w:gridCol w:w="2123"/>
        <w:gridCol w:w="1599"/>
        <w:gridCol w:w="1756"/>
      </w:tblGrid>
      <w:tr w14:paraId="5B7E5B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29" w:type="pct"/>
            <w:tcBorders>
              <w:tl2br w:val="nil"/>
              <w:tr2bl w:val="nil"/>
            </w:tcBorders>
            <w:noWrap w:val="0"/>
            <w:tcMar>
              <w:top w:w="0" w:type="dxa"/>
              <w:left w:w="0" w:type="dxa"/>
              <w:bottom w:w="0" w:type="dxa"/>
              <w:right w:w="0" w:type="dxa"/>
            </w:tcMar>
            <w:vAlign w:val="center"/>
          </w:tcPr>
          <w:p w14:paraId="3A0C405C">
            <w:pPr>
              <w:keepNext w:val="0"/>
              <w:keepLines w:val="0"/>
              <w:pageBreakBefore w:val="0"/>
              <w:widowControl w:val="0"/>
              <w:kinsoku/>
              <w:wordWrap/>
              <w:overflowPunct/>
              <w:topLinePunct w:val="0"/>
              <w:autoSpaceDE w:val="0"/>
              <w:autoSpaceDN w:val="0"/>
              <w:bidi w:val="0"/>
              <w:adjustRightInd w:val="0"/>
              <w:snapToGrid w:val="0"/>
              <w:spacing w:line="360" w:lineRule="exact"/>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序号</w:t>
            </w:r>
          </w:p>
        </w:tc>
        <w:tc>
          <w:tcPr>
            <w:tcW w:w="356" w:type="pct"/>
            <w:tcBorders>
              <w:tl2br w:val="nil"/>
              <w:tr2bl w:val="nil"/>
            </w:tcBorders>
            <w:noWrap w:val="0"/>
            <w:tcMar>
              <w:top w:w="0" w:type="dxa"/>
              <w:left w:w="0" w:type="dxa"/>
              <w:bottom w:w="0" w:type="dxa"/>
              <w:right w:w="0" w:type="dxa"/>
            </w:tcMar>
            <w:vAlign w:val="center"/>
          </w:tcPr>
          <w:p w14:paraId="5D5D30D8">
            <w:pPr>
              <w:keepNext w:val="0"/>
              <w:keepLines w:val="0"/>
              <w:pageBreakBefore w:val="0"/>
              <w:widowControl w:val="0"/>
              <w:kinsoku/>
              <w:wordWrap/>
              <w:overflowPunct/>
              <w:topLinePunct w:val="0"/>
              <w:autoSpaceDE w:val="0"/>
              <w:autoSpaceDN w:val="0"/>
              <w:bidi w:val="0"/>
              <w:adjustRightInd w:val="0"/>
              <w:snapToGrid w:val="0"/>
              <w:spacing w:line="360" w:lineRule="exact"/>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监测</w:t>
            </w:r>
          </w:p>
          <w:p w14:paraId="1746726D">
            <w:pPr>
              <w:keepNext w:val="0"/>
              <w:keepLines w:val="0"/>
              <w:pageBreakBefore w:val="0"/>
              <w:widowControl w:val="0"/>
              <w:kinsoku/>
              <w:wordWrap/>
              <w:overflowPunct/>
              <w:topLinePunct w:val="0"/>
              <w:autoSpaceDE w:val="0"/>
              <w:autoSpaceDN w:val="0"/>
              <w:bidi w:val="0"/>
              <w:adjustRightInd w:val="0"/>
              <w:snapToGrid w:val="0"/>
              <w:spacing w:line="360" w:lineRule="exact"/>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项目</w:t>
            </w:r>
          </w:p>
        </w:tc>
        <w:tc>
          <w:tcPr>
            <w:tcW w:w="854" w:type="pct"/>
            <w:tcBorders>
              <w:tl2br w:val="nil"/>
              <w:tr2bl w:val="nil"/>
            </w:tcBorders>
            <w:noWrap w:val="0"/>
            <w:tcMar>
              <w:top w:w="0" w:type="dxa"/>
              <w:left w:w="0" w:type="dxa"/>
              <w:bottom w:w="0" w:type="dxa"/>
              <w:right w:w="0" w:type="dxa"/>
            </w:tcMar>
            <w:vAlign w:val="center"/>
          </w:tcPr>
          <w:p w14:paraId="6B43526A">
            <w:pPr>
              <w:keepNext w:val="0"/>
              <w:keepLines w:val="0"/>
              <w:pageBreakBefore w:val="0"/>
              <w:widowControl w:val="0"/>
              <w:kinsoku/>
              <w:wordWrap/>
              <w:overflowPunct/>
              <w:topLinePunct w:val="0"/>
              <w:autoSpaceDE w:val="0"/>
              <w:autoSpaceDN w:val="0"/>
              <w:bidi w:val="0"/>
              <w:adjustRightInd w:val="0"/>
              <w:snapToGrid w:val="0"/>
              <w:spacing w:line="360" w:lineRule="exact"/>
              <w:ind w:left="0" w:leftChars="0" w:firstLine="0" w:firstLineChars="0"/>
              <w:jc w:val="center"/>
              <w:textAlignment w:val="auto"/>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设备</w:t>
            </w: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名称及型号</w:t>
            </w:r>
          </w:p>
        </w:tc>
        <w:tc>
          <w:tcPr>
            <w:tcW w:w="524" w:type="pct"/>
            <w:tcBorders>
              <w:tl2br w:val="nil"/>
              <w:tr2bl w:val="nil"/>
            </w:tcBorders>
            <w:noWrap w:val="0"/>
            <w:tcMar>
              <w:top w:w="0" w:type="dxa"/>
              <w:left w:w="0" w:type="dxa"/>
              <w:bottom w:w="0" w:type="dxa"/>
              <w:right w:w="0" w:type="dxa"/>
            </w:tcMar>
            <w:vAlign w:val="center"/>
          </w:tcPr>
          <w:p w14:paraId="42AD190A">
            <w:pPr>
              <w:keepNext w:val="0"/>
              <w:keepLines w:val="0"/>
              <w:pageBreakBefore w:val="0"/>
              <w:widowControl w:val="0"/>
              <w:kinsoku/>
              <w:wordWrap/>
              <w:overflowPunct/>
              <w:topLinePunct w:val="0"/>
              <w:autoSpaceDE w:val="0"/>
              <w:autoSpaceDN w:val="0"/>
              <w:bidi w:val="0"/>
              <w:adjustRightInd w:val="0"/>
              <w:snapToGrid w:val="0"/>
              <w:spacing w:line="360" w:lineRule="exact"/>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测量范围</w:t>
            </w:r>
          </w:p>
        </w:tc>
        <w:tc>
          <w:tcPr>
            <w:tcW w:w="1171" w:type="pct"/>
            <w:tcBorders>
              <w:tl2br w:val="nil"/>
              <w:tr2bl w:val="nil"/>
            </w:tcBorders>
            <w:noWrap w:val="0"/>
            <w:tcMar>
              <w:top w:w="0" w:type="dxa"/>
              <w:left w:w="0" w:type="dxa"/>
              <w:bottom w:w="0" w:type="dxa"/>
              <w:right w:w="0" w:type="dxa"/>
            </w:tcMar>
            <w:vAlign w:val="center"/>
          </w:tcPr>
          <w:p w14:paraId="38F3E9AB">
            <w:pPr>
              <w:keepNext w:val="0"/>
              <w:keepLines w:val="0"/>
              <w:pageBreakBefore w:val="0"/>
              <w:widowControl w:val="0"/>
              <w:kinsoku/>
              <w:wordWrap/>
              <w:overflowPunct/>
              <w:topLinePunct w:val="0"/>
              <w:autoSpaceDE w:val="0"/>
              <w:autoSpaceDN w:val="0"/>
              <w:bidi w:val="0"/>
              <w:adjustRightInd w:val="0"/>
              <w:snapToGrid w:val="0"/>
              <w:spacing w:line="360" w:lineRule="exact"/>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设备</w:t>
            </w: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校准证书</w:t>
            </w: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编号</w:t>
            </w:r>
          </w:p>
        </w:tc>
        <w:tc>
          <w:tcPr>
            <w:tcW w:w="887" w:type="pct"/>
            <w:tcBorders>
              <w:tl2br w:val="nil"/>
              <w:tr2bl w:val="nil"/>
            </w:tcBorders>
            <w:noWrap w:val="0"/>
            <w:tcMar>
              <w:top w:w="0" w:type="dxa"/>
              <w:left w:w="0" w:type="dxa"/>
              <w:bottom w:w="0" w:type="dxa"/>
              <w:right w:w="0" w:type="dxa"/>
            </w:tcMar>
            <w:vAlign w:val="center"/>
          </w:tcPr>
          <w:p w14:paraId="4C691B64">
            <w:pPr>
              <w:keepNext w:val="0"/>
              <w:keepLines w:val="0"/>
              <w:pageBreakBefore w:val="0"/>
              <w:widowControl w:val="0"/>
              <w:kinsoku/>
              <w:wordWrap/>
              <w:overflowPunct/>
              <w:topLinePunct w:val="0"/>
              <w:autoSpaceDE w:val="0"/>
              <w:autoSpaceDN w:val="0"/>
              <w:bidi w:val="0"/>
              <w:adjustRightInd w:val="0"/>
              <w:snapToGrid w:val="0"/>
              <w:spacing w:line="360" w:lineRule="exact"/>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检定/校准</w:t>
            </w:r>
          </w:p>
          <w:p w14:paraId="5E0CFCB3">
            <w:pPr>
              <w:keepNext w:val="0"/>
              <w:keepLines w:val="0"/>
              <w:pageBreakBefore w:val="0"/>
              <w:widowControl w:val="0"/>
              <w:kinsoku/>
              <w:wordWrap/>
              <w:overflowPunct/>
              <w:topLinePunct w:val="0"/>
              <w:autoSpaceDE w:val="0"/>
              <w:autoSpaceDN w:val="0"/>
              <w:bidi w:val="0"/>
              <w:adjustRightInd w:val="0"/>
              <w:snapToGrid w:val="0"/>
              <w:spacing w:line="360" w:lineRule="exact"/>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机构</w:t>
            </w:r>
          </w:p>
        </w:tc>
        <w:tc>
          <w:tcPr>
            <w:tcW w:w="974" w:type="pct"/>
            <w:tcBorders>
              <w:tl2br w:val="nil"/>
              <w:tr2bl w:val="nil"/>
            </w:tcBorders>
            <w:noWrap w:val="0"/>
            <w:tcMar>
              <w:top w:w="0" w:type="dxa"/>
              <w:left w:w="0" w:type="dxa"/>
              <w:bottom w:w="0" w:type="dxa"/>
              <w:right w:w="0" w:type="dxa"/>
            </w:tcMar>
            <w:vAlign w:val="center"/>
          </w:tcPr>
          <w:p w14:paraId="2DE2FC21">
            <w:pPr>
              <w:keepNext w:val="0"/>
              <w:keepLines w:val="0"/>
              <w:pageBreakBefore w:val="0"/>
              <w:widowControl w:val="0"/>
              <w:kinsoku/>
              <w:wordWrap/>
              <w:overflowPunct/>
              <w:topLinePunct w:val="0"/>
              <w:autoSpaceDE w:val="0"/>
              <w:autoSpaceDN w:val="0"/>
              <w:bidi w:val="0"/>
              <w:adjustRightInd w:val="0"/>
              <w:snapToGrid w:val="0"/>
              <w:spacing w:line="360" w:lineRule="exact"/>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有效日期</w:t>
            </w:r>
          </w:p>
        </w:tc>
      </w:tr>
      <w:tr w14:paraId="40ADD8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29" w:type="pct"/>
            <w:tcBorders>
              <w:tl2br w:val="nil"/>
              <w:tr2bl w:val="nil"/>
            </w:tcBorders>
            <w:noWrap w:val="0"/>
            <w:tcMar>
              <w:top w:w="0" w:type="dxa"/>
              <w:left w:w="0" w:type="dxa"/>
              <w:bottom w:w="0" w:type="dxa"/>
              <w:right w:w="0" w:type="dxa"/>
            </w:tcMar>
            <w:vAlign w:val="center"/>
          </w:tcPr>
          <w:p w14:paraId="75ED88C1">
            <w:pPr>
              <w:keepNext w:val="0"/>
              <w:keepLines w:val="0"/>
              <w:pageBreakBefore w:val="0"/>
              <w:widowControl w:val="0"/>
              <w:kinsoku/>
              <w:wordWrap/>
              <w:overflowPunct/>
              <w:topLinePunct w:val="0"/>
              <w:autoSpaceDE w:val="0"/>
              <w:autoSpaceDN w:val="0"/>
              <w:bidi w:val="0"/>
              <w:adjustRightInd w:val="0"/>
              <w:snapToGrid w:val="0"/>
              <w:spacing w:line="360" w:lineRule="exact"/>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1</w:t>
            </w:r>
          </w:p>
        </w:tc>
        <w:tc>
          <w:tcPr>
            <w:tcW w:w="356" w:type="pct"/>
            <w:vMerge w:val="restart"/>
            <w:tcBorders>
              <w:tl2br w:val="nil"/>
              <w:tr2bl w:val="nil"/>
            </w:tcBorders>
            <w:noWrap w:val="0"/>
            <w:tcMar>
              <w:top w:w="0" w:type="dxa"/>
              <w:left w:w="0" w:type="dxa"/>
              <w:bottom w:w="0" w:type="dxa"/>
              <w:right w:w="0" w:type="dxa"/>
            </w:tcMar>
            <w:vAlign w:val="center"/>
          </w:tcPr>
          <w:p w14:paraId="64F0DAF4">
            <w:pPr>
              <w:keepNext w:val="0"/>
              <w:keepLines w:val="0"/>
              <w:pageBreakBefore w:val="0"/>
              <w:widowControl w:val="0"/>
              <w:kinsoku/>
              <w:wordWrap/>
              <w:overflowPunct/>
              <w:topLinePunct w:val="0"/>
              <w:autoSpaceDE w:val="0"/>
              <w:autoSpaceDN w:val="0"/>
              <w:bidi w:val="0"/>
              <w:adjustRightInd w:val="0"/>
              <w:snapToGrid w:val="0"/>
              <w:spacing w:line="360" w:lineRule="exact"/>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噪声</w:t>
            </w:r>
          </w:p>
        </w:tc>
        <w:tc>
          <w:tcPr>
            <w:tcW w:w="854" w:type="pct"/>
            <w:tcBorders>
              <w:tl2br w:val="nil"/>
              <w:tr2bl w:val="nil"/>
            </w:tcBorders>
            <w:noWrap w:val="0"/>
            <w:tcMar>
              <w:top w:w="0" w:type="dxa"/>
              <w:left w:w="0" w:type="dxa"/>
              <w:bottom w:w="0" w:type="dxa"/>
              <w:right w:w="0" w:type="dxa"/>
            </w:tcMar>
            <w:vAlign w:val="center"/>
          </w:tcPr>
          <w:p w14:paraId="5D6D86B4">
            <w:pPr>
              <w:keepNext w:val="0"/>
              <w:keepLines w:val="0"/>
              <w:pageBreakBefore w:val="0"/>
              <w:widowControl w:val="0"/>
              <w:kinsoku/>
              <w:wordWrap/>
              <w:overflowPunct/>
              <w:topLinePunct w:val="0"/>
              <w:autoSpaceDE w:val="0"/>
              <w:autoSpaceDN w:val="0"/>
              <w:bidi w:val="0"/>
              <w:adjustRightInd w:val="0"/>
              <w:snapToGrid w:val="0"/>
              <w:spacing w:line="360" w:lineRule="exact"/>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多功能声级计AWA6228+</w:t>
            </w:r>
          </w:p>
        </w:tc>
        <w:tc>
          <w:tcPr>
            <w:tcW w:w="524" w:type="pct"/>
            <w:tcBorders>
              <w:tl2br w:val="nil"/>
              <w:tr2bl w:val="nil"/>
            </w:tcBorders>
            <w:noWrap w:val="0"/>
            <w:tcMar>
              <w:top w:w="0" w:type="dxa"/>
              <w:left w:w="0" w:type="dxa"/>
              <w:bottom w:w="0" w:type="dxa"/>
              <w:right w:w="0" w:type="dxa"/>
            </w:tcMar>
            <w:vAlign w:val="center"/>
          </w:tcPr>
          <w:p w14:paraId="454B421B">
            <w:pPr>
              <w:keepNext w:val="0"/>
              <w:keepLines w:val="0"/>
              <w:pageBreakBefore w:val="0"/>
              <w:widowControl w:val="0"/>
              <w:kinsoku/>
              <w:wordWrap/>
              <w:overflowPunct/>
              <w:topLinePunct w:val="0"/>
              <w:autoSpaceDE w:val="0"/>
              <w:autoSpaceDN w:val="0"/>
              <w:bidi w:val="0"/>
              <w:adjustRightInd w:val="0"/>
              <w:snapToGrid w:val="0"/>
              <w:spacing w:line="360" w:lineRule="exact"/>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14:textFill>
                  <w14:solidFill>
                    <w14:schemeClr w14:val="tx1"/>
                  </w14:solidFill>
                </w14:textFill>
              </w:rPr>
              <w:t>28～133dB（A）</w:t>
            </w:r>
          </w:p>
        </w:tc>
        <w:tc>
          <w:tcPr>
            <w:tcW w:w="1171" w:type="pct"/>
            <w:tcBorders>
              <w:tl2br w:val="nil"/>
              <w:tr2bl w:val="nil"/>
            </w:tcBorders>
            <w:noWrap w:val="0"/>
            <w:tcMar>
              <w:top w:w="0" w:type="dxa"/>
              <w:left w:w="0" w:type="dxa"/>
              <w:bottom w:w="0" w:type="dxa"/>
              <w:right w:w="0" w:type="dxa"/>
            </w:tcMar>
            <w:vAlign w:val="center"/>
          </w:tcPr>
          <w:p w14:paraId="08443EEF">
            <w:pPr>
              <w:keepNext w:val="0"/>
              <w:keepLines w:val="0"/>
              <w:pageBreakBefore w:val="0"/>
              <w:widowControl w:val="0"/>
              <w:kinsoku/>
              <w:wordWrap/>
              <w:overflowPunct/>
              <w:topLinePunct w:val="0"/>
              <w:autoSpaceDE w:val="0"/>
              <w:autoSpaceDN w:val="0"/>
              <w:bidi w:val="0"/>
              <w:adjustRightInd w:val="0"/>
              <w:snapToGrid w:val="0"/>
              <w:spacing w:line="360" w:lineRule="exact"/>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LSsx2024-14092</w:t>
            </w:r>
          </w:p>
        </w:tc>
        <w:tc>
          <w:tcPr>
            <w:tcW w:w="887" w:type="pct"/>
            <w:tcBorders>
              <w:tl2br w:val="nil"/>
              <w:tr2bl w:val="nil"/>
            </w:tcBorders>
            <w:noWrap w:val="0"/>
            <w:tcMar>
              <w:top w:w="0" w:type="dxa"/>
              <w:left w:w="0" w:type="dxa"/>
              <w:bottom w:w="0" w:type="dxa"/>
              <w:right w:w="0" w:type="dxa"/>
            </w:tcMar>
            <w:vAlign w:val="center"/>
          </w:tcPr>
          <w:p w14:paraId="2534A314">
            <w:pPr>
              <w:keepNext w:val="0"/>
              <w:keepLines w:val="0"/>
              <w:pageBreakBefore w:val="0"/>
              <w:widowControl w:val="0"/>
              <w:kinsoku/>
              <w:wordWrap/>
              <w:overflowPunct/>
              <w:topLinePunct w:val="0"/>
              <w:autoSpaceDE w:val="0"/>
              <w:autoSpaceDN w:val="0"/>
              <w:bidi w:val="0"/>
              <w:adjustRightInd w:val="0"/>
              <w:snapToGrid w:val="0"/>
              <w:spacing w:line="360" w:lineRule="exact"/>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14:textFill>
                  <w14:solidFill>
                    <w14:schemeClr w14:val="tx1"/>
                  </w14:solidFill>
                </w14:textFill>
              </w:rPr>
              <w:t>中国计量科学研究院</w:t>
            </w:r>
          </w:p>
        </w:tc>
        <w:tc>
          <w:tcPr>
            <w:tcW w:w="974" w:type="pct"/>
            <w:tcBorders>
              <w:tl2br w:val="nil"/>
              <w:tr2bl w:val="nil"/>
            </w:tcBorders>
            <w:noWrap w:val="0"/>
            <w:tcMar>
              <w:top w:w="0" w:type="dxa"/>
              <w:left w:w="0" w:type="dxa"/>
              <w:bottom w:w="0" w:type="dxa"/>
              <w:right w:w="0" w:type="dxa"/>
            </w:tcMar>
            <w:vAlign w:val="center"/>
          </w:tcPr>
          <w:p w14:paraId="3B951686">
            <w:pPr>
              <w:keepNext w:val="0"/>
              <w:keepLines w:val="0"/>
              <w:pageBreakBefore w:val="0"/>
              <w:widowControl w:val="0"/>
              <w:kinsoku/>
              <w:wordWrap/>
              <w:overflowPunct/>
              <w:topLinePunct w:val="0"/>
              <w:autoSpaceDE w:val="0"/>
              <w:autoSpaceDN w:val="0"/>
              <w:bidi w:val="0"/>
              <w:adjustRightInd w:val="0"/>
              <w:snapToGrid w:val="0"/>
              <w:spacing w:line="360" w:lineRule="exact"/>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14:textFill>
                  <w14:solidFill>
                    <w14:schemeClr w14:val="tx1"/>
                  </w14:solidFill>
                </w14:textFill>
              </w:rPr>
              <w:t>2024年10月17日</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w:t>
            </w:r>
            <w:r>
              <w:rPr>
                <w:rFonts w:hint="eastAsia" w:ascii="Times New Roman" w:hAnsi="Times New Roman" w:cs="Times New Roman" w:eastAsiaTheme="minorEastAsia"/>
                <w:color w:val="000000" w:themeColor="text1"/>
                <w:sz w:val="21"/>
                <w:szCs w:val="21"/>
                <w:highlight w:val="none"/>
                <w14:textFill>
                  <w14:solidFill>
                    <w14:schemeClr w14:val="tx1"/>
                  </w14:solidFill>
                </w14:textFill>
              </w:rPr>
              <w:t>2025年10月16日</w:t>
            </w:r>
          </w:p>
        </w:tc>
      </w:tr>
      <w:tr w14:paraId="159365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29" w:type="pct"/>
            <w:tcBorders>
              <w:tl2br w:val="nil"/>
              <w:tr2bl w:val="nil"/>
            </w:tcBorders>
            <w:noWrap w:val="0"/>
            <w:tcMar>
              <w:top w:w="0" w:type="dxa"/>
              <w:left w:w="0" w:type="dxa"/>
              <w:bottom w:w="0" w:type="dxa"/>
              <w:right w:w="0" w:type="dxa"/>
            </w:tcMar>
            <w:vAlign w:val="center"/>
          </w:tcPr>
          <w:p w14:paraId="482D75AB">
            <w:pPr>
              <w:keepNext w:val="0"/>
              <w:keepLines w:val="0"/>
              <w:pageBreakBefore w:val="0"/>
              <w:widowControl w:val="0"/>
              <w:kinsoku/>
              <w:wordWrap/>
              <w:overflowPunct/>
              <w:topLinePunct w:val="0"/>
              <w:autoSpaceDE w:val="0"/>
              <w:autoSpaceDN w:val="0"/>
              <w:bidi w:val="0"/>
              <w:adjustRightInd w:val="0"/>
              <w:snapToGrid w:val="0"/>
              <w:spacing w:line="360" w:lineRule="exact"/>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2</w:t>
            </w:r>
          </w:p>
        </w:tc>
        <w:tc>
          <w:tcPr>
            <w:tcW w:w="356" w:type="pct"/>
            <w:vMerge w:val="continue"/>
            <w:tcBorders>
              <w:tl2br w:val="nil"/>
              <w:tr2bl w:val="nil"/>
            </w:tcBorders>
            <w:noWrap w:val="0"/>
            <w:tcMar>
              <w:top w:w="0" w:type="dxa"/>
              <w:left w:w="0" w:type="dxa"/>
              <w:bottom w:w="0" w:type="dxa"/>
              <w:right w:w="0" w:type="dxa"/>
            </w:tcMar>
            <w:vAlign w:val="center"/>
          </w:tcPr>
          <w:p w14:paraId="25A512A8">
            <w:pPr>
              <w:keepNext w:val="0"/>
              <w:keepLines w:val="0"/>
              <w:pageBreakBefore w:val="0"/>
              <w:widowControl w:val="0"/>
              <w:kinsoku/>
              <w:wordWrap/>
              <w:overflowPunct/>
              <w:topLinePunct w:val="0"/>
              <w:autoSpaceDE w:val="0"/>
              <w:autoSpaceDN w:val="0"/>
              <w:bidi w:val="0"/>
              <w:adjustRightInd w:val="0"/>
              <w:snapToGrid w:val="0"/>
              <w:spacing w:line="360" w:lineRule="exact"/>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854" w:type="pct"/>
            <w:tcBorders>
              <w:tl2br w:val="nil"/>
              <w:tr2bl w:val="nil"/>
            </w:tcBorders>
            <w:noWrap w:val="0"/>
            <w:tcMar>
              <w:top w:w="0" w:type="dxa"/>
              <w:left w:w="0" w:type="dxa"/>
              <w:bottom w:w="0" w:type="dxa"/>
              <w:right w:w="0" w:type="dxa"/>
            </w:tcMar>
            <w:vAlign w:val="center"/>
          </w:tcPr>
          <w:p w14:paraId="1586C24D">
            <w:pPr>
              <w:keepNext w:val="0"/>
              <w:keepLines w:val="0"/>
              <w:pageBreakBefore w:val="0"/>
              <w:widowControl w:val="0"/>
              <w:kinsoku/>
              <w:wordWrap/>
              <w:overflowPunct/>
              <w:topLinePunct w:val="0"/>
              <w:autoSpaceDE w:val="0"/>
              <w:autoSpaceDN w:val="0"/>
              <w:bidi w:val="0"/>
              <w:adjustRightInd w:val="0"/>
              <w:snapToGrid w:val="0"/>
              <w:spacing w:line="360" w:lineRule="exact"/>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zh-CN"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声校准器</w:t>
            </w:r>
          </w:p>
          <w:p w14:paraId="1C1E2078">
            <w:pPr>
              <w:keepNext w:val="0"/>
              <w:keepLines w:val="0"/>
              <w:pageBreakBefore w:val="0"/>
              <w:widowControl w:val="0"/>
              <w:kinsoku/>
              <w:wordWrap/>
              <w:overflowPunct/>
              <w:topLinePunct w:val="0"/>
              <w:autoSpaceDE w:val="0"/>
              <w:autoSpaceDN w:val="0"/>
              <w:bidi w:val="0"/>
              <w:adjustRightInd w:val="0"/>
              <w:snapToGrid w:val="0"/>
              <w:spacing w:line="360" w:lineRule="exact"/>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AWA6021A</w:t>
            </w:r>
          </w:p>
        </w:tc>
        <w:tc>
          <w:tcPr>
            <w:tcW w:w="524" w:type="pct"/>
            <w:tcBorders>
              <w:tl2br w:val="nil"/>
              <w:tr2bl w:val="nil"/>
            </w:tcBorders>
            <w:noWrap w:val="0"/>
            <w:tcMar>
              <w:top w:w="0" w:type="dxa"/>
              <w:left w:w="0" w:type="dxa"/>
              <w:bottom w:w="0" w:type="dxa"/>
              <w:right w:w="0" w:type="dxa"/>
            </w:tcMar>
            <w:vAlign w:val="center"/>
          </w:tcPr>
          <w:p w14:paraId="1E4846A6">
            <w:pPr>
              <w:keepNext w:val="0"/>
              <w:keepLines w:val="0"/>
              <w:pageBreakBefore w:val="0"/>
              <w:widowControl w:val="0"/>
              <w:kinsoku/>
              <w:wordWrap/>
              <w:overflowPunct/>
              <w:topLinePunct w:val="0"/>
              <w:autoSpaceDE w:val="0"/>
              <w:autoSpaceDN w:val="0"/>
              <w:bidi w:val="0"/>
              <w:adjustRightInd w:val="0"/>
              <w:snapToGrid w:val="0"/>
              <w:spacing w:line="360" w:lineRule="exact"/>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w:t>
            </w:r>
          </w:p>
        </w:tc>
        <w:tc>
          <w:tcPr>
            <w:tcW w:w="1171" w:type="pct"/>
            <w:tcBorders>
              <w:tl2br w:val="nil"/>
              <w:tr2bl w:val="nil"/>
            </w:tcBorders>
            <w:noWrap w:val="0"/>
            <w:tcMar>
              <w:top w:w="0" w:type="dxa"/>
              <w:left w:w="0" w:type="dxa"/>
              <w:bottom w:w="0" w:type="dxa"/>
              <w:right w:w="0" w:type="dxa"/>
            </w:tcMar>
            <w:vAlign w:val="center"/>
          </w:tcPr>
          <w:p w14:paraId="36A59497">
            <w:pPr>
              <w:keepNext w:val="0"/>
              <w:keepLines w:val="0"/>
              <w:pageBreakBefore w:val="0"/>
              <w:widowControl w:val="0"/>
              <w:kinsoku/>
              <w:wordWrap/>
              <w:overflowPunct/>
              <w:topLinePunct w:val="0"/>
              <w:autoSpaceDE w:val="0"/>
              <w:autoSpaceDN w:val="0"/>
              <w:bidi w:val="0"/>
              <w:adjustRightInd w:val="0"/>
              <w:snapToGrid w:val="0"/>
              <w:spacing w:line="360" w:lineRule="exact"/>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14:textFill>
                  <w14:solidFill>
                    <w14:schemeClr w14:val="tx1"/>
                  </w14:solidFill>
                </w14:textFill>
              </w:rPr>
              <w:t>LSsx2024-12886</w:t>
            </w:r>
          </w:p>
        </w:tc>
        <w:tc>
          <w:tcPr>
            <w:tcW w:w="887" w:type="pct"/>
            <w:tcBorders>
              <w:tl2br w:val="nil"/>
              <w:tr2bl w:val="nil"/>
            </w:tcBorders>
            <w:noWrap w:val="0"/>
            <w:tcMar>
              <w:top w:w="0" w:type="dxa"/>
              <w:left w:w="0" w:type="dxa"/>
              <w:bottom w:w="0" w:type="dxa"/>
              <w:right w:w="0" w:type="dxa"/>
            </w:tcMar>
            <w:vAlign w:val="center"/>
          </w:tcPr>
          <w:p w14:paraId="625647C3">
            <w:pPr>
              <w:keepNext w:val="0"/>
              <w:keepLines w:val="0"/>
              <w:pageBreakBefore w:val="0"/>
              <w:widowControl w:val="0"/>
              <w:kinsoku/>
              <w:wordWrap/>
              <w:overflowPunct/>
              <w:topLinePunct w:val="0"/>
              <w:autoSpaceDE w:val="0"/>
              <w:autoSpaceDN w:val="0"/>
              <w:bidi w:val="0"/>
              <w:adjustRightInd w:val="0"/>
              <w:snapToGrid w:val="0"/>
              <w:spacing w:line="360" w:lineRule="exact"/>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14:textFill>
                  <w14:solidFill>
                    <w14:schemeClr w14:val="tx1"/>
                  </w14:solidFill>
                </w14:textFill>
              </w:rPr>
              <w:t>中国计量科学研究院</w:t>
            </w:r>
          </w:p>
        </w:tc>
        <w:tc>
          <w:tcPr>
            <w:tcW w:w="974" w:type="pct"/>
            <w:tcBorders>
              <w:tl2br w:val="nil"/>
              <w:tr2bl w:val="nil"/>
            </w:tcBorders>
            <w:noWrap w:val="0"/>
            <w:tcMar>
              <w:top w:w="0" w:type="dxa"/>
              <w:left w:w="0" w:type="dxa"/>
              <w:bottom w:w="0" w:type="dxa"/>
              <w:right w:w="0" w:type="dxa"/>
            </w:tcMar>
            <w:vAlign w:val="center"/>
          </w:tcPr>
          <w:p w14:paraId="3A5D2ADA">
            <w:pPr>
              <w:keepNext w:val="0"/>
              <w:keepLines w:val="0"/>
              <w:pageBreakBefore w:val="0"/>
              <w:widowControl w:val="0"/>
              <w:kinsoku/>
              <w:wordWrap/>
              <w:overflowPunct/>
              <w:topLinePunct w:val="0"/>
              <w:autoSpaceDE w:val="0"/>
              <w:autoSpaceDN w:val="0"/>
              <w:bidi w:val="0"/>
              <w:adjustRightInd w:val="0"/>
              <w:snapToGrid w:val="0"/>
              <w:spacing w:line="360" w:lineRule="exact"/>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14:textFill>
                  <w14:solidFill>
                    <w14:schemeClr w14:val="tx1"/>
                  </w14:solidFill>
                </w14:textFill>
              </w:rPr>
              <w:t>2024年09月13日</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w:t>
            </w:r>
            <w:r>
              <w:rPr>
                <w:rFonts w:hint="eastAsia" w:ascii="Times New Roman" w:hAnsi="Times New Roman" w:cs="Times New Roman" w:eastAsiaTheme="minorEastAsia"/>
                <w:color w:val="000000" w:themeColor="text1"/>
                <w:sz w:val="21"/>
                <w:szCs w:val="21"/>
                <w:highlight w:val="none"/>
                <w14:textFill>
                  <w14:solidFill>
                    <w14:schemeClr w14:val="tx1"/>
                  </w14:solidFill>
                </w14:textFill>
              </w:rPr>
              <w:t>2025年09月12日</w:t>
            </w:r>
          </w:p>
        </w:tc>
      </w:tr>
      <w:tr w14:paraId="18A580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29" w:type="pct"/>
            <w:tcBorders>
              <w:tl2br w:val="nil"/>
              <w:tr2bl w:val="nil"/>
            </w:tcBorders>
            <w:noWrap w:val="0"/>
            <w:tcMar>
              <w:top w:w="0" w:type="dxa"/>
              <w:left w:w="0" w:type="dxa"/>
              <w:bottom w:w="0" w:type="dxa"/>
              <w:right w:w="0" w:type="dxa"/>
            </w:tcMar>
            <w:vAlign w:val="center"/>
          </w:tcPr>
          <w:p w14:paraId="25BFD099">
            <w:pPr>
              <w:keepNext w:val="0"/>
              <w:keepLines w:val="0"/>
              <w:pageBreakBefore w:val="0"/>
              <w:widowControl w:val="0"/>
              <w:kinsoku/>
              <w:wordWrap/>
              <w:overflowPunct/>
              <w:topLinePunct w:val="0"/>
              <w:autoSpaceDE w:val="0"/>
              <w:autoSpaceDN w:val="0"/>
              <w:bidi w:val="0"/>
              <w:adjustRightInd w:val="0"/>
              <w:snapToGrid w:val="0"/>
              <w:spacing w:line="360" w:lineRule="exact"/>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3</w:t>
            </w:r>
          </w:p>
        </w:tc>
        <w:tc>
          <w:tcPr>
            <w:tcW w:w="356" w:type="pct"/>
            <w:tcBorders>
              <w:tl2br w:val="nil"/>
              <w:tr2bl w:val="nil"/>
            </w:tcBorders>
            <w:noWrap w:val="0"/>
            <w:tcMar>
              <w:top w:w="0" w:type="dxa"/>
              <w:left w:w="0" w:type="dxa"/>
              <w:bottom w:w="0" w:type="dxa"/>
              <w:right w:w="0" w:type="dxa"/>
            </w:tcMar>
            <w:vAlign w:val="center"/>
          </w:tcPr>
          <w:p w14:paraId="6028C421">
            <w:pPr>
              <w:keepNext w:val="0"/>
              <w:keepLines w:val="0"/>
              <w:pageBreakBefore w:val="0"/>
              <w:widowControl w:val="0"/>
              <w:kinsoku/>
              <w:wordWrap/>
              <w:overflowPunct/>
              <w:topLinePunct w:val="0"/>
              <w:autoSpaceDE w:val="0"/>
              <w:autoSpaceDN w:val="0"/>
              <w:bidi w:val="0"/>
              <w:adjustRightInd w:val="0"/>
              <w:snapToGrid w:val="0"/>
              <w:spacing w:line="360" w:lineRule="exact"/>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zh-CN"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zh-CN" w:eastAsia="zh-CN"/>
                <w14:textFill>
                  <w14:solidFill>
                    <w14:schemeClr w14:val="tx1"/>
                  </w14:solidFill>
                </w14:textFill>
              </w:rPr>
              <w:t>风速</w:t>
            </w:r>
          </w:p>
        </w:tc>
        <w:tc>
          <w:tcPr>
            <w:tcW w:w="854" w:type="pct"/>
            <w:tcBorders>
              <w:tl2br w:val="nil"/>
              <w:tr2bl w:val="nil"/>
            </w:tcBorders>
            <w:noWrap w:val="0"/>
            <w:tcMar>
              <w:top w:w="0" w:type="dxa"/>
              <w:left w:w="0" w:type="dxa"/>
              <w:bottom w:w="0" w:type="dxa"/>
              <w:right w:w="0" w:type="dxa"/>
            </w:tcMar>
            <w:vAlign w:val="center"/>
          </w:tcPr>
          <w:p w14:paraId="0C689C49">
            <w:pPr>
              <w:keepNext w:val="0"/>
              <w:keepLines w:val="0"/>
              <w:pageBreakBefore w:val="0"/>
              <w:widowControl w:val="0"/>
              <w:kinsoku/>
              <w:wordWrap/>
              <w:overflowPunct/>
              <w:topLinePunct w:val="0"/>
              <w:autoSpaceDE w:val="0"/>
              <w:autoSpaceDN w:val="0"/>
              <w:bidi w:val="0"/>
              <w:adjustRightInd w:val="0"/>
              <w:snapToGrid w:val="0"/>
              <w:spacing w:line="360" w:lineRule="exact"/>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风速仪</w:t>
            </w:r>
          </w:p>
          <w:p w14:paraId="4774691B">
            <w:pPr>
              <w:keepNext w:val="0"/>
              <w:keepLines w:val="0"/>
              <w:pageBreakBefore w:val="0"/>
              <w:widowControl w:val="0"/>
              <w:kinsoku/>
              <w:wordWrap/>
              <w:overflowPunct/>
              <w:topLinePunct w:val="0"/>
              <w:autoSpaceDE w:val="0"/>
              <w:autoSpaceDN w:val="0"/>
              <w:bidi w:val="0"/>
              <w:adjustRightInd w:val="0"/>
              <w:snapToGrid w:val="0"/>
              <w:spacing w:line="360" w:lineRule="exact"/>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zh-CN"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HT-91</w:t>
            </w:r>
          </w:p>
        </w:tc>
        <w:tc>
          <w:tcPr>
            <w:tcW w:w="524" w:type="pct"/>
            <w:tcBorders>
              <w:tl2br w:val="nil"/>
              <w:tr2bl w:val="nil"/>
            </w:tcBorders>
            <w:noWrap w:val="0"/>
            <w:tcMar>
              <w:top w:w="0" w:type="dxa"/>
              <w:left w:w="0" w:type="dxa"/>
              <w:bottom w:w="0" w:type="dxa"/>
              <w:right w:w="0" w:type="dxa"/>
            </w:tcMar>
            <w:vAlign w:val="center"/>
          </w:tcPr>
          <w:p w14:paraId="5FCCEE43">
            <w:pPr>
              <w:keepNext w:val="0"/>
              <w:keepLines w:val="0"/>
              <w:pageBreakBefore w:val="0"/>
              <w:widowControl w:val="0"/>
              <w:kinsoku/>
              <w:wordWrap/>
              <w:overflowPunct/>
              <w:topLinePunct w:val="0"/>
              <w:autoSpaceDE w:val="0"/>
              <w:autoSpaceDN w:val="0"/>
              <w:bidi w:val="0"/>
              <w:adjustRightInd w:val="0"/>
              <w:snapToGrid w:val="0"/>
              <w:spacing w:line="360" w:lineRule="exact"/>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0.1m/s</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30m/s</w:t>
            </w:r>
          </w:p>
        </w:tc>
        <w:tc>
          <w:tcPr>
            <w:tcW w:w="1171" w:type="pct"/>
            <w:tcBorders>
              <w:tl2br w:val="nil"/>
              <w:tr2bl w:val="nil"/>
            </w:tcBorders>
            <w:noWrap w:val="0"/>
            <w:tcMar>
              <w:top w:w="0" w:type="dxa"/>
              <w:left w:w="0" w:type="dxa"/>
              <w:bottom w:w="0" w:type="dxa"/>
              <w:right w:w="0" w:type="dxa"/>
            </w:tcMar>
            <w:vAlign w:val="center"/>
          </w:tcPr>
          <w:p w14:paraId="3B42567D">
            <w:pPr>
              <w:keepNext w:val="0"/>
              <w:keepLines w:val="0"/>
              <w:pageBreakBefore w:val="0"/>
              <w:widowControl w:val="0"/>
              <w:kinsoku/>
              <w:wordWrap/>
              <w:overflowPunct/>
              <w:topLinePunct w:val="0"/>
              <w:autoSpaceDE w:val="0"/>
              <w:autoSpaceDN w:val="0"/>
              <w:bidi w:val="0"/>
              <w:adjustRightInd w:val="0"/>
              <w:snapToGrid w:val="0"/>
              <w:spacing w:line="360" w:lineRule="exact"/>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J202</w:t>
            </w:r>
            <w:r>
              <w:rPr>
                <w:rFonts w:hint="eastAsia" w:ascii="Times New Roman" w:hAnsi="Times New Roman" w:cs="Times New Roman" w:eastAsiaTheme="minorEastAsia"/>
                <w:color w:val="000000" w:themeColor="text1"/>
                <w:sz w:val="21"/>
                <w:szCs w:val="21"/>
                <w:highlight w:val="none"/>
                <w14:textFill>
                  <w14:solidFill>
                    <w14:schemeClr w14:val="tx1"/>
                  </w14:solidFill>
                </w14:textFill>
              </w:rPr>
              <w:t>4</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0428</w:t>
            </w:r>
            <w:r>
              <w:rPr>
                <w:rFonts w:hint="eastAsia" w:ascii="Times New Roman" w:hAnsi="Times New Roman" w:cs="Times New Roman" w:eastAsiaTheme="minorEastAsia"/>
                <w:color w:val="000000" w:themeColor="text1"/>
                <w:sz w:val="21"/>
                <w:szCs w:val="21"/>
                <w:highlight w:val="none"/>
                <w14:textFill>
                  <w14:solidFill>
                    <w14:schemeClr w14:val="tx1"/>
                  </w14:solidFill>
                </w14:textFill>
              </w:rPr>
              <w:t>11</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35-000</w:t>
            </w:r>
            <w:r>
              <w:rPr>
                <w:rFonts w:hint="eastAsia" w:ascii="Times New Roman" w:hAnsi="Times New Roman" w:cs="Times New Roman" w:eastAsiaTheme="minorEastAsia"/>
                <w:color w:val="000000" w:themeColor="text1"/>
                <w:sz w:val="21"/>
                <w:szCs w:val="21"/>
                <w:highlight w:val="none"/>
                <w14:textFill>
                  <w14:solidFill>
                    <w14:schemeClr w14:val="tx1"/>
                  </w14:solidFill>
                </w14:textFill>
              </w:rPr>
              <w:t>1</w:t>
            </w:r>
          </w:p>
        </w:tc>
        <w:tc>
          <w:tcPr>
            <w:tcW w:w="887" w:type="pct"/>
            <w:tcBorders>
              <w:tl2br w:val="nil"/>
              <w:tr2bl w:val="nil"/>
            </w:tcBorders>
            <w:noWrap w:val="0"/>
            <w:tcMar>
              <w:top w:w="0" w:type="dxa"/>
              <w:left w:w="0" w:type="dxa"/>
              <w:bottom w:w="0" w:type="dxa"/>
              <w:right w:w="0" w:type="dxa"/>
            </w:tcMar>
            <w:vAlign w:val="center"/>
          </w:tcPr>
          <w:p w14:paraId="7369BAB9">
            <w:pPr>
              <w:keepNext w:val="0"/>
              <w:keepLines w:val="0"/>
              <w:pageBreakBefore w:val="0"/>
              <w:widowControl w:val="0"/>
              <w:kinsoku/>
              <w:wordWrap/>
              <w:overflowPunct/>
              <w:topLinePunct w:val="0"/>
              <w:autoSpaceDE w:val="0"/>
              <w:autoSpaceDN w:val="0"/>
              <w:bidi w:val="0"/>
              <w:adjustRightInd w:val="0"/>
              <w:snapToGrid w:val="0"/>
              <w:spacing w:line="360" w:lineRule="exact"/>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zh-CN"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广电计量检测集团股份有限公司</w:t>
            </w:r>
          </w:p>
        </w:tc>
        <w:tc>
          <w:tcPr>
            <w:tcW w:w="974" w:type="pct"/>
            <w:tcBorders>
              <w:tl2br w:val="nil"/>
              <w:tr2bl w:val="nil"/>
            </w:tcBorders>
            <w:noWrap w:val="0"/>
            <w:tcMar>
              <w:top w:w="0" w:type="dxa"/>
              <w:left w:w="0" w:type="dxa"/>
              <w:bottom w:w="0" w:type="dxa"/>
              <w:right w:w="0" w:type="dxa"/>
            </w:tcMar>
            <w:vAlign w:val="center"/>
          </w:tcPr>
          <w:p w14:paraId="13E5BA28">
            <w:pPr>
              <w:keepNext w:val="0"/>
              <w:keepLines w:val="0"/>
              <w:pageBreakBefore w:val="0"/>
              <w:widowControl w:val="0"/>
              <w:kinsoku/>
              <w:wordWrap/>
              <w:overflowPunct/>
              <w:topLinePunct w:val="0"/>
              <w:autoSpaceDE w:val="0"/>
              <w:autoSpaceDN w:val="0"/>
              <w:bidi w:val="0"/>
              <w:adjustRightInd w:val="0"/>
              <w:snapToGrid w:val="0"/>
              <w:spacing w:line="360" w:lineRule="exact"/>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202</w:t>
            </w:r>
            <w:r>
              <w:rPr>
                <w:rFonts w:hint="eastAsia" w:ascii="Times New Roman" w:hAnsi="Times New Roman" w:cs="Times New Roman" w:eastAsiaTheme="minorEastAsia"/>
                <w:color w:val="000000" w:themeColor="text1"/>
                <w:sz w:val="21"/>
                <w:szCs w:val="21"/>
                <w:highlight w:val="none"/>
                <w14:textFill>
                  <w14:solidFill>
                    <w14:schemeClr w14:val="tx1"/>
                  </w14:solidFill>
                </w14:textFill>
              </w:rPr>
              <w:t>5</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年0</w:t>
            </w:r>
            <w:r>
              <w:rPr>
                <w:rFonts w:hint="eastAsia" w:ascii="Times New Roman" w:hAnsi="Times New Roman" w:cs="Times New Roman" w:eastAsiaTheme="minorEastAsia"/>
                <w:color w:val="000000" w:themeColor="text1"/>
                <w:sz w:val="21"/>
                <w:szCs w:val="21"/>
                <w:highlight w:val="none"/>
                <w14:textFill>
                  <w14:solidFill>
                    <w14:schemeClr w14:val="tx1"/>
                  </w14:solidFill>
                </w14:textFill>
              </w:rPr>
              <w:t>4</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月</w:t>
            </w:r>
            <w:r>
              <w:rPr>
                <w:rFonts w:hint="eastAsia" w:ascii="Times New Roman" w:hAnsi="Times New Roman" w:cs="Times New Roman" w:eastAsiaTheme="minorEastAsia"/>
                <w:color w:val="000000" w:themeColor="text1"/>
                <w:sz w:val="21"/>
                <w:szCs w:val="21"/>
                <w:highlight w:val="none"/>
                <w14:textFill>
                  <w14:solidFill>
                    <w14:schemeClr w14:val="tx1"/>
                  </w14:solidFill>
                </w14:textFill>
              </w:rPr>
              <w:t>16</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日</w:t>
            </w:r>
            <w:r>
              <w:rPr>
                <w:rFonts w:hint="eastAsia" w:ascii="Times New Roman" w:hAnsi="Times New Roman" w:cs="Times New Roman" w:eastAsiaTheme="minorEastAsia"/>
                <w:color w:val="000000" w:themeColor="text1"/>
                <w:sz w:val="21"/>
                <w:szCs w:val="21"/>
                <w:highlight w:val="none"/>
                <w14:textFill>
                  <w14:solidFill>
                    <w14:schemeClr w14:val="tx1"/>
                  </w14:solidFill>
                </w14:textFill>
              </w:rPr>
              <w:t xml:space="preserve"> </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w:t>
            </w:r>
            <w:r>
              <w:rPr>
                <w:rFonts w:hint="eastAsia" w:ascii="Times New Roman" w:hAnsi="Times New Roman" w:cs="Times New Roman" w:eastAsiaTheme="minorEastAsia"/>
                <w:color w:val="000000" w:themeColor="text1"/>
                <w:sz w:val="21"/>
                <w:szCs w:val="21"/>
                <w:highlight w:val="none"/>
                <w14:textFill>
                  <w14:solidFill>
                    <w14:schemeClr w14:val="tx1"/>
                  </w14:solidFill>
                </w14:textFill>
              </w:rPr>
              <w:t xml:space="preserve"> </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202</w:t>
            </w:r>
            <w:r>
              <w:rPr>
                <w:rFonts w:hint="eastAsia" w:ascii="Times New Roman" w:hAnsi="Times New Roman" w:cs="Times New Roman" w:eastAsiaTheme="minorEastAsia"/>
                <w:color w:val="000000" w:themeColor="text1"/>
                <w:sz w:val="21"/>
                <w:szCs w:val="21"/>
                <w:highlight w:val="none"/>
                <w14:textFill>
                  <w14:solidFill>
                    <w14:schemeClr w14:val="tx1"/>
                  </w14:solidFill>
                </w14:textFill>
              </w:rPr>
              <w:t>6</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年0</w:t>
            </w:r>
            <w:r>
              <w:rPr>
                <w:rFonts w:hint="eastAsia" w:ascii="Times New Roman" w:hAnsi="Times New Roman" w:cs="Times New Roman" w:eastAsiaTheme="minorEastAsia"/>
                <w:color w:val="000000" w:themeColor="text1"/>
                <w:sz w:val="21"/>
                <w:szCs w:val="21"/>
                <w:highlight w:val="none"/>
                <w14:textFill>
                  <w14:solidFill>
                    <w14:schemeClr w14:val="tx1"/>
                  </w14:solidFill>
                </w14:textFill>
              </w:rPr>
              <w:t>4</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月</w:t>
            </w:r>
            <w:r>
              <w:rPr>
                <w:rFonts w:hint="eastAsia" w:ascii="Times New Roman" w:hAnsi="Times New Roman" w:cs="Times New Roman" w:eastAsiaTheme="minorEastAsia"/>
                <w:color w:val="000000" w:themeColor="text1"/>
                <w:sz w:val="21"/>
                <w:szCs w:val="21"/>
                <w:highlight w:val="none"/>
                <w14:textFill>
                  <w14:solidFill>
                    <w14:schemeClr w14:val="tx1"/>
                  </w14:solidFill>
                </w14:textFill>
              </w:rPr>
              <w:t>15</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日</w:t>
            </w:r>
          </w:p>
        </w:tc>
      </w:tr>
      <w:tr w14:paraId="7EBB7A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29" w:type="pct"/>
            <w:tcBorders>
              <w:tl2br w:val="nil"/>
              <w:tr2bl w:val="nil"/>
            </w:tcBorders>
            <w:noWrap w:val="0"/>
            <w:tcMar>
              <w:top w:w="0" w:type="dxa"/>
              <w:left w:w="0" w:type="dxa"/>
              <w:bottom w:w="0" w:type="dxa"/>
              <w:right w:w="0" w:type="dxa"/>
            </w:tcMar>
            <w:vAlign w:val="center"/>
          </w:tcPr>
          <w:p w14:paraId="4B12688A">
            <w:pPr>
              <w:keepNext w:val="0"/>
              <w:keepLines w:val="0"/>
              <w:pageBreakBefore w:val="0"/>
              <w:widowControl w:val="0"/>
              <w:kinsoku/>
              <w:wordWrap/>
              <w:overflowPunct/>
              <w:topLinePunct w:val="0"/>
              <w:autoSpaceDE w:val="0"/>
              <w:autoSpaceDN w:val="0"/>
              <w:bidi w:val="0"/>
              <w:adjustRightInd w:val="0"/>
              <w:snapToGrid w:val="0"/>
              <w:spacing w:line="360" w:lineRule="exact"/>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4</w:t>
            </w:r>
          </w:p>
        </w:tc>
        <w:tc>
          <w:tcPr>
            <w:tcW w:w="356" w:type="pct"/>
            <w:tcBorders>
              <w:tl2br w:val="nil"/>
              <w:tr2bl w:val="nil"/>
            </w:tcBorders>
            <w:noWrap w:val="0"/>
            <w:tcMar>
              <w:top w:w="0" w:type="dxa"/>
              <w:left w:w="0" w:type="dxa"/>
              <w:bottom w:w="0" w:type="dxa"/>
              <w:right w:w="0" w:type="dxa"/>
            </w:tcMar>
            <w:vAlign w:val="center"/>
          </w:tcPr>
          <w:p w14:paraId="21DDB5E5">
            <w:pPr>
              <w:keepNext w:val="0"/>
              <w:keepLines w:val="0"/>
              <w:pageBreakBefore w:val="0"/>
              <w:widowControl w:val="0"/>
              <w:kinsoku/>
              <w:wordWrap/>
              <w:overflowPunct/>
              <w:topLinePunct w:val="0"/>
              <w:autoSpaceDE w:val="0"/>
              <w:autoSpaceDN w:val="0"/>
              <w:bidi w:val="0"/>
              <w:adjustRightInd w:val="0"/>
              <w:snapToGrid w:val="0"/>
              <w:spacing w:line="360" w:lineRule="exact"/>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温</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湿度</w:t>
            </w:r>
          </w:p>
        </w:tc>
        <w:tc>
          <w:tcPr>
            <w:tcW w:w="854" w:type="pct"/>
            <w:tcBorders>
              <w:tl2br w:val="nil"/>
              <w:tr2bl w:val="nil"/>
            </w:tcBorders>
            <w:noWrap w:val="0"/>
            <w:tcMar>
              <w:top w:w="0" w:type="dxa"/>
              <w:left w:w="0" w:type="dxa"/>
              <w:bottom w:w="0" w:type="dxa"/>
              <w:right w:w="0" w:type="dxa"/>
            </w:tcMar>
            <w:vAlign w:val="center"/>
          </w:tcPr>
          <w:p w14:paraId="4BA900F3">
            <w:pPr>
              <w:keepNext w:val="0"/>
              <w:keepLines w:val="0"/>
              <w:pageBreakBefore w:val="0"/>
              <w:widowControl w:val="0"/>
              <w:kinsoku/>
              <w:wordWrap/>
              <w:overflowPunct/>
              <w:topLinePunct w:val="0"/>
              <w:autoSpaceDE w:val="0"/>
              <w:autoSpaceDN w:val="0"/>
              <w:bidi w:val="0"/>
              <w:adjustRightInd w:val="0"/>
              <w:snapToGrid w:val="0"/>
              <w:spacing w:line="360" w:lineRule="exact"/>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数字温湿度计TY-2060</w:t>
            </w:r>
          </w:p>
        </w:tc>
        <w:tc>
          <w:tcPr>
            <w:tcW w:w="524" w:type="pct"/>
            <w:tcBorders>
              <w:tl2br w:val="nil"/>
              <w:tr2bl w:val="nil"/>
            </w:tcBorders>
            <w:noWrap w:val="0"/>
            <w:tcMar>
              <w:top w:w="0" w:type="dxa"/>
              <w:left w:w="0" w:type="dxa"/>
              <w:bottom w:w="0" w:type="dxa"/>
              <w:right w:w="0" w:type="dxa"/>
            </w:tcMar>
            <w:vAlign w:val="center"/>
          </w:tcPr>
          <w:p w14:paraId="6B1A4299">
            <w:pPr>
              <w:keepNext w:val="0"/>
              <w:keepLines w:val="0"/>
              <w:pageBreakBefore w:val="0"/>
              <w:widowControl w:val="0"/>
              <w:kinsoku/>
              <w:wordWrap/>
              <w:overflowPunct/>
              <w:topLinePunct w:val="0"/>
              <w:autoSpaceDE w:val="0"/>
              <w:autoSpaceDN w:val="0"/>
              <w:bidi w:val="0"/>
              <w:adjustRightInd w:val="0"/>
              <w:snapToGrid w:val="0"/>
              <w:spacing w:line="360" w:lineRule="exact"/>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-20℃</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60℃</w:t>
            </w:r>
          </w:p>
        </w:tc>
        <w:tc>
          <w:tcPr>
            <w:tcW w:w="1171" w:type="pct"/>
            <w:tcBorders>
              <w:tl2br w:val="nil"/>
              <w:tr2bl w:val="nil"/>
            </w:tcBorders>
            <w:noWrap w:val="0"/>
            <w:tcMar>
              <w:top w:w="0" w:type="dxa"/>
              <w:left w:w="0" w:type="dxa"/>
              <w:bottom w:w="0" w:type="dxa"/>
              <w:right w:w="0" w:type="dxa"/>
            </w:tcMar>
            <w:vAlign w:val="center"/>
          </w:tcPr>
          <w:p w14:paraId="14E65C26">
            <w:pPr>
              <w:keepNext w:val="0"/>
              <w:keepLines w:val="0"/>
              <w:pageBreakBefore w:val="0"/>
              <w:widowControl w:val="0"/>
              <w:kinsoku/>
              <w:wordWrap/>
              <w:overflowPunct/>
              <w:topLinePunct w:val="0"/>
              <w:autoSpaceDE w:val="0"/>
              <w:autoSpaceDN w:val="0"/>
              <w:bidi w:val="0"/>
              <w:adjustRightInd w:val="0"/>
              <w:snapToGrid w:val="0"/>
              <w:spacing w:line="360" w:lineRule="exact"/>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J202</w:t>
            </w:r>
            <w:r>
              <w:rPr>
                <w:rFonts w:hint="eastAsia" w:ascii="Times New Roman" w:hAnsi="Times New Roman" w:cs="Times New Roman" w:eastAsiaTheme="minorEastAsia"/>
                <w:color w:val="000000" w:themeColor="text1"/>
                <w:sz w:val="21"/>
                <w:szCs w:val="21"/>
                <w:highlight w:val="none"/>
                <w14:textFill>
                  <w14:solidFill>
                    <w14:schemeClr w14:val="tx1"/>
                  </w14:solidFill>
                </w14:textFill>
              </w:rPr>
              <w:t>504094484</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w:t>
            </w:r>
            <w:r>
              <w:rPr>
                <w:rFonts w:hint="eastAsia" w:ascii="Times New Roman" w:hAnsi="Times New Roman" w:cs="Times New Roman" w:eastAsiaTheme="minorEastAsia"/>
                <w:color w:val="000000" w:themeColor="text1"/>
                <w:sz w:val="21"/>
                <w:szCs w:val="21"/>
                <w:highlight w:val="none"/>
                <w14:textFill>
                  <w14:solidFill>
                    <w14:schemeClr w14:val="tx1"/>
                  </w14:solidFill>
                </w14:textFill>
              </w:rPr>
              <w:t>01-</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000</w:t>
            </w:r>
            <w:r>
              <w:rPr>
                <w:rFonts w:hint="eastAsia" w:ascii="Times New Roman" w:hAnsi="Times New Roman" w:cs="Times New Roman" w:eastAsiaTheme="minorEastAsia"/>
                <w:color w:val="000000" w:themeColor="text1"/>
                <w:sz w:val="21"/>
                <w:szCs w:val="21"/>
                <w:highlight w:val="none"/>
                <w14:textFill>
                  <w14:solidFill>
                    <w14:schemeClr w14:val="tx1"/>
                  </w14:solidFill>
                </w14:textFill>
              </w:rPr>
              <w:t>3</w:t>
            </w:r>
          </w:p>
        </w:tc>
        <w:tc>
          <w:tcPr>
            <w:tcW w:w="887" w:type="pct"/>
            <w:tcBorders>
              <w:tl2br w:val="nil"/>
              <w:tr2bl w:val="nil"/>
            </w:tcBorders>
            <w:noWrap w:val="0"/>
            <w:tcMar>
              <w:top w:w="0" w:type="dxa"/>
              <w:left w:w="0" w:type="dxa"/>
              <w:bottom w:w="0" w:type="dxa"/>
              <w:right w:w="0" w:type="dxa"/>
            </w:tcMar>
            <w:vAlign w:val="center"/>
          </w:tcPr>
          <w:p w14:paraId="1A5A7919">
            <w:pPr>
              <w:keepNext w:val="0"/>
              <w:keepLines w:val="0"/>
              <w:pageBreakBefore w:val="0"/>
              <w:widowControl w:val="0"/>
              <w:kinsoku/>
              <w:wordWrap/>
              <w:overflowPunct/>
              <w:topLinePunct w:val="0"/>
              <w:autoSpaceDE w:val="0"/>
              <w:autoSpaceDN w:val="0"/>
              <w:bidi w:val="0"/>
              <w:adjustRightInd w:val="0"/>
              <w:snapToGrid w:val="0"/>
              <w:spacing w:line="360" w:lineRule="exact"/>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广电计量检测集团股份有限公司</w:t>
            </w:r>
          </w:p>
        </w:tc>
        <w:tc>
          <w:tcPr>
            <w:tcW w:w="974" w:type="pct"/>
            <w:tcBorders>
              <w:tl2br w:val="nil"/>
              <w:tr2bl w:val="nil"/>
            </w:tcBorders>
            <w:noWrap w:val="0"/>
            <w:tcMar>
              <w:top w:w="0" w:type="dxa"/>
              <w:left w:w="0" w:type="dxa"/>
              <w:bottom w:w="0" w:type="dxa"/>
              <w:right w:w="0" w:type="dxa"/>
            </w:tcMar>
            <w:vAlign w:val="center"/>
          </w:tcPr>
          <w:p w14:paraId="37AD351C">
            <w:pPr>
              <w:keepNext w:val="0"/>
              <w:keepLines w:val="0"/>
              <w:pageBreakBefore w:val="0"/>
              <w:widowControl w:val="0"/>
              <w:kinsoku/>
              <w:wordWrap/>
              <w:overflowPunct/>
              <w:topLinePunct w:val="0"/>
              <w:autoSpaceDE w:val="0"/>
              <w:autoSpaceDN w:val="0"/>
              <w:bidi w:val="0"/>
              <w:adjustRightInd w:val="0"/>
              <w:snapToGrid w:val="0"/>
              <w:spacing w:line="360" w:lineRule="exact"/>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202</w:t>
            </w:r>
            <w:r>
              <w:rPr>
                <w:rFonts w:hint="eastAsia" w:ascii="Times New Roman" w:hAnsi="Times New Roman" w:cs="Times New Roman" w:eastAsiaTheme="minorEastAsia"/>
                <w:color w:val="000000" w:themeColor="text1"/>
                <w:sz w:val="21"/>
                <w:szCs w:val="21"/>
                <w:highlight w:val="none"/>
                <w14:textFill>
                  <w14:solidFill>
                    <w14:schemeClr w14:val="tx1"/>
                  </w14:solidFill>
                </w14:textFill>
              </w:rPr>
              <w:t>5</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年0</w:t>
            </w:r>
            <w:r>
              <w:rPr>
                <w:rFonts w:hint="eastAsia" w:ascii="Times New Roman" w:hAnsi="Times New Roman" w:cs="Times New Roman" w:eastAsiaTheme="minorEastAsia"/>
                <w:color w:val="000000" w:themeColor="text1"/>
                <w:sz w:val="21"/>
                <w:szCs w:val="21"/>
                <w:highlight w:val="none"/>
                <w14:textFill>
                  <w14:solidFill>
                    <w14:schemeClr w14:val="tx1"/>
                  </w14:solidFill>
                </w14:textFill>
              </w:rPr>
              <w:t>4</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月</w:t>
            </w:r>
            <w:r>
              <w:rPr>
                <w:rFonts w:hint="eastAsia" w:ascii="Times New Roman" w:hAnsi="Times New Roman" w:cs="Times New Roman" w:eastAsiaTheme="minorEastAsia"/>
                <w:color w:val="000000" w:themeColor="text1"/>
                <w:sz w:val="21"/>
                <w:szCs w:val="21"/>
                <w:highlight w:val="none"/>
                <w14:textFill>
                  <w14:solidFill>
                    <w14:schemeClr w14:val="tx1"/>
                  </w14:solidFill>
                </w14:textFill>
              </w:rPr>
              <w:t>14</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日</w:t>
            </w:r>
            <w:r>
              <w:rPr>
                <w:rFonts w:hint="eastAsia" w:ascii="Times New Roman" w:hAnsi="Times New Roman" w:cs="Times New Roman" w:eastAsiaTheme="minorEastAsia"/>
                <w:color w:val="000000" w:themeColor="text1"/>
                <w:sz w:val="21"/>
                <w:szCs w:val="21"/>
                <w:highlight w:val="none"/>
                <w14:textFill>
                  <w14:solidFill>
                    <w14:schemeClr w14:val="tx1"/>
                  </w14:solidFill>
                </w14:textFill>
              </w:rPr>
              <w:t xml:space="preserve"> </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w:t>
            </w:r>
            <w:r>
              <w:rPr>
                <w:rFonts w:hint="eastAsia" w:ascii="Times New Roman" w:hAnsi="Times New Roman" w:cs="Times New Roman" w:eastAsiaTheme="minorEastAsia"/>
                <w:color w:val="000000" w:themeColor="text1"/>
                <w:sz w:val="21"/>
                <w:szCs w:val="21"/>
                <w:highlight w:val="none"/>
                <w14:textFill>
                  <w14:solidFill>
                    <w14:schemeClr w14:val="tx1"/>
                  </w14:solidFill>
                </w14:textFill>
              </w:rPr>
              <w:t xml:space="preserve"> </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202</w:t>
            </w:r>
            <w:r>
              <w:rPr>
                <w:rFonts w:hint="eastAsia" w:ascii="Times New Roman" w:hAnsi="Times New Roman" w:cs="Times New Roman" w:eastAsiaTheme="minorEastAsia"/>
                <w:color w:val="000000" w:themeColor="text1"/>
                <w:sz w:val="21"/>
                <w:szCs w:val="21"/>
                <w:highlight w:val="none"/>
                <w14:textFill>
                  <w14:solidFill>
                    <w14:schemeClr w14:val="tx1"/>
                  </w14:solidFill>
                </w14:textFill>
              </w:rPr>
              <w:t>6</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年0</w:t>
            </w:r>
            <w:r>
              <w:rPr>
                <w:rFonts w:hint="eastAsia" w:ascii="Times New Roman" w:hAnsi="Times New Roman" w:cs="Times New Roman" w:eastAsiaTheme="minorEastAsia"/>
                <w:color w:val="000000" w:themeColor="text1"/>
                <w:sz w:val="21"/>
                <w:szCs w:val="21"/>
                <w:highlight w:val="none"/>
                <w14:textFill>
                  <w14:solidFill>
                    <w14:schemeClr w14:val="tx1"/>
                  </w14:solidFill>
                </w14:textFill>
              </w:rPr>
              <w:t>4</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月</w:t>
            </w:r>
            <w:r>
              <w:rPr>
                <w:rFonts w:hint="eastAsia" w:ascii="Times New Roman" w:hAnsi="Times New Roman" w:cs="Times New Roman" w:eastAsiaTheme="minorEastAsia"/>
                <w:color w:val="000000" w:themeColor="text1"/>
                <w:sz w:val="21"/>
                <w:szCs w:val="21"/>
                <w:highlight w:val="none"/>
                <w14:textFill>
                  <w14:solidFill>
                    <w14:schemeClr w14:val="tx1"/>
                  </w14:solidFill>
                </w14:textFill>
              </w:rPr>
              <w:t>13</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日</w:t>
            </w:r>
          </w:p>
        </w:tc>
      </w:tr>
    </w:tbl>
    <w:p w14:paraId="4FDBF597">
      <w:pPr>
        <w:autoSpaceDE w:val="0"/>
        <w:autoSpaceDN w:val="0"/>
        <w:adjustRightInd w:val="0"/>
        <w:snapToGrid w:val="0"/>
        <w:spacing w:line="240" w:lineRule="auto"/>
        <w:ind w:firstLine="480" w:firstLineChars="200"/>
        <w:rPr>
          <w:rFonts w:hint="default" w:ascii="Times New Roman" w:hAnsi="Times New Roman" w:cs="Times New Roman" w:eastAsiaTheme="minorEastAsia"/>
          <w:color w:val="FF0000"/>
          <w:sz w:val="24"/>
          <w:highlight w:val="none"/>
        </w:rPr>
      </w:pPr>
    </w:p>
    <w:p w14:paraId="5D55F715">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firstLine="480" w:firstLineChars="200"/>
        <w:textAlignment w:val="auto"/>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14:textFill>
            <w14:solidFill>
              <w14:schemeClr w14:val="tx1"/>
            </w14:solidFill>
          </w14:textFill>
        </w:rPr>
        <w:t>监测条件：202</w:t>
      </w:r>
      <w:r>
        <w:rPr>
          <w:rFonts w:hint="eastAsia" w:ascii="Times New Roman" w:hAnsi="Times New Roman" w:cs="Times New Roman" w:eastAsiaTheme="minorEastAsia"/>
          <w:color w:val="000000" w:themeColor="text1"/>
          <w:sz w:val="24"/>
          <w:highlight w:val="none"/>
          <w:lang w:val="en-US" w:eastAsia="zh-CN"/>
          <w14:textFill>
            <w14:solidFill>
              <w14:schemeClr w14:val="tx1"/>
            </w14:solidFill>
          </w14:textFill>
        </w:rPr>
        <w:t>5</w:t>
      </w:r>
      <w:r>
        <w:rPr>
          <w:rFonts w:hint="default" w:ascii="Times New Roman" w:hAnsi="Times New Roman" w:cs="Times New Roman" w:eastAsiaTheme="minorEastAsia"/>
          <w:color w:val="000000" w:themeColor="text1"/>
          <w:sz w:val="24"/>
          <w:highlight w:val="none"/>
          <w14:textFill>
            <w14:solidFill>
              <w14:schemeClr w14:val="tx1"/>
            </w14:solidFill>
          </w14:textFill>
        </w:rPr>
        <w:t>年</w:t>
      </w:r>
      <w:r>
        <w:rPr>
          <w:rFonts w:hint="eastAsia" w:ascii="Times New Roman" w:hAnsi="Times New Roman" w:cs="Times New Roman" w:eastAsiaTheme="minorEastAsia"/>
          <w:color w:val="000000" w:themeColor="text1"/>
          <w:sz w:val="24"/>
          <w:highlight w:val="none"/>
          <w:lang w:val="en-US" w:eastAsia="zh-CN"/>
          <w14:textFill>
            <w14:solidFill>
              <w14:schemeClr w14:val="tx1"/>
            </w14:solidFill>
          </w14:textFill>
        </w:rPr>
        <w:t>7</w:t>
      </w:r>
      <w:r>
        <w:rPr>
          <w:rFonts w:hint="default" w:ascii="Times New Roman" w:hAnsi="Times New Roman" w:cs="Times New Roman" w:eastAsiaTheme="minorEastAsia"/>
          <w:color w:val="000000" w:themeColor="text1"/>
          <w:sz w:val="24"/>
          <w:highlight w:val="none"/>
          <w14:textFill>
            <w14:solidFill>
              <w14:schemeClr w14:val="tx1"/>
            </w14:solidFill>
          </w14:textFill>
        </w:rPr>
        <w:t>月</w:t>
      </w:r>
      <w:r>
        <w:rPr>
          <w:rFonts w:hint="eastAsia" w:ascii="Times New Roman" w:hAnsi="Times New Roman" w:cs="Times New Roman" w:eastAsiaTheme="minorEastAsia"/>
          <w:color w:val="000000" w:themeColor="text1"/>
          <w:sz w:val="24"/>
          <w:highlight w:val="none"/>
          <w:lang w:val="en-US" w:eastAsia="zh-CN"/>
          <w14:textFill>
            <w14:solidFill>
              <w14:schemeClr w14:val="tx1"/>
            </w14:solidFill>
          </w14:textFill>
        </w:rPr>
        <w:t>8</w:t>
      </w:r>
      <w:r>
        <w:rPr>
          <w:rFonts w:hint="default" w:ascii="Times New Roman" w:hAnsi="Times New Roman" w:cs="Times New Roman" w:eastAsiaTheme="minorEastAsia"/>
          <w:color w:val="000000" w:themeColor="text1"/>
          <w:sz w:val="24"/>
          <w:highlight w:val="none"/>
          <w14:textFill>
            <w14:solidFill>
              <w14:schemeClr w14:val="tx1"/>
            </w14:solidFill>
          </w14:textFill>
        </w:rPr>
        <w:t>日：天气</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晴</w:t>
      </w:r>
      <w:r>
        <w:rPr>
          <w:rFonts w:hint="default" w:ascii="Times New Roman" w:hAnsi="Times New Roman" w:cs="Times New Roman" w:eastAsiaTheme="minorEastAsia"/>
          <w:color w:val="000000" w:themeColor="text1"/>
          <w:sz w:val="24"/>
          <w:highlight w:val="none"/>
          <w14:textFill>
            <w14:solidFill>
              <w14:schemeClr w14:val="tx1"/>
            </w14:solidFill>
          </w14:textFill>
        </w:rPr>
        <w:t>、相对湿度</w:t>
      </w:r>
      <w:r>
        <w:rPr>
          <w:rFonts w:hint="eastAsia" w:ascii="Times New Roman" w:hAnsi="Times New Roman" w:cs="Times New Roman" w:eastAsiaTheme="minorEastAsia"/>
          <w:color w:val="000000" w:themeColor="text1"/>
          <w:sz w:val="24"/>
          <w:highlight w:val="none"/>
          <w:lang w:val="en-US" w:eastAsia="zh-CN"/>
          <w14:textFill>
            <w14:solidFill>
              <w14:schemeClr w14:val="tx1"/>
            </w14:solidFill>
          </w14:textFill>
        </w:rPr>
        <w:t>21</w:t>
      </w:r>
      <w:r>
        <w:rPr>
          <w:rFonts w:hint="eastAsia" w:cs="Times New Roman" w:eastAsiaTheme="minorEastAsia"/>
          <w:color w:val="000000" w:themeColor="text1"/>
          <w:sz w:val="24"/>
          <w:highlight w:val="none"/>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highlight w:val="none"/>
          <w14:textFill>
            <w14:solidFill>
              <w14:schemeClr w14:val="tx1"/>
            </w14:solidFill>
          </w14:textFill>
        </w:rPr>
        <w:t>～</w:t>
      </w:r>
      <w:r>
        <w:rPr>
          <w:rFonts w:hint="eastAsia" w:ascii="Times New Roman" w:hAnsi="Times New Roman" w:cs="Times New Roman" w:eastAsiaTheme="minorEastAsia"/>
          <w:color w:val="000000" w:themeColor="text1"/>
          <w:sz w:val="24"/>
          <w:highlight w:val="none"/>
          <w:lang w:val="en-US" w:eastAsia="zh-CN"/>
          <w14:textFill>
            <w14:solidFill>
              <w14:schemeClr w14:val="tx1"/>
            </w14:solidFill>
          </w14:textFill>
        </w:rPr>
        <w:t>29</w:t>
      </w:r>
      <w:r>
        <w:rPr>
          <w:rFonts w:hint="eastAsia" w:cs="Times New Roman" w:eastAsiaTheme="minorEastAsia"/>
          <w:color w:val="000000" w:themeColor="text1"/>
          <w:sz w:val="24"/>
          <w:highlight w:val="none"/>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highlight w:val="none"/>
          <w14:textFill>
            <w14:solidFill>
              <w14:schemeClr w14:val="tx1"/>
            </w14:solidFill>
          </w14:textFill>
        </w:rPr>
        <w:t>、温度</w:t>
      </w:r>
      <w:r>
        <w:rPr>
          <w:rFonts w:hint="eastAsia" w:ascii="Times New Roman" w:hAnsi="Times New Roman" w:cs="Times New Roman" w:eastAsiaTheme="minorEastAsia"/>
          <w:color w:val="000000" w:themeColor="text1"/>
          <w:sz w:val="24"/>
          <w:highlight w:val="none"/>
          <w:lang w:val="en-US" w:eastAsia="zh-CN"/>
          <w14:textFill>
            <w14:solidFill>
              <w14:schemeClr w14:val="tx1"/>
            </w14:solidFill>
          </w14:textFill>
        </w:rPr>
        <w:t>2</w:t>
      </w:r>
      <w:r>
        <w:rPr>
          <w:rFonts w:hint="eastAsia" w:cs="Times New Roman" w:eastAsiaTheme="minorEastAsia"/>
          <w:color w:val="000000" w:themeColor="text1"/>
          <w:sz w:val="24"/>
          <w:highlight w:val="none"/>
          <w:lang w:val="en-US" w:eastAsia="zh-CN"/>
          <w14:textFill>
            <w14:solidFill>
              <w14:schemeClr w14:val="tx1"/>
            </w14:solidFill>
          </w14:textFill>
        </w:rPr>
        <w:t>2</w:t>
      </w:r>
      <w:r>
        <w:rPr>
          <w:rFonts w:hint="eastAsia" w:ascii="Times New Roman" w:hAnsi="Times New Roman" w:cs="Times New Roman" w:eastAsiaTheme="minorEastAsia"/>
          <w:color w:val="000000" w:themeColor="text1"/>
          <w:sz w:val="24"/>
          <w:highlight w:val="none"/>
          <w14:textFill>
            <w14:solidFill>
              <w14:schemeClr w14:val="tx1"/>
            </w14:solidFill>
          </w14:textFill>
        </w:rPr>
        <w:t>℃～</w:t>
      </w:r>
      <w:r>
        <w:rPr>
          <w:rFonts w:hint="eastAsia" w:ascii="Times New Roman" w:hAnsi="Times New Roman" w:cs="Times New Roman" w:eastAsiaTheme="minorEastAsia"/>
          <w:color w:val="000000" w:themeColor="text1"/>
          <w:sz w:val="24"/>
          <w:highlight w:val="none"/>
          <w:lang w:val="en-US" w:eastAsia="zh-CN"/>
          <w14:textFill>
            <w14:solidFill>
              <w14:schemeClr w14:val="tx1"/>
            </w14:solidFill>
          </w14:textFill>
        </w:rPr>
        <w:t>31</w:t>
      </w:r>
      <w:r>
        <w:rPr>
          <w:rFonts w:hint="eastAsia" w:ascii="Times New Roman" w:hAnsi="Times New Roman" w:cs="Times New Roman" w:eastAsiaTheme="minorEastAsia"/>
          <w:color w:val="000000" w:themeColor="text1"/>
          <w:sz w:val="24"/>
          <w:highlight w:val="none"/>
          <w14:textFill>
            <w14:solidFill>
              <w14:schemeClr w14:val="tx1"/>
            </w14:solidFill>
          </w14:textFill>
        </w:rPr>
        <w:t>℃</w:t>
      </w:r>
      <w:r>
        <w:rPr>
          <w:rFonts w:hint="default" w:ascii="Times New Roman" w:hAnsi="Times New Roman" w:cs="Times New Roman" w:eastAsiaTheme="minorEastAsia"/>
          <w:color w:val="000000" w:themeColor="text1"/>
          <w:sz w:val="24"/>
          <w:highlight w:val="none"/>
          <w14:textFill>
            <w14:solidFill>
              <w14:schemeClr w14:val="tx1"/>
            </w14:solidFill>
          </w14:textFill>
        </w:rPr>
        <w:t>、</w:t>
      </w:r>
      <w:r>
        <w:rPr>
          <w:rFonts w:hint="eastAsia" w:ascii="Times New Roman" w:hAnsi="Times New Roman" w:cs="Times New Roman" w:eastAsiaTheme="minorEastAsia"/>
          <w:color w:val="000000" w:themeColor="text1"/>
          <w:sz w:val="24"/>
          <w:highlight w:val="none"/>
          <w:lang w:val="en-US" w:eastAsia="zh-CN"/>
          <w14:textFill>
            <w14:solidFill>
              <w14:schemeClr w14:val="tx1"/>
            </w14:solidFill>
          </w14:textFill>
        </w:rPr>
        <w:t>昼间</w:t>
      </w:r>
      <w:r>
        <w:rPr>
          <w:rFonts w:hint="default" w:ascii="Times New Roman" w:hAnsi="Times New Roman" w:cs="Times New Roman" w:eastAsiaTheme="minorEastAsia"/>
          <w:color w:val="000000" w:themeColor="text1"/>
          <w:sz w:val="24"/>
          <w:highlight w:val="none"/>
          <w14:textFill>
            <w14:solidFill>
              <w14:schemeClr w14:val="tx1"/>
            </w14:solidFill>
          </w14:textFill>
        </w:rPr>
        <w:t>风速</w:t>
      </w:r>
      <w:r>
        <w:rPr>
          <w:rFonts w:hint="eastAsia" w:ascii="Times New Roman" w:hAnsi="Times New Roman" w:cs="Times New Roman" w:eastAsiaTheme="minorEastAsia"/>
          <w:color w:val="000000" w:themeColor="text1"/>
          <w:sz w:val="24"/>
          <w:highlight w:val="none"/>
          <w14:textFill>
            <w14:solidFill>
              <w14:schemeClr w14:val="tx1"/>
            </w14:solidFill>
          </w14:textFill>
        </w:rPr>
        <w:t>昼间：2.1～</w:t>
      </w:r>
      <w:r>
        <w:rPr>
          <w:rFonts w:hint="eastAsia" w:ascii="Times New Roman" w:hAnsi="Times New Roman" w:cs="Times New Roman" w:eastAsiaTheme="minorEastAsia"/>
          <w:color w:val="000000" w:themeColor="text1"/>
          <w:sz w:val="24"/>
          <w:highlight w:val="none"/>
          <w:lang w:val="en-US" w:eastAsia="zh-CN"/>
          <w14:textFill>
            <w14:solidFill>
              <w14:schemeClr w14:val="tx1"/>
            </w14:solidFill>
          </w14:textFill>
        </w:rPr>
        <w:t>4.2</w:t>
      </w:r>
      <w:r>
        <w:rPr>
          <w:rFonts w:hint="eastAsia" w:ascii="Times New Roman" w:hAnsi="Times New Roman" w:cs="Times New Roman" w:eastAsiaTheme="minorEastAsia"/>
          <w:color w:val="000000" w:themeColor="text1"/>
          <w:sz w:val="24"/>
          <w:highlight w:val="none"/>
          <w14:textFill>
            <w14:solidFill>
              <w14:schemeClr w14:val="tx1"/>
            </w14:solidFill>
          </w14:textFill>
        </w:rPr>
        <w:t>m/s</w:t>
      </w:r>
      <w:r>
        <w:rPr>
          <w:rFonts w:hint="eastAsia" w:ascii="Times New Roman" w:hAnsi="Times New Roman" w:cs="Times New Roman" w:eastAsiaTheme="minorEastAsia"/>
          <w:color w:val="000000" w:themeColor="text1"/>
          <w:sz w:val="24"/>
          <w:highlight w:val="none"/>
          <w:lang w:eastAsia="zh-CN"/>
          <w14:textFill>
            <w14:solidFill>
              <w14:schemeClr w14:val="tx1"/>
            </w14:solidFill>
          </w14:textFill>
        </w:rPr>
        <w:t>，</w:t>
      </w:r>
      <w:r>
        <w:rPr>
          <w:rFonts w:hint="eastAsia" w:ascii="Times New Roman" w:hAnsi="Times New Roman" w:cs="Times New Roman" w:eastAsiaTheme="minorEastAsia"/>
          <w:color w:val="000000" w:themeColor="text1"/>
          <w:sz w:val="24"/>
          <w:highlight w:val="none"/>
          <w:lang w:val="en-US" w:eastAsia="zh-CN"/>
          <w14:textFill>
            <w14:solidFill>
              <w14:schemeClr w14:val="tx1"/>
            </w14:solidFill>
          </w14:textFill>
        </w:rPr>
        <w:t>夜间风速2.6</w:t>
      </w:r>
      <w:r>
        <w:rPr>
          <w:rFonts w:hint="eastAsia" w:ascii="Times New Roman" w:hAnsi="Times New Roman" w:cs="Times New Roman" w:eastAsiaTheme="minorEastAsia"/>
          <w:color w:val="000000" w:themeColor="text1"/>
          <w:sz w:val="24"/>
          <w:highlight w:val="none"/>
          <w14:textFill>
            <w14:solidFill>
              <w14:schemeClr w14:val="tx1"/>
            </w14:solidFill>
          </w14:textFill>
        </w:rPr>
        <w:t>～</w:t>
      </w:r>
      <w:r>
        <w:rPr>
          <w:rFonts w:hint="eastAsia" w:ascii="Times New Roman" w:hAnsi="Times New Roman" w:cs="Times New Roman" w:eastAsiaTheme="minorEastAsia"/>
          <w:color w:val="000000" w:themeColor="text1"/>
          <w:sz w:val="24"/>
          <w:highlight w:val="none"/>
          <w:lang w:val="en-US" w:eastAsia="zh-CN"/>
          <w14:textFill>
            <w14:solidFill>
              <w14:schemeClr w14:val="tx1"/>
            </w14:solidFill>
          </w14:textFill>
        </w:rPr>
        <w:t>4.5</w:t>
      </w:r>
      <w:r>
        <w:rPr>
          <w:rFonts w:hint="default" w:ascii="Times New Roman" w:hAnsi="Times New Roman" w:cs="Times New Roman" w:eastAsiaTheme="minorEastAsia"/>
          <w:color w:val="000000" w:themeColor="text1"/>
          <w:sz w:val="24"/>
          <w:highlight w:val="none"/>
          <w14:textFill>
            <w14:solidFill>
              <w14:schemeClr w14:val="tx1"/>
            </w14:solidFill>
          </w14:textFill>
        </w:rPr>
        <w:t>m/s</w:t>
      </w:r>
      <w: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t>。</w:t>
      </w:r>
    </w:p>
    <w:p w14:paraId="3E236C03">
      <w:pPr>
        <w:pStyle w:val="12"/>
        <w:keepNext/>
        <w:keepLines/>
        <w:pageBreakBefore w:val="0"/>
        <w:widowControl w:val="0"/>
        <w:numPr>
          <w:ilvl w:val="0"/>
          <w:numId w:val="0"/>
        </w:numPr>
        <w:tabs>
          <w:tab w:val="left" w:pos="1050"/>
        </w:tabs>
        <w:kinsoku/>
        <w:wordWrap/>
        <w:overflowPunct/>
        <w:topLinePunct w:val="0"/>
        <w:autoSpaceDE/>
        <w:autoSpaceDN/>
        <w:bidi w:val="0"/>
        <w:adjustRightInd/>
        <w:snapToGrid w:val="0"/>
        <w:spacing w:before="0" w:beforeLines="0" w:after="0" w:afterLines="0" w:line="360" w:lineRule="auto"/>
        <w:ind w:left="0"/>
        <w:textAlignment w:val="auto"/>
        <w:outlineLvl w:val="3"/>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t>4.</w:t>
      </w:r>
      <w:r>
        <w:rPr>
          <w:rFonts w:hint="eastAsia"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t>2.4.</w:t>
      </w:r>
      <w:r>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t>5 监测结果</w:t>
      </w:r>
    </w:p>
    <w:p w14:paraId="5FEA4BE5">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480" w:firstLineChars="200"/>
        <w:textAlignment w:val="auto"/>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default" w:ascii="Times New Roman" w:hAnsi="Times New Roman" w:cs="Times New Roman" w:eastAsiaTheme="minorEastAsia"/>
          <w:color w:val="000000" w:themeColor="text1"/>
          <w:sz w:val="24"/>
          <w:highlight w:val="none"/>
          <w14:textFill>
            <w14:solidFill>
              <w14:schemeClr w14:val="tx1"/>
            </w14:solidFill>
          </w14:textFill>
        </w:rPr>
        <w:t>监测结果，见表</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4.2</w:t>
      </w:r>
      <w:r>
        <w:rPr>
          <w:rFonts w:hint="default" w:ascii="Times New Roman" w:hAnsi="Times New Roman" w:cs="Times New Roman" w:eastAsiaTheme="minorEastAsia"/>
          <w:color w:val="000000" w:themeColor="text1"/>
          <w:sz w:val="24"/>
          <w:highlight w:val="none"/>
          <w14:textFill>
            <w14:solidFill>
              <w14:schemeClr w14:val="tx1"/>
            </w14:solidFill>
          </w14:textFill>
        </w:rPr>
        <w:t>-</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4</w:t>
      </w:r>
      <w:r>
        <w:rPr>
          <w:rFonts w:hint="default" w:ascii="Times New Roman" w:hAnsi="Times New Roman" w:cs="Times New Roman" w:eastAsiaTheme="minorEastAsia"/>
          <w:color w:val="000000" w:themeColor="text1"/>
          <w:sz w:val="24"/>
          <w:highlight w:val="none"/>
          <w14:textFill>
            <w14:solidFill>
              <w14:schemeClr w14:val="tx1"/>
            </w14:solidFill>
          </w14:textFill>
        </w:rPr>
        <w:t>。</w:t>
      </w:r>
    </w:p>
    <w:p w14:paraId="6B45E30E">
      <w:pPr>
        <w:autoSpaceDE w:val="0"/>
        <w:autoSpaceDN w:val="0"/>
        <w:adjustRightInd w:val="0"/>
        <w:snapToGrid w:val="0"/>
        <w:spacing w:line="490" w:lineRule="exact"/>
        <w:ind w:left="0" w:leftChars="0" w:firstLine="0" w:firstLineChars="0"/>
        <w:jc w:val="center"/>
        <w:rPr>
          <w:rFonts w:hint="default" w:ascii="Times New Roman" w:hAnsi="Times New Roman" w:cs="Times New Roman" w:eastAsiaTheme="minorEastAsia"/>
          <w:b/>
          <w:bCs/>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表</w:t>
      </w:r>
      <w:r>
        <w:rPr>
          <w:rFonts w:hint="default" w:ascii="Times New Roman" w:hAnsi="Times New Roman" w:cs="Times New Roman" w:eastAsiaTheme="minorEastAsia"/>
          <w:b/>
          <w:bCs/>
          <w:color w:val="000000" w:themeColor="text1"/>
          <w:sz w:val="24"/>
          <w:highlight w:val="none"/>
          <w:lang w:val="en-US" w:eastAsia="zh-CN"/>
          <w14:textFill>
            <w14:solidFill>
              <w14:schemeClr w14:val="tx1"/>
            </w14:solidFill>
          </w14:textFill>
        </w:rPr>
        <w:t>4.2</w:t>
      </w:r>
      <w:r>
        <w:rPr>
          <w:rFonts w:hint="default" w:ascii="Times New Roman" w:hAnsi="Times New Roman" w:cs="Times New Roman" w:eastAsiaTheme="minorEastAsia"/>
          <w:b/>
          <w:bCs/>
          <w:color w:val="000000" w:themeColor="text1"/>
          <w:sz w:val="24"/>
          <w:highlight w:val="none"/>
          <w14:textFill>
            <w14:solidFill>
              <w14:schemeClr w14:val="tx1"/>
            </w14:solidFill>
          </w14:textFill>
        </w:rPr>
        <w:t>-</w:t>
      </w:r>
      <w:r>
        <w:rPr>
          <w:rFonts w:hint="default" w:ascii="Times New Roman" w:hAnsi="Times New Roman" w:cs="Times New Roman" w:eastAsiaTheme="minorEastAsia"/>
          <w:b/>
          <w:bCs/>
          <w:color w:val="000000" w:themeColor="text1"/>
          <w:sz w:val="24"/>
          <w:highlight w:val="none"/>
          <w:lang w:val="en-US" w:eastAsia="zh-CN"/>
          <w14:textFill>
            <w14:solidFill>
              <w14:schemeClr w14:val="tx1"/>
            </w14:solidFill>
          </w14:textFill>
        </w:rPr>
        <w:t xml:space="preserve">4    </w:t>
      </w:r>
      <w:r>
        <w:rPr>
          <w:rFonts w:hint="default" w:ascii="Times New Roman" w:hAnsi="Times New Roman" w:cs="Times New Roman" w:eastAsiaTheme="minorEastAsia"/>
          <w:b/>
          <w:bCs/>
          <w:color w:val="000000" w:themeColor="text1"/>
          <w:sz w:val="24"/>
          <w:highlight w:val="none"/>
          <w14:textFill>
            <w14:solidFill>
              <w14:schemeClr w14:val="tx1"/>
            </w14:solidFill>
          </w14:textFill>
        </w:rPr>
        <w:t>声环境现状监测结果</w:t>
      </w:r>
    </w:p>
    <w:tbl>
      <w:tblPr>
        <w:tblStyle w:val="75"/>
        <w:tblW w:w="499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40"/>
        <w:gridCol w:w="3923"/>
        <w:gridCol w:w="1282"/>
        <w:gridCol w:w="937"/>
        <w:gridCol w:w="1088"/>
        <w:gridCol w:w="897"/>
      </w:tblGrid>
      <w:tr w14:paraId="421E0C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567" w:type="pct"/>
            <w:vMerge w:val="restart"/>
            <w:tcBorders>
              <w:tl2br w:val="nil"/>
              <w:tr2bl w:val="nil"/>
            </w:tcBorders>
            <w:noWrap w:val="0"/>
            <w:vAlign w:val="center"/>
          </w:tcPr>
          <w:p w14:paraId="762D40EE">
            <w:pPr>
              <w:keepNext w:val="0"/>
              <w:keepLines w:val="0"/>
              <w:pageBreakBefore w:val="0"/>
              <w:kinsoku/>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t>监测点</w:t>
            </w:r>
          </w:p>
          <w:p w14:paraId="71456C7D">
            <w:pPr>
              <w:keepNext w:val="0"/>
              <w:keepLines w:val="0"/>
              <w:pageBreakBefore w:val="0"/>
              <w:kinsoku/>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t>位编号</w:t>
            </w:r>
          </w:p>
        </w:tc>
        <w:tc>
          <w:tcPr>
            <w:tcW w:w="2139" w:type="pct"/>
            <w:vMerge w:val="restart"/>
            <w:tcBorders>
              <w:tl2br w:val="nil"/>
              <w:tr2bl w:val="nil"/>
            </w:tcBorders>
            <w:noWrap w:val="0"/>
            <w:vAlign w:val="center"/>
          </w:tcPr>
          <w:p w14:paraId="11D2665A">
            <w:pPr>
              <w:keepNext w:val="0"/>
              <w:keepLines w:val="0"/>
              <w:pageBreakBefore w:val="0"/>
              <w:kinsoku/>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t>测点描述</w:t>
            </w:r>
          </w:p>
        </w:tc>
        <w:tc>
          <w:tcPr>
            <w:tcW w:w="1210" w:type="pct"/>
            <w:gridSpan w:val="2"/>
            <w:tcBorders>
              <w:tl2br w:val="nil"/>
              <w:tr2bl w:val="nil"/>
            </w:tcBorders>
            <w:noWrap w:val="0"/>
            <w:vAlign w:val="center"/>
          </w:tcPr>
          <w:p w14:paraId="1B6A1974">
            <w:pPr>
              <w:keepNext w:val="0"/>
              <w:keepLines w:val="0"/>
              <w:pageBreakBefore w:val="0"/>
              <w:kinsoku/>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cs="Times New Roman" w:eastAsiaTheme="minorEastAsia"/>
                <w:b w:val="0"/>
                <w:bCs/>
                <w:color w:val="000000" w:themeColor="text1"/>
                <w:sz w:val="21"/>
                <w:szCs w:val="21"/>
                <w:highlight w:val="none"/>
                <w:lang w:eastAsia="zh-CN"/>
                <w14:textFill>
                  <w14:solidFill>
                    <w14:schemeClr w14:val="tx1"/>
                  </w14:solidFill>
                </w14:textFill>
              </w:rPr>
            </w:pPr>
            <w:r>
              <w:rPr>
                <w:rFonts w:hint="default" w:ascii="Times New Roman" w:hAnsi="Times New Roman" w:cs="Times New Roman" w:eastAsiaTheme="minorEastAsia"/>
                <w:b w:val="0"/>
                <w:bCs/>
                <w:color w:val="000000" w:themeColor="text1"/>
                <w:sz w:val="21"/>
                <w:szCs w:val="21"/>
                <w:highlight w:val="none"/>
                <w:lang w:val="en-US" w:eastAsia="zh-CN"/>
                <w14:textFill>
                  <w14:solidFill>
                    <w14:schemeClr w14:val="tx1"/>
                  </w14:solidFill>
                </w14:textFill>
              </w:rPr>
              <w:t>检</w:t>
            </w:r>
            <w:r>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t>测数值</w:t>
            </w:r>
            <w:r>
              <w:rPr>
                <w:rFonts w:hint="default" w:ascii="Times New Roman" w:hAnsi="Times New Roman" w:cs="Times New Roman" w:eastAsiaTheme="minorEastAsia"/>
                <w:b w:val="0"/>
                <w:bCs/>
                <w:color w:val="000000" w:themeColor="text1"/>
                <w:sz w:val="21"/>
                <w:szCs w:val="21"/>
                <w:highlight w:val="none"/>
                <w:lang w:eastAsia="zh-CN"/>
                <w14:textFill>
                  <w14:solidFill>
                    <w14:schemeClr w14:val="tx1"/>
                  </w14:solidFill>
                </w14:textFill>
              </w:rPr>
              <w:t>(</w:t>
            </w:r>
            <w:r>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t>dB</w:t>
            </w:r>
            <w:r>
              <w:rPr>
                <w:rFonts w:hint="default" w:ascii="Times New Roman" w:hAnsi="Times New Roman" w:cs="Times New Roman" w:eastAsiaTheme="minorEastAsia"/>
                <w:b w:val="0"/>
                <w:bCs/>
                <w:color w:val="000000" w:themeColor="text1"/>
                <w:sz w:val="21"/>
                <w:szCs w:val="21"/>
                <w:highlight w:val="none"/>
                <w:lang w:eastAsia="zh-CN"/>
                <w14:textFill>
                  <w14:solidFill>
                    <w14:schemeClr w14:val="tx1"/>
                  </w14:solidFill>
                </w14:textFill>
              </w:rPr>
              <w:t>(A))</w:t>
            </w:r>
          </w:p>
        </w:tc>
        <w:tc>
          <w:tcPr>
            <w:tcW w:w="1082" w:type="pct"/>
            <w:gridSpan w:val="2"/>
            <w:tcBorders>
              <w:tl2br w:val="nil"/>
              <w:tr2bl w:val="nil"/>
            </w:tcBorders>
            <w:noWrap w:val="0"/>
            <w:vAlign w:val="center"/>
          </w:tcPr>
          <w:p w14:paraId="58C970B6">
            <w:pPr>
              <w:keepNext w:val="0"/>
              <w:keepLines w:val="0"/>
              <w:pageBreakBefore w:val="0"/>
              <w:kinsoku/>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color w:val="000000" w:themeColor="text1"/>
                <w:sz w:val="21"/>
                <w:szCs w:val="21"/>
                <w:highlight w:val="none"/>
                <w:lang w:val="en-US" w:eastAsia="zh-CN"/>
                <w14:textFill>
                  <w14:solidFill>
                    <w14:schemeClr w14:val="tx1"/>
                  </w14:solidFill>
                </w14:textFill>
              </w:rPr>
              <w:t>标准数值</w:t>
            </w:r>
            <w:r>
              <w:rPr>
                <w:rFonts w:hint="default" w:ascii="Times New Roman" w:hAnsi="Times New Roman" w:cs="Times New Roman" w:eastAsiaTheme="minorEastAsia"/>
                <w:b w:val="0"/>
                <w:bCs/>
                <w:color w:val="000000" w:themeColor="text1"/>
                <w:sz w:val="21"/>
                <w:szCs w:val="21"/>
                <w:highlight w:val="none"/>
                <w:lang w:eastAsia="zh-CN"/>
                <w14:textFill>
                  <w14:solidFill>
                    <w14:schemeClr w14:val="tx1"/>
                  </w14:solidFill>
                </w14:textFill>
              </w:rPr>
              <w:t>(</w:t>
            </w:r>
            <w:r>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t>dB</w:t>
            </w:r>
            <w:r>
              <w:rPr>
                <w:rFonts w:hint="default" w:ascii="Times New Roman" w:hAnsi="Times New Roman" w:cs="Times New Roman" w:eastAsiaTheme="minorEastAsia"/>
                <w:b w:val="0"/>
                <w:bCs/>
                <w:color w:val="000000" w:themeColor="text1"/>
                <w:sz w:val="21"/>
                <w:szCs w:val="21"/>
                <w:highlight w:val="none"/>
                <w:lang w:eastAsia="zh-CN"/>
                <w14:textFill>
                  <w14:solidFill>
                    <w14:schemeClr w14:val="tx1"/>
                  </w14:solidFill>
                </w14:textFill>
              </w:rPr>
              <w:t>(A))</w:t>
            </w:r>
          </w:p>
        </w:tc>
      </w:tr>
      <w:tr w14:paraId="290B01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5" w:hRule="atLeast"/>
          <w:tblHeader/>
        </w:trPr>
        <w:tc>
          <w:tcPr>
            <w:tcW w:w="567" w:type="pct"/>
            <w:vMerge w:val="continue"/>
            <w:tcBorders>
              <w:tl2br w:val="nil"/>
              <w:tr2bl w:val="nil"/>
            </w:tcBorders>
            <w:noWrap w:val="0"/>
            <w:vAlign w:val="center"/>
          </w:tcPr>
          <w:p w14:paraId="364AF567">
            <w:pPr>
              <w:keepNext w:val="0"/>
              <w:keepLines w:val="0"/>
              <w:pageBreakBefore w:val="0"/>
              <w:widowControl/>
              <w:kinsoku/>
              <w:wordWrap/>
              <w:overflowPunct/>
              <w:topLinePunct w:val="0"/>
              <w:bidi w:val="0"/>
              <w:spacing w:line="240" w:lineRule="auto"/>
              <w:ind w:left="0" w:leftChars="0"/>
              <w:jc w:val="left"/>
              <w:textAlignment w:val="auto"/>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pPr>
          </w:p>
        </w:tc>
        <w:tc>
          <w:tcPr>
            <w:tcW w:w="2139" w:type="pct"/>
            <w:vMerge w:val="continue"/>
            <w:tcBorders>
              <w:tl2br w:val="nil"/>
              <w:tr2bl w:val="nil"/>
            </w:tcBorders>
            <w:noWrap w:val="0"/>
            <w:vAlign w:val="center"/>
          </w:tcPr>
          <w:p w14:paraId="18D7F076">
            <w:pPr>
              <w:keepNext w:val="0"/>
              <w:keepLines w:val="0"/>
              <w:pageBreakBefore w:val="0"/>
              <w:widowControl/>
              <w:kinsoku/>
              <w:wordWrap/>
              <w:overflowPunct/>
              <w:topLinePunct w:val="0"/>
              <w:bidi w:val="0"/>
              <w:spacing w:line="240" w:lineRule="auto"/>
              <w:ind w:left="0" w:leftChars="0"/>
              <w:jc w:val="left"/>
              <w:textAlignment w:val="auto"/>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pPr>
          </w:p>
        </w:tc>
        <w:tc>
          <w:tcPr>
            <w:tcW w:w="699" w:type="pct"/>
            <w:tcBorders>
              <w:tl2br w:val="nil"/>
              <w:tr2bl w:val="nil"/>
            </w:tcBorders>
            <w:noWrap w:val="0"/>
            <w:vAlign w:val="center"/>
          </w:tcPr>
          <w:p w14:paraId="65CC4256">
            <w:pPr>
              <w:keepNext w:val="0"/>
              <w:keepLines w:val="0"/>
              <w:pageBreakBefore w:val="0"/>
              <w:kinsoku/>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t>昼间</w:t>
            </w:r>
          </w:p>
        </w:tc>
        <w:tc>
          <w:tcPr>
            <w:tcW w:w="511" w:type="pct"/>
            <w:tcBorders>
              <w:tl2br w:val="nil"/>
              <w:tr2bl w:val="nil"/>
            </w:tcBorders>
            <w:noWrap w:val="0"/>
            <w:vAlign w:val="center"/>
          </w:tcPr>
          <w:p w14:paraId="65F56488">
            <w:pPr>
              <w:keepNext w:val="0"/>
              <w:keepLines w:val="0"/>
              <w:pageBreakBefore w:val="0"/>
              <w:kinsoku/>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t>夜间</w:t>
            </w:r>
          </w:p>
        </w:tc>
        <w:tc>
          <w:tcPr>
            <w:tcW w:w="593" w:type="pct"/>
            <w:tcBorders>
              <w:tl2br w:val="nil"/>
              <w:tr2bl w:val="nil"/>
            </w:tcBorders>
            <w:noWrap w:val="0"/>
            <w:vAlign w:val="center"/>
          </w:tcPr>
          <w:p w14:paraId="66698531">
            <w:pPr>
              <w:keepNext w:val="0"/>
              <w:keepLines w:val="0"/>
              <w:pageBreakBefore w:val="0"/>
              <w:kinsoku/>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t>昼间</w:t>
            </w:r>
          </w:p>
        </w:tc>
        <w:tc>
          <w:tcPr>
            <w:tcW w:w="489" w:type="pct"/>
            <w:tcBorders>
              <w:tl2br w:val="nil"/>
              <w:tr2bl w:val="nil"/>
            </w:tcBorders>
            <w:noWrap w:val="0"/>
            <w:vAlign w:val="center"/>
          </w:tcPr>
          <w:p w14:paraId="1BF4275C">
            <w:pPr>
              <w:keepNext w:val="0"/>
              <w:keepLines w:val="0"/>
              <w:pageBreakBefore w:val="0"/>
              <w:kinsoku/>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t>夜间</w:t>
            </w:r>
          </w:p>
        </w:tc>
      </w:tr>
      <w:tr w14:paraId="4F7959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7" w:type="pct"/>
            <w:tcBorders>
              <w:tl2br w:val="nil"/>
              <w:tr2bl w:val="nil"/>
            </w:tcBorders>
            <w:noWrap w:val="0"/>
            <w:vAlign w:val="center"/>
          </w:tcPr>
          <w:p w14:paraId="15DF3971">
            <w:pPr>
              <w:keepNext w:val="0"/>
              <w:keepLines w:val="0"/>
              <w:pageBreakBefore w:val="0"/>
              <w:kinsoku/>
              <w:wordWrap/>
              <w:overflowPunct/>
              <w:topLinePunct w:val="0"/>
              <w:bidi w:val="0"/>
              <w:adjustRightInd w:val="0"/>
              <w:snapToGrid w:val="0"/>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1#</w:t>
            </w:r>
          </w:p>
        </w:tc>
        <w:tc>
          <w:tcPr>
            <w:tcW w:w="2139" w:type="pct"/>
            <w:tcBorders>
              <w:tl2br w:val="nil"/>
              <w:tr2bl w:val="nil"/>
            </w:tcBorders>
            <w:noWrap w:val="0"/>
            <w:vAlign w:val="center"/>
          </w:tcPr>
          <w:p w14:paraId="114952BA">
            <w:pPr>
              <w:keepNext w:val="0"/>
              <w:keepLines w:val="0"/>
              <w:pageBreakBefore w:val="0"/>
              <w:widowControl w:val="0"/>
              <w:tabs>
                <w:tab w:val="left" w:pos="2057"/>
              </w:tabs>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H2监测点</w:t>
            </w:r>
          </w:p>
        </w:tc>
        <w:tc>
          <w:tcPr>
            <w:tcW w:w="1282" w:type="dxa"/>
            <w:tcBorders>
              <w:tl2br w:val="nil"/>
              <w:tr2bl w:val="nil"/>
            </w:tcBorders>
            <w:noWrap w:val="0"/>
            <w:vAlign w:val="center"/>
          </w:tcPr>
          <w:p w14:paraId="5F394011">
            <w:pPr>
              <w:keepNext w:val="0"/>
              <w:keepLines w:val="0"/>
              <w:pageBreakBefore w:val="0"/>
              <w:widowControl/>
              <w:kinsoku/>
              <w:wordWrap/>
              <w:overflowPunct/>
              <w:topLinePunct w:val="0"/>
              <w:autoSpaceDE w:val="0"/>
              <w:autoSpaceDN w:val="0"/>
              <w:bidi w:val="0"/>
              <w:spacing w:line="240" w:lineRule="auto"/>
              <w:ind w:left="0" w:leftChars="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49</w:t>
            </w:r>
          </w:p>
        </w:tc>
        <w:tc>
          <w:tcPr>
            <w:tcW w:w="937" w:type="dxa"/>
            <w:tcBorders>
              <w:tl2br w:val="nil"/>
              <w:tr2bl w:val="nil"/>
            </w:tcBorders>
            <w:noWrap w:val="0"/>
            <w:vAlign w:val="center"/>
          </w:tcPr>
          <w:p w14:paraId="26228B4E">
            <w:pPr>
              <w:keepNext w:val="0"/>
              <w:keepLines w:val="0"/>
              <w:pageBreakBefore w:val="0"/>
              <w:widowControl/>
              <w:kinsoku/>
              <w:wordWrap/>
              <w:overflowPunct/>
              <w:topLinePunct w:val="0"/>
              <w:autoSpaceDE w:val="0"/>
              <w:autoSpaceDN w:val="0"/>
              <w:bidi w:val="0"/>
              <w:spacing w:line="240" w:lineRule="auto"/>
              <w:ind w:left="0" w:leftChars="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45</w:t>
            </w:r>
          </w:p>
        </w:tc>
        <w:tc>
          <w:tcPr>
            <w:tcW w:w="593" w:type="pct"/>
            <w:vMerge w:val="restart"/>
            <w:tcBorders>
              <w:tl2br w:val="nil"/>
              <w:tr2bl w:val="nil"/>
            </w:tcBorders>
            <w:noWrap w:val="0"/>
            <w:vAlign w:val="center"/>
          </w:tcPr>
          <w:p w14:paraId="2354F359">
            <w:pPr>
              <w:keepNext w:val="0"/>
              <w:keepLines w:val="0"/>
              <w:pageBreakBefore w:val="0"/>
              <w:widowControl/>
              <w:kinsoku/>
              <w:wordWrap/>
              <w:overflowPunct/>
              <w:topLinePunct w:val="0"/>
              <w:autoSpaceDE w:val="0"/>
              <w:autoSpaceDN w:val="0"/>
              <w:bidi w:val="0"/>
              <w:spacing w:line="240" w:lineRule="auto"/>
              <w:ind w:left="0" w:leftChars="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60</w:t>
            </w:r>
          </w:p>
        </w:tc>
        <w:tc>
          <w:tcPr>
            <w:tcW w:w="489" w:type="pct"/>
            <w:vMerge w:val="restart"/>
            <w:tcBorders>
              <w:tl2br w:val="nil"/>
              <w:tr2bl w:val="nil"/>
            </w:tcBorders>
            <w:noWrap w:val="0"/>
            <w:vAlign w:val="center"/>
          </w:tcPr>
          <w:p w14:paraId="3C761A3B">
            <w:pPr>
              <w:keepNext w:val="0"/>
              <w:keepLines w:val="0"/>
              <w:pageBreakBefore w:val="0"/>
              <w:widowControl/>
              <w:kinsoku/>
              <w:wordWrap/>
              <w:overflowPunct/>
              <w:topLinePunct w:val="0"/>
              <w:autoSpaceDE w:val="0"/>
              <w:autoSpaceDN w:val="0"/>
              <w:bidi w:val="0"/>
              <w:spacing w:line="240" w:lineRule="auto"/>
              <w:ind w:left="0" w:leftChars="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50</w:t>
            </w:r>
          </w:p>
        </w:tc>
      </w:tr>
      <w:tr w14:paraId="07E8CD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7" w:type="pct"/>
            <w:tcBorders>
              <w:tl2br w:val="nil"/>
              <w:tr2bl w:val="nil"/>
            </w:tcBorders>
            <w:noWrap w:val="0"/>
            <w:vAlign w:val="center"/>
          </w:tcPr>
          <w:p w14:paraId="11905453">
            <w:pPr>
              <w:keepNext w:val="0"/>
              <w:keepLines w:val="0"/>
              <w:pageBreakBefore w:val="0"/>
              <w:kinsoku/>
              <w:wordWrap/>
              <w:overflowPunct/>
              <w:topLinePunct w:val="0"/>
              <w:bidi w:val="0"/>
              <w:adjustRightInd w:val="0"/>
              <w:snapToGrid w:val="0"/>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w:t>
            </w:r>
          </w:p>
        </w:tc>
        <w:tc>
          <w:tcPr>
            <w:tcW w:w="2139" w:type="pct"/>
            <w:tcBorders>
              <w:tl2br w:val="nil"/>
              <w:tr2bl w:val="nil"/>
            </w:tcBorders>
            <w:noWrap w:val="0"/>
            <w:vAlign w:val="center"/>
          </w:tcPr>
          <w:p w14:paraId="5E58DC5D">
            <w:pPr>
              <w:keepNext w:val="0"/>
              <w:keepLines w:val="0"/>
              <w:pageBreakBefore w:val="0"/>
              <w:widowControl w:val="0"/>
              <w:tabs>
                <w:tab w:val="left" w:pos="2057"/>
              </w:tabs>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H5监测点</w:t>
            </w:r>
          </w:p>
        </w:tc>
        <w:tc>
          <w:tcPr>
            <w:tcW w:w="1282" w:type="dxa"/>
            <w:tcBorders>
              <w:tl2br w:val="nil"/>
              <w:tr2bl w:val="nil"/>
            </w:tcBorders>
            <w:noWrap w:val="0"/>
            <w:vAlign w:val="center"/>
          </w:tcPr>
          <w:p w14:paraId="16CC7C5D">
            <w:pPr>
              <w:keepNext w:val="0"/>
              <w:keepLines w:val="0"/>
              <w:pageBreakBefore w:val="0"/>
              <w:widowControl/>
              <w:kinsoku/>
              <w:wordWrap/>
              <w:overflowPunct/>
              <w:topLinePunct w:val="0"/>
              <w:autoSpaceDE w:val="0"/>
              <w:autoSpaceDN w:val="0"/>
              <w:bidi w:val="0"/>
              <w:spacing w:line="240" w:lineRule="auto"/>
              <w:ind w:left="0" w:leftChars="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45</w:t>
            </w:r>
          </w:p>
        </w:tc>
        <w:tc>
          <w:tcPr>
            <w:tcW w:w="937" w:type="dxa"/>
            <w:tcBorders>
              <w:tl2br w:val="nil"/>
              <w:tr2bl w:val="nil"/>
            </w:tcBorders>
            <w:noWrap w:val="0"/>
            <w:vAlign w:val="center"/>
          </w:tcPr>
          <w:p w14:paraId="341C8CCA">
            <w:pPr>
              <w:keepNext w:val="0"/>
              <w:keepLines w:val="0"/>
              <w:pageBreakBefore w:val="0"/>
              <w:widowControl/>
              <w:kinsoku/>
              <w:wordWrap/>
              <w:overflowPunct/>
              <w:topLinePunct w:val="0"/>
              <w:autoSpaceDE w:val="0"/>
              <w:autoSpaceDN w:val="0"/>
              <w:bidi w:val="0"/>
              <w:spacing w:line="240" w:lineRule="auto"/>
              <w:ind w:left="0" w:leftChars="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41</w:t>
            </w:r>
          </w:p>
        </w:tc>
        <w:tc>
          <w:tcPr>
            <w:tcW w:w="593" w:type="pct"/>
            <w:vMerge w:val="continue"/>
            <w:tcBorders>
              <w:tl2br w:val="nil"/>
              <w:tr2bl w:val="nil"/>
            </w:tcBorders>
            <w:noWrap w:val="0"/>
            <w:vAlign w:val="center"/>
          </w:tcPr>
          <w:p w14:paraId="6BF41A7B">
            <w:pPr>
              <w:keepNext w:val="0"/>
              <w:keepLines w:val="0"/>
              <w:pageBreakBefore w:val="0"/>
              <w:widowControl/>
              <w:kinsoku/>
              <w:wordWrap/>
              <w:overflowPunct/>
              <w:topLinePunct w:val="0"/>
              <w:autoSpaceDE w:val="0"/>
              <w:autoSpaceDN w:val="0"/>
              <w:bidi w:val="0"/>
              <w:spacing w:line="240" w:lineRule="auto"/>
              <w:ind w:left="0" w:leftChars="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p>
        </w:tc>
        <w:tc>
          <w:tcPr>
            <w:tcW w:w="489" w:type="pct"/>
            <w:vMerge w:val="continue"/>
            <w:tcBorders>
              <w:tl2br w:val="nil"/>
              <w:tr2bl w:val="nil"/>
            </w:tcBorders>
            <w:noWrap w:val="0"/>
            <w:vAlign w:val="center"/>
          </w:tcPr>
          <w:p w14:paraId="525D8563">
            <w:pPr>
              <w:keepNext w:val="0"/>
              <w:keepLines w:val="0"/>
              <w:pageBreakBefore w:val="0"/>
              <w:widowControl/>
              <w:kinsoku/>
              <w:wordWrap/>
              <w:overflowPunct/>
              <w:topLinePunct w:val="0"/>
              <w:autoSpaceDE w:val="0"/>
              <w:autoSpaceDN w:val="0"/>
              <w:bidi w:val="0"/>
              <w:spacing w:line="240" w:lineRule="auto"/>
              <w:ind w:left="0" w:leftChars="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p>
        </w:tc>
      </w:tr>
      <w:tr w14:paraId="082B31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7" w:type="pct"/>
            <w:tcBorders>
              <w:tl2br w:val="nil"/>
              <w:tr2bl w:val="nil"/>
            </w:tcBorders>
            <w:noWrap w:val="0"/>
            <w:vAlign w:val="center"/>
          </w:tcPr>
          <w:p w14:paraId="31E68089">
            <w:pPr>
              <w:keepNext w:val="0"/>
              <w:keepLines w:val="0"/>
              <w:pageBreakBefore w:val="0"/>
              <w:kinsoku/>
              <w:wordWrap/>
              <w:overflowPunct/>
              <w:topLinePunct w:val="0"/>
              <w:bidi w:val="0"/>
              <w:adjustRightInd w:val="0"/>
              <w:snapToGrid w:val="0"/>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3#</w:t>
            </w:r>
          </w:p>
        </w:tc>
        <w:tc>
          <w:tcPr>
            <w:tcW w:w="2139" w:type="pct"/>
            <w:tcBorders>
              <w:tl2br w:val="nil"/>
              <w:tr2bl w:val="nil"/>
            </w:tcBorders>
            <w:noWrap w:val="0"/>
            <w:vAlign w:val="center"/>
          </w:tcPr>
          <w:p w14:paraId="60E10CFC">
            <w:pPr>
              <w:keepNext w:val="0"/>
              <w:keepLines w:val="0"/>
              <w:pageBreakBefore w:val="0"/>
              <w:widowControl w:val="0"/>
              <w:tabs>
                <w:tab w:val="left" w:pos="2057"/>
              </w:tabs>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H9监测点</w:t>
            </w:r>
          </w:p>
        </w:tc>
        <w:tc>
          <w:tcPr>
            <w:tcW w:w="1282" w:type="dxa"/>
            <w:tcBorders>
              <w:tl2br w:val="nil"/>
              <w:tr2bl w:val="nil"/>
            </w:tcBorders>
            <w:noWrap w:val="0"/>
            <w:vAlign w:val="center"/>
          </w:tcPr>
          <w:p w14:paraId="71D40E3C">
            <w:pPr>
              <w:keepNext w:val="0"/>
              <w:keepLines w:val="0"/>
              <w:pageBreakBefore w:val="0"/>
              <w:widowControl/>
              <w:kinsoku/>
              <w:wordWrap/>
              <w:overflowPunct/>
              <w:topLinePunct w:val="0"/>
              <w:autoSpaceDE w:val="0"/>
              <w:autoSpaceDN w:val="0"/>
              <w:bidi w:val="0"/>
              <w:spacing w:line="240" w:lineRule="auto"/>
              <w:ind w:left="0" w:leftChars="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46</w:t>
            </w:r>
          </w:p>
        </w:tc>
        <w:tc>
          <w:tcPr>
            <w:tcW w:w="937" w:type="dxa"/>
            <w:tcBorders>
              <w:tl2br w:val="nil"/>
              <w:tr2bl w:val="nil"/>
            </w:tcBorders>
            <w:noWrap w:val="0"/>
            <w:vAlign w:val="center"/>
          </w:tcPr>
          <w:p w14:paraId="72891E8B">
            <w:pPr>
              <w:keepNext w:val="0"/>
              <w:keepLines w:val="0"/>
              <w:pageBreakBefore w:val="0"/>
              <w:widowControl/>
              <w:kinsoku/>
              <w:wordWrap/>
              <w:overflowPunct/>
              <w:topLinePunct w:val="0"/>
              <w:autoSpaceDE w:val="0"/>
              <w:autoSpaceDN w:val="0"/>
              <w:bidi w:val="0"/>
              <w:spacing w:line="240" w:lineRule="auto"/>
              <w:ind w:left="0" w:leftChars="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42</w:t>
            </w:r>
          </w:p>
        </w:tc>
        <w:tc>
          <w:tcPr>
            <w:tcW w:w="593" w:type="pct"/>
            <w:vMerge w:val="continue"/>
            <w:tcBorders>
              <w:tl2br w:val="nil"/>
              <w:tr2bl w:val="nil"/>
            </w:tcBorders>
            <w:noWrap w:val="0"/>
            <w:vAlign w:val="center"/>
          </w:tcPr>
          <w:p w14:paraId="59460351">
            <w:pPr>
              <w:keepNext w:val="0"/>
              <w:keepLines w:val="0"/>
              <w:pageBreakBefore w:val="0"/>
              <w:widowControl/>
              <w:kinsoku/>
              <w:wordWrap/>
              <w:overflowPunct/>
              <w:topLinePunct w:val="0"/>
              <w:autoSpaceDE w:val="0"/>
              <w:autoSpaceDN w:val="0"/>
              <w:bidi w:val="0"/>
              <w:spacing w:line="240" w:lineRule="auto"/>
              <w:ind w:left="0" w:leftChars="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p>
        </w:tc>
        <w:tc>
          <w:tcPr>
            <w:tcW w:w="489" w:type="pct"/>
            <w:vMerge w:val="continue"/>
            <w:tcBorders>
              <w:tl2br w:val="nil"/>
              <w:tr2bl w:val="nil"/>
            </w:tcBorders>
            <w:noWrap w:val="0"/>
            <w:vAlign w:val="center"/>
          </w:tcPr>
          <w:p w14:paraId="10E4FC19">
            <w:pPr>
              <w:keepNext w:val="0"/>
              <w:keepLines w:val="0"/>
              <w:pageBreakBefore w:val="0"/>
              <w:widowControl/>
              <w:kinsoku/>
              <w:wordWrap/>
              <w:overflowPunct/>
              <w:topLinePunct w:val="0"/>
              <w:autoSpaceDE w:val="0"/>
              <w:autoSpaceDN w:val="0"/>
              <w:bidi w:val="0"/>
              <w:spacing w:line="240" w:lineRule="auto"/>
              <w:ind w:left="0" w:leftChars="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p>
        </w:tc>
      </w:tr>
      <w:tr w14:paraId="5F53FA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7" w:type="pct"/>
            <w:tcBorders>
              <w:tl2br w:val="nil"/>
              <w:tr2bl w:val="nil"/>
            </w:tcBorders>
            <w:noWrap w:val="0"/>
            <w:vAlign w:val="center"/>
          </w:tcPr>
          <w:p w14:paraId="5D9F0670">
            <w:pPr>
              <w:keepNext w:val="0"/>
              <w:keepLines w:val="0"/>
              <w:pageBreakBefore w:val="0"/>
              <w:kinsoku/>
              <w:wordWrap/>
              <w:overflowPunct/>
              <w:topLinePunct w:val="0"/>
              <w:bidi w:val="0"/>
              <w:adjustRightInd w:val="0"/>
              <w:snapToGrid w:val="0"/>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4#</w:t>
            </w:r>
          </w:p>
        </w:tc>
        <w:tc>
          <w:tcPr>
            <w:tcW w:w="2139" w:type="pct"/>
            <w:tcBorders>
              <w:tl2br w:val="nil"/>
              <w:tr2bl w:val="nil"/>
            </w:tcBorders>
            <w:noWrap w:val="0"/>
            <w:vAlign w:val="center"/>
          </w:tcPr>
          <w:p w14:paraId="23E79ECC">
            <w:pPr>
              <w:keepNext w:val="0"/>
              <w:keepLines w:val="0"/>
              <w:pageBreakBefore w:val="0"/>
              <w:widowControl w:val="0"/>
              <w:tabs>
                <w:tab w:val="left" w:pos="2057"/>
              </w:tabs>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H15监测点</w:t>
            </w:r>
          </w:p>
        </w:tc>
        <w:tc>
          <w:tcPr>
            <w:tcW w:w="1282" w:type="dxa"/>
            <w:tcBorders>
              <w:tl2br w:val="nil"/>
              <w:tr2bl w:val="nil"/>
            </w:tcBorders>
            <w:noWrap w:val="0"/>
            <w:vAlign w:val="center"/>
          </w:tcPr>
          <w:p w14:paraId="30BA1E50">
            <w:pPr>
              <w:keepNext w:val="0"/>
              <w:keepLines w:val="0"/>
              <w:pageBreakBefore w:val="0"/>
              <w:widowControl/>
              <w:kinsoku/>
              <w:wordWrap/>
              <w:overflowPunct/>
              <w:topLinePunct w:val="0"/>
              <w:autoSpaceDE w:val="0"/>
              <w:autoSpaceDN w:val="0"/>
              <w:bidi w:val="0"/>
              <w:spacing w:line="240" w:lineRule="auto"/>
              <w:ind w:left="0" w:leftChars="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45</w:t>
            </w:r>
          </w:p>
        </w:tc>
        <w:tc>
          <w:tcPr>
            <w:tcW w:w="937" w:type="dxa"/>
            <w:tcBorders>
              <w:tl2br w:val="nil"/>
              <w:tr2bl w:val="nil"/>
            </w:tcBorders>
            <w:noWrap w:val="0"/>
            <w:vAlign w:val="center"/>
          </w:tcPr>
          <w:p w14:paraId="4656EF5A">
            <w:pPr>
              <w:keepNext w:val="0"/>
              <w:keepLines w:val="0"/>
              <w:pageBreakBefore w:val="0"/>
              <w:widowControl/>
              <w:kinsoku/>
              <w:wordWrap/>
              <w:overflowPunct/>
              <w:topLinePunct w:val="0"/>
              <w:autoSpaceDE w:val="0"/>
              <w:autoSpaceDN w:val="0"/>
              <w:bidi w:val="0"/>
              <w:spacing w:line="240" w:lineRule="auto"/>
              <w:ind w:left="0" w:leftChars="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41</w:t>
            </w:r>
          </w:p>
        </w:tc>
        <w:tc>
          <w:tcPr>
            <w:tcW w:w="593" w:type="pct"/>
            <w:vMerge w:val="continue"/>
            <w:tcBorders>
              <w:tl2br w:val="nil"/>
              <w:tr2bl w:val="nil"/>
            </w:tcBorders>
            <w:noWrap w:val="0"/>
            <w:vAlign w:val="center"/>
          </w:tcPr>
          <w:p w14:paraId="2337ACD5">
            <w:pPr>
              <w:keepNext w:val="0"/>
              <w:keepLines w:val="0"/>
              <w:pageBreakBefore w:val="0"/>
              <w:widowControl/>
              <w:kinsoku/>
              <w:wordWrap/>
              <w:overflowPunct/>
              <w:topLinePunct w:val="0"/>
              <w:autoSpaceDE w:val="0"/>
              <w:autoSpaceDN w:val="0"/>
              <w:bidi w:val="0"/>
              <w:spacing w:line="240" w:lineRule="auto"/>
              <w:ind w:left="0" w:leftChars="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p>
        </w:tc>
        <w:tc>
          <w:tcPr>
            <w:tcW w:w="489" w:type="pct"/>
            <w:vMerge w:val="continue"/>
            <w:tcBorders>
              <w:tl2br w:val="nil"/>
              <w:tr2bl w:val="nil"/>
            </w:tcBorders>
            <w:noWrap w:val="0"/>
            <w:vAlign w:val="center"/>
          </w:tcPr>
          <w:p w14:paraId="7A054C35">
            <w:pPr>
              <w:keepNext w:val="0"/>
              <w:keepLines w:val="0"/>
              <w:pageBreakBefore w:val="0"/>
              <w:widowControl/>
              <w:kinsoku/>
              <w:wordWrap/>
              <w:overflowPunct/>
              <w:topLinePunct w:val="0"/>
              <w:autoSpaceDE w:val="0"/>
              <w:autoSpaceDN w:val="0"/>
              <w:bidi w:val="0"/>
              <w:spacing w:line="240" w:lineRule="auto"/>
              <w:ind w:left="0" w:leftChars="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p>
        </w:tc>
      </w:tr>
      <w:tr w14:paraId="0C1E96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7" w:type="pct"/>
            <w:tcBorders>
              <w:tl2br w:val="nil"/>
              <w:tr2bl w:val="nil"/>
            </w:tcBorders>
            <w:noWrap w:val="0"/>
            <w:vAlign w:val="center"/>
          </w:tcPr>
          <w:p w14:paraId="0AD65BAC">
            <w:pPr>
              <w:keepNext w:val="0"/>
              <w:keepLines w:val="0"/>
              <w:pageBreakBefore w:val="0"/>
              <w:kinsoku/>
              <w:wordWrap/>
              <w:overflowPunct/>
              <w:topLinePunct w:val="0"/>
              <w:bidi w:val="0"/>
              <w:adjustRightInd w:val="0"/>
              <w:snapToGrid w:val="0"/>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5#</w:t>
            </w:r>
          </w:p>
        </w:tc>
        <w:tc>
          <w:tcPr>
            <w:tcW w:w="2139" w:type="pct"/>
            <w:tcBorders>
              <w:tl2br w:val="nil"/>
              <w:tr2bl w:val="nil"/>
            </w:tcBorders>
            <w:noWrap w:val="0"/>
            <w:vAlign w:val="center"/>
          </w:tcPr>
          <w:p w14:paraId="43163097">
            <w:pPr>
              <w:keepNext w:val="0"/>
              <w:keepLines w:val="0"/>
              <w:pageBreakBefore w:val="0"/>
              <w:widowControl w:val="0"/>
              <w:tabs>
                <w:tab w:val="left" w:pos="2057"/>
              </w:tabs>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H18监测点</w:t>
            </w:r>
          </w:p>
        </w:tc>
        <w:tc>
          <w:tcPr>
            <w:tcW w:w="1282" w:type="dxa"/>
            <w:tcBorders>
              <w:tl2br w:val="nil"/>
              <w:tr2bl w:val="nil"/>
            </w:tcBorders>
            <w:noWrap w:val="0"/>
            <w:vAlign w:val="center"/>
          </w:tcPr>
          <w:p w14:paraId="1DA5F50E">
            <w:pPr>
              <w:keepNext w:val="0"/>
              <w:keepLines w:val="0"/>
              <w:pageBreakBefore w:val="0"/>
              <w:widowControl/>
              <w:kinsoku/>
              <w:wordWrap/>
              <w:overflowPunct/>
              <w:topLinePunct w:val="0"/>
              <w:autoSpaceDE w:val="0"/>
              <w:autoSpaceDN w:val="0"/>
              <w:bidi w:val="0"/>
              <w:spacing w:line="240" w:lineRule="auto"/>
              <w:ind w:left="0" w:leftChars="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44</w:t>
            </w:r>
          </w:p>
        </w:tc>
        <w:tc>
          <w:tcPr>
            <w:tcW w:w="937" w:type="dxa"/>
            <w:tcBorders>
              <w:tl2br w:val="nil"/>
              <w:tr2bl w:val="nil"/>
            </w:tcBorders>
            <w:noWrap w:val="0"/>
            <w:vAlign w:val="center"/>
          </w:tcPr>
          <w:p w14:paraId="16B6E338">
            <w:pPr>
              <w:keepNext w:val="0"/>
              <w:keepLines w:val="0"/>
              <w:pageBreakBefore w:val="0"/>
              <w:widowControl/>
              <w:kinsoku/>
              <w:wordWrap/>
              <w:overflowPunct/>
              <w:topLinePunct w:val="0"/>
              <w:autoSpaceDE w:val="0"/>
              <w:autoSpaceDN w:val="0"/>
              <w:bidi w:val="0"/>
              <w:spacing w:line="240" w:lineRule="auto"/>
              <w:ind w:left="0" w:leftChars="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40</w:t>
            </w:r>
          </w:p>
        </w:tc>
        <w:tc>
          <w:tcPr>
            <w:tcW w:w="593" w:type="pct"/>
            <w:vMerge w:val="continue"/>
            <w:tcBorders>
              <w:tl2br w:val="nil"/>
              <w:tr2bl w:val="nil"/>
            </w:tcBorders>
            <w:noWrap w:val="0"/>
            <w:vAlign w:val="center"/>
          </w:tcPr>
          <w:p w14:paraId="5F8298BA">
            <w:pPr>
              <w:keepNext w:val="0"/>
              <w:keepLines w:val="0"/>
              <w:pageBreakBefore w:val="0"/>
              <w:widowControl/>
              <w:kinsoku/>
              <w:wordWrap/>
              <w:overflowPunct/>
              <w:topLinePunct w:val="0"/>
              <w:autoSpaceDE w:val="0"/>
              <w:autoSpaceDN w:val="0"/>
              <w:bidi w:val="0"/>
              <w:spacing w:line="240" w:lineRule="auto"/>
              <w:ind w:left="0" w:leftChars="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p>
        </w:tc>
        <w:tc>
          <w:tcPr>
            <w:tcW w:w="489" w:type="pct"/>
            <w:vMerge w:val="continue"/>
            <w:tcBorders>
              <w:tl2br w:val="nil"/>
              <w:tr2bl w:val="nil"/>
            </w:tcBorders>
            <w:noWrap w:val="0"/>
            <w:vAlign w:val="center"/>
          </w:tcPr>
          <w:p w14:paraId="65EBFB3B">
            <w:pPr>
              <w:keepNext w:val="0"/>
              <w:keepLines w:val="0"/>
              <w:pageBreakBefore w:val="0"/>
              <w:widowControl/>
              <w:kinsoku/>
              <w:wordWrap/>
              <w:overflowPunct/>
              <w:topLinePunct w:val="0"/>
              <w:autoSpaceDE w:val="0"/>
              <w:autoSpaceDN w:val="0"/>
              <w:bidi w:val="0"/>
              <w:spacing w:line="240" w:lineRule="auto"/>
              <w:ind w:left="0" w:leftChars="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p>
        </w:tc>
      </w:tr>
      <w:tr w14:paraId="2C7B73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7" w:type="pct"/>
            <w:tcBorders>
              <w:tl2br w:val="nil"/>
              <w:tr2bl w:val="nil"/>
            </w:tcBorders>
            <w:noWrap w:val="0"/>
            <w:vAlign w:val="center"/>
          </w:tcPr>
          <w:p w14:paraId="6CAE1626">
            <w:pPr>
              <w:keepNext w:val="0"/>
              <w:keepLines w:val="0"/>
              <w:pageBreakBefore w:val="0"/>
              <w:kinsoku/>
              <w:wordWrap/>
              <w:overflowPunct/>
              <w:topLinePunct w:val="0"/>
              <w:bidi w:val="0"/>
              <w:adjustRightInd w:val="0"/>
              <w:snapToGrid w:val="0"/>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6#</w:t>
            </w:r>
          </w:p>
        </w:tc>
        <w:tc>
          <w:tcPr>
            <w:tcW w:w="2139" w:type="pct"/>
            <w:tcBorders>
              <w:tl2br w:val="nil"/>
              <w:tr2bl w:val="nil"/>
            </w:tcBorders>
            <w:noWrap w:val="0"/>
            <w:vAlign w:val="center"/>
          </w:tcPr>
          <w:p w14:paraId="0886BF82">
            <w:pPr>
              <w:keepNext w:val="0"/>
              <w:keepLines w:val="0"/>
              <w:pageBreakBefore w:val="0"/>
              <w:widowControl w:val="0"/>
              <w:tabs>
                <w:tab w:val="left" w:pos="2057"/>
              </w:tabs>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H19监测点</w:t>
            </w:r>
          </w:p>
        </w:tc>
        <w:tc>
          <w:tcPr>
            <w:tcW w:w="1282" w:type="dxa"/>
            <w:tcBorders>
              <w:tl2br w:val="nil"/>
              <w:tr2bl w:val="nil"/>
            </w:tcBorders>
            <w:noWrap w:val="0"/>
            <w:vAlign w:val="center"/>
          </w:tcPr>
          <w:p w14:paraId="1626517D">
            <w:pPr>
              <w:keepNext w:val="0"/>
              <w:keepLines w:val="0"/>
              <w:pageBreakBefore w:val="0"/>
              <w:widowControl/>
              <w:kinsoku/>
              <w:wordWrap/>
              <w:overflowPunct/>
              <w:topLinePunct w:val="0"/>
              <w:autoSpaceDE w:val="0"/>
              <w:autoSpaceDN w:val="0"/>
              <w:bidi w:val="0"/>
              <w:spacing w:line="240" w:lineRule="auto"/>
              <w:ind w:left="0" w:leftChars="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44</w:t>
            </w:r>
          </w:p>
        </w:tc>
        <w:tc>
          <w:tcPr>
            <w:tcW w:w="937" w:type="dxa"/>
            <w:tcBorders>
              <w:tl2br w:val="nil"/>
              <w:tr2bl w:val="nil"/>
            </w:tcBorders>
            <w:noWrap w:val="0"/>
            <w:vAlign w:val="center"/>
          </w:tcPr>
          <w:p w14:paraId="1DFEAE39">
            <w:pPr>
              <w:keepNext w:val="0"/>
              <w:keepLines w:val="0"/>
              <w:pageBreakBefore w:val="0"/>
              <w:widowControl/>
              <w:kinsoku/>
              <w:wordWrap/>
              <w:overflowPunct/>
              <w:topLinePunct w:val="0"/>
              <w:autoSpaceDE w:val="0"/>
              <w:autoSpaceDN w:val="0"/>
              <w:bidi w:val="0"/>
              <w:spacing w:line="240" w:lineRule="auto"/>
              <w:ind w:left="0" w:leftChars="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40</w:t>
            </w:r>
          </w:p>
        </w:tc>
        <w:tc>
          <w:tcPr>
            <w:tcW w:w="593" w:type="pct"/>
            <w:vMerge w:val="continue"/>
            <w:tcBorders>
              <w:tl2br w:val="nil"/>
              <w:tr2bl w:val="nil"/>
            </w:tcBorders>
            <w:noWrap w:val="0"/>
            <w:vAlign w:val="center"/>
          </w:tcPr>
          <w:p w14:paraId="1969E77F">
            <w:pPr>
              <w:keepNext w:val="0"/>
              <w:keepLines w:val="0"/>
              <w:pageBreakBefore w:val="0"/>
              <w:widowControl/>
              <w:kinsoku/>
              <w:wordWrap/>
              <w:overflowPunct/>
              <w:topLinePunct w:val="0"/>
              <w:autoSpaceDE w:val="0"/>
              <w:autoSpaceDN w:val="0"/>
              <w:bidi w:val="0"/>
              <w:spacing w:line="240" w:lineRule="auto"/>
              <w:ind w:left="0" w:leftChars="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p>
        </w:tc>
        <w:tc>
          <w:tcPr>
            <w:tcW w:w="489" w:type="pct"/>
            <w:vMerge w:val="continue"/>
            <w:tcBorders>
              <w:tl2br w:val="nil"/>
              <w:tr2bl w:val="nil"/>
            </w:tcBorders>
            <w:noWrap w:val="0"/>
            <w:vAlign w:val="center"/>
          </w:tcPr>
          <w:p w14:paraId="5778DCEF">
            <w:pPr>
              <w:keepNext w:val="0"/>
              <w:keepLines w:val="0"/>
              <w:pageBreakBefore w:val="0"/>
              <w:widowControl/>
              <w:kinsoku/>
              <w:wordWrap/>
              <w:overflowPunct/>
              <w:topLinePunct w:val="0"/>
              <w:autoSpaceDE w:val="0"/>
              <w:autoSpaceDN w:val="0"/>
              <w:bidi w:val="0"/>
              <w:spacing w:line="240" w:lineRule="auto"/>
              <w:ind w:left="0" w:leftChars="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p>
        </w:tc>
      </w:tr>
    </w:tbl>
    <w:p w14:paraId="7DFA161E">
      <w:pPr>
        <w:autoSpaceDE w:val="0"/>
        <w:autoSpaceDN w:val="0"/>
        <w:adjustRightInd w:val="0"/>
        <w:snapToGrid w:val="0"/>
        <w:spacing w:line="240" w:lineRule="auto"/>
        <w:ind w:firstLine="480" w:firstLineChars="200"/>
        <w:rPr>
          <w:rFonts w:hint="default" w:ascii="Times New Roman" w:hAnsi="Times New Roman" w:cs="Times New Roman" w:eastAsiaTheme="minorEastAsia"/>
          <w:color w:val="FF0000"/>
          <w:sz w:val="24"/>
          <w:highlight w:val="none"/>
        </w:rPr>
      </w:pPr>
    </w:p>
    <w:p w14:paraId="5F495397">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14:textFill>
            <w14:solidFill>
              <w14:schemeClr w14:val="tx1"/>
            </w14:solidFill>
          </w14:textFill>
        </w:rPr>
        <w:t>由表</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4.2</w:t>
      </w:r>
      <w:r>
        <w:rPr>
          <w:rFonts w:hint="default" w:ascii="Times New Roman" w:hAnsi="Times New Roman" w:cs="Times New Roman" w:eastAsiaTheme="minorEastAsia"/>
          <w:color w:val="000000" w:themeColor="text1"/>
          <w:sz w:val="24"/>
          <w:highlight w:val="none"/>
          <w14:textFill>
            <w14:solidFill>
              <w14:schemeClr w14:val="tx1"/>
            </w14:solidFill>
          </w14:textFill>
        </w:rPr>
        <w:t>-</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4</w:t>
      </w:r>
      <w:r>
        <w:rPr>
          <w:rFonts w:hint="default" w:ascii="Times New Roman" w:hAnsi="Times New Roman" w:cs="Times New Roman" w:eastAsiaTheme="minorEastAsia"/>
          <w:color w:val="000000" w:themeColor="text1"/>
          <w:sz w:val="24"/>
          <w:highlight w:val="none"/>
          <w14:textFill>
            <w14:solidFill>
              <w14:schemeClr w14:val="tx1"/>
            </w14:solidFill>
          </w14:textFill>
        </w:rPr>
        <w:t>分析可知，</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风电场</w:t>
      </w:r>
      <w:r>
        <w:rPr>
          <w:rFonts w:hint="eastAsia" w:cs="Times New Roman" w:eastAsiaTheme="minorEastAsia"/>
          <w:color w:val="000000" w:themeColor="text1"/>
          <w:sz w:val="24"/>
          <w:highlight w:val="none"/>
          <w:lang w:val="en-US" w:eastAsia="zh-CN"/>
          <w14:textFill>
            <w14:solidFill>
              <w14:schemeClr w14:val="tx1"/>
            </w14:solidFill>
          </w14:textFill>
        </w:rPr>
        <w:t>内具有代表性风机点位</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声环境质量现状监测值满足</w:t>
      </w:r>
      <w:r>
        <w:rPr>
          <w:rFonts w:hint="default" w:ascii="Times New Roman" w:hAnsi="Times New Roman" w:cs="Times New Roman" w:eastAsiaTheme="minorEastAsia"/>
          <w:color w:val="000000" w:themeColor="text1"/>
          <w:sz w:val="24"/>
          <w:highlight w:val="none"/>
          <w14:textFill>
            <w14:solidFill>
              <w14:schemeClr w14:val="tx1"/>
            </w14:solidFill>
          </w14:textFill>
        </w:rPr>
        <w:t>《声环境质量标准》</w:t>
      </w:r>
      <w: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 w:val="24"/>
          <w:highlight w:val="none"/>
          <w14:textFill>
            <w14:solidFill>
              <w14:schemeClr w14:val="tx1"/>
            </w14:solidFill>
          </w14:textFill>
        </w:rPr>
        <w:t>GB3096-2008</w:t>
      </w:r>
      <w: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 w:val="24"/>
          <w:highlight w:val="none"/>
          <w14:textFill>
            <w14:solidFill>
              <w14:schemeClr w14:val="tx1"/>
            </w14:solidFill>
          </w14:textFill>
        </w:rPr>
        <w:t>中2类区标准</w:t>
      </w:r>
      <w: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 w:val="24"/>
          <w:highlight w:val="none"/>
          <w14:textFill>
            <w14:solidFill>
              <w14:schemeClr w14:val="tx1"/>
            </w14:solidFill>
          </w14:textFill>
        </w:rPr>
        <w:t>昼间60dB</w:t>
      </w:r>
      <w: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 w:val="24"/>
          <w:highlight w:val="none"/>
          <w14:textFill>
            <w14:solidFill>
              <w14:schemeClr w14:val="tx1"/>
            </w14:solidFill>
          </w14:textFill>
        </w:rPr>
        <w:t>A</w:t>
      </w:r>
      <w: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 w:val="24"/>
          <w:highlight w:val="none"/>
          <w14:textFill>
            <w14:solidFill>
              <w14:schemeClr w14:val="tx1"/>
            </w14:solidFill>
          </w14:textFill>
        </w:rPr>
        <w:t>、夜间50dB</w:t>
      </w:r>
      <w: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 w:val="24"/>
          <w:highlight w:val="none"/>
          <w14:textFill>
            <w14:solidFill>
              <w14:schemeClr w14:val="tx1"/>
            </w14:solidFill>
          </w14:textFill>
        </w:rPr>
        <w:t>A</w:t>
      </w:r>
      <w: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的要求</w:t>
      </w:r>
      <w: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t>。</w:t>
      </w:r>
    </w:p>
    <w:bookmarkEnd w:id="333"/>
    <w:bookmarkEnd w:id="334"/>
    <w:p w14:paraId="2D719C1E">
      <w:pPr>
        <w:pStyle w:val="11"/>
        <w:keepNext/>
        <w:keepLines/>
        <w:pageBreakBefore w:val="0"/>
        <w:widowControl w:val="0"/>
        <w:kinsoku/>
        <w:wordWrap/>
        <w:overflowPunct/>
        <w:topLinePunct w:val="0"/>
        <w:autoSpaceDE/>
        <w:autoSpaceDN/>
        <w:bidi w:val="0"/>
        <w:adjustRightInd/>
        <w:snapToGrid/>
        <w:ind w:left="0"/>
        <w:textAlignment w:val="auto"/>
        <w:outlineLvl w:val="2"/>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bookmarkStart w:id="350" w:name="_Toc13608"/>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4.2.</w:t>
      </w:r>
      <w:r>
        <w:rPr>
          <w:rFonts w:hint="eastAsia" w:cs="Times New Roman" w:eastAsiaTheme="minorEastAsia"/>
          <w:color w:val="000000" w:themeColor="text1"/>
          <w:highlight w:val="none"/>
          <w:lang w:val="en-US" w:eastAsia="zh-CN"/>
          <w14:textFill>
            <w14:solidFill>
              <w14:schemeClr w14:val="tx1"/>
            </w14:solidFill>
          </w14:textFill>
        </w:rPr>
        <w:t>5</w:t>
      </w: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 xml:space="preserve"> 土壤环境质量现状评价</w:t>
      </w:r>
      <w:bookmarkEnd w:id="350"/>
    </w:p>
    <w:p w14:paraId="581DE0F5">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根据《环境影响评价技术导则 土壤环境(试行)》(HJ964-2018)规定，本项目为风力发电，属于“电力热力燃气及水生产和供应业”中的其他，属于Ⅳ类项目，可不开展土壤环境质量现状评价。</w:t>
      </w:r>
    </w:p>
    <w:p w14:paraId="73A9303B">
      <w:pPr>
        <w:pStyle w:val="11"/>
        <w:keepNext/>
        <w:keepLines/>
        <w:pageBreakBefore w:val="0"/>
        <w:widowControl w:val="0"/>
        <w:kinsoku/>
        <w:wordWrap/>
        <w:overflowPunct/>
        <w:topLinePunct w:val="0"/>
        <w:autoSpaceDE/>
        <w:autoSpaceDN/>
        <w:bidi w:val="0"/>
        <w:adjustRightInd/>
        <w:snapToGrid/>
        <w:ind w:left="0"/>
        <w:textAlignment w:val="auto"/>
        <w:outlineLvl w:val="2"/>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bookmarkStart w:id="351" w:name="_Toc391021354"/>
      <w:bookmarkStart w:id="352" w:name="_Toc340737547"/>
      <w:bookmarkStart w:id="353" w:name="_Toc11408"/>
      <w:bookmarkStart w:id="354" w:name="_Toc391021173"/>
      <w:bookmarkStart w:id="355" w:name="_Toc9527"/>
      <w:bookmarkStart w:id="356" w:name="_Toc8717"/>
      <w:bookmarkStart w:id="357" w:name="_Toc23088"/>
      <w:bookmarkStart w:id="358" w:name="_Toc31739"/>
      <w:bookmarkStart w:id="359" w:name="_Toc19280"/>
      <w:bookmarkStart w:id="360" w:name="_Toc391020948"/>
      <w:bookmarkStart w:id="361" w:name="_Toc313005924"/>
      <w:bookmarkStart w:id="362" w:name="_Toc294859126"/>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4.2.</w:t>
      </w:r>
      <w:r>
        <w:rPr>
          <w:rFonts w:hint="eastAsia" w:cs="Times New Roman" w:eastAsiaTheme="minorEastAsia"/>
          <w:color w:val="000000" w:themeColor="text1"/>
          <w:highlight w:val="none"/>
          <w:lang w:val="en-US" w:eastAsia="zh-CN"/>
          <w14:textFill>
            <w14:solidFill>
              <w14:schemeClr w14:val="tx1"/>
            </w14:solidFill>
          </w14:textFill>
        </w:rPr>
        <w:t>6</w:t>
      </w: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 xml:space="preserve"> 生态</w:t>
      </w:r>
      <w:bookmarkEnd w:id="351"/>
      <w:bookmarkEnd w:id="352"/>
      <w:bookmarkEnd w:id="353"/>
      <w:bookmarkEnd w:id="354"/>
      <w:bookmarkEnd w:id="355"/>
      <w:bookmarkEnd w:id="356"/>
      <w:bookmarkEnd w:id="357"/>
      <w:bookmarkEnd w:id="358"/>
      <w:bookmarkEnd w:id="359"/>
      <w:bookmarkEnd w:id="360"/>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现状调查评价</w:t>
      </w:r>
    </w:p>
    <w:p w14:paraId="70FF532D">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bookmarkStart w:id="363" w:name="_Toc799"/>
      <w:bookmarkStart w:id="364" w:name="_Toc391021174"/>
      <w:bookmarkStart w:id="365" w:name="_Toc340737548"/>
      <w:bookmarkStart w:id="366" w:name="_Toc391020949"/>
      <w:bookmarkStart w:id="367" w:name="_Toc32027"/>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项目评价范围内不涉及自然保护区、风景名胜区等生态敏感区，区域生态现状调查如下：</w:t>
      </w:r>
    </w:p>
    <w:p w14:paraId="4363A34F">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t>(1)生态敏感区调查</w:t>
      </w:r>
    </w:p>
    <w:p w14:paraId="4C3827B1">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柴窝堡湖国家湿地自然公园位于本项目</w:t>
      </w:r>
      <w:r>
        <w:rPr>
          <w:rFonts w:hint="eastAsia" w:eastAsia="宋体" w:cs="Times New Roman"/>
          <w:color w:val="000000" w:themeColor="text1"/>
          <w:sz w:val="24"/>
          <w:szCs w:val="24"/>
          <w:lang w:val="en-US" w:eastAsia="zh-CN"/>
          <w14:textFill>
            <w14:solidFill>
              <w14:schemeClr w14:val="tx1"/>
            </w14:solidFill>
          </w14:textFill>
        </w:rPr>
        <w:t>H1风机东南侧约31km处，</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不在本项目评价范围内。本项目与生态敏感区位置关系详见图4.2-3。</w:t>
      </w:r>
    </w:p>
    <w:p w14:paraId="731BCD4C">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t>(2)土地利用</w:t>
      </w:r>
    </w:p>
    <w:p w14:paraId="58F210D0">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eastAsia="宋体" w:cs="Times New Roman"/>
          <w:color w:val="000000" w:themeColor="text1"/>
          <w:sz w:val="24"/>
          <w:szCs w:val="24"/>
          <w:lang w:val="en-US" w:eastAsia="zh-CN"/>
          <w14:textFill>
            <w14:solidFill>
              <w14:schemeClr w14:val="tx1"/>
            </w14:solidFill>
          </w14:textFill>
        </w:rPr>
      </w:pPr>
      <w:r>
        <w:rPr>
          <w:rFonts w:hint="default" w:eastAsia="宋体" w:cs="Times New Roman"/>
          <w:color w:val="000000" w:themeColor="text1"/>
          <w:sz w:val="24"/>
          <w:szCs w:val="24"/>
          <w:lang w:val="en-US" w:eastAsia="zh-CN"/>
          <w14:textFill>
            <w14:solidFill>
              <w14:schemeClr w14:val="tx1"/>
            </w14:solidFill>
          </w14:textFill>
        </w:rPr>
        <w:t>本次环评收集了项目区周边的土地利用分布的相关资料。</w:t>
      </w:r>
      <w:r>
        <w:rPr>
          <w:rFonts w:hint="default" w:eastAsia="宋体" w:cs="Times New Roman"/>
          <w:color w:val="000000" w:themeColor="text1"/>
          <w:sz w:val="24"/>
          <w:szCs w:val="24"/>
          <w:lang w:val="zh-CN" w:eastAsia="zh-CN"/>
          <w14:textFill>
            <w14:solidFill>
              <w14:schemeClr w14:val="tx1"/>
            </w14:solidFill>
          </w14:textFill>
        </w:rPr>
        <w:t>建设</w:t>
      </w:r>
      <w:r>
        <w:rPr>
          <w:rFonts w:hint="default" w:eastAsia="宋体" w:cs="Times New Roman"/>
          <w:color w:val="000000" w:themeColor="text1"/>
          <w:sz w:val="24"/>
          <w:szCs w:val="24"/>
          <w:lang w:val="en-US" w:eastAsia="zh-CN"/>
          <w14:textFill>
            <w14:solidFill>
              <w14:schemeClr w14:val="tx1"/>
            </w14:solidFill>
          </w14:textFill>
        </w:rPr>
        <w:t>工程</w:t>
      </w:r>
      <w:r>
        <w:rPr>
          <w:rFonts w:hint="default" w:eastAsia="宋体" w:cs="Times New Roman"/>
          <w:color w:val="000000" w:themeColor="text1"/>
          <w:sz w:val="24"/>
          <w:szCs w:val="24"/>
          <w:lang w:val="zh-CN" w:eastAsia="zh-CN"/>
          <w14:textFill>
            <w14:solidFill>
              <w14:schemeClr w14:val="tx1"/>
            </w14:solidFill>
          </w14:textFill>
        </w:rPr>
        <w:t>位于乌鲁木齐市</w:t>
      </w:r>
      <w:r>
        <w:rPr>
          <w:rFonts w:hint="eastAsia" w:eastAsia="宋体" w:cs="Times New Roman"/>
          <w:color w:val="000000" w:themeColor="text1"/>
          <w:sz w:val="24"/>
          <w:szCs w:val="24"/>
          <w:lang w:val="en-US" w:eastAsia="zh-CN"/>
          <w14:textFill>
            <w14:solidFill>
              <w14:schemeClr w14:val="tx1"/>
            </w14:solidFill>
          </w14:textFill>
        </w:rPr>
        <w:t>沙依巴克区</w:t>
      </w:r>
      <w:r>
        <w:rPr>
          <w:rFonts w:hint="default" w:eastAsia="宋体" w:cs="Times New Roman"/>
          <w:color w:val="000000" w:themeColor="text1"/>
          <w:sz w:val="24"/>
          <w:szCs w:val="24"/>
          <w:lang w:val="zh-CN" w:eastAsia="zh-CN"/>
          <w14:textFill>
            <w14:solidFill>
              <w14:schemeClr w14:val="tx1"/>
            </w14:solidFill>
          </w14:textFill>
        </w:rPr>
        <w:t>内</w:t>
      </w:r>
      <w:r>
        <w:rPr>
          <w:rFonts w:hint="default" w:eastAsia="宋体" w:cs="Times New Roman"/>
          <w:color w:val="000000" w:themeColor="text1"/>
          <w:sz w:val="24"/>
          <w:szCs w:val="24"/>
          <w:lang w:val="en-US" w:eastAsia="zh-CN"/>
          <w14:textFill>
            <w14:solidFill>
              <w14:schemeClr w14:val="tx1"/>
            </w14:solidFill>
          </w14:textFill>
        </w:rPr>
        <w:t>，项目区域土地利用类型为</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天然牧草地</w:t>
      </w:r>
      <w:r>
        <w:rPr>
          <w:rFonts w:hint="eastAsia" w:cs="Times New Roman" w:eastAsiaTheme="minorEastAsia"/>
          <w:color w:val="000000" w:themeColor="text1"/>
          <w:sz w:val="24"/>
          <w:highlight w:val="none"/>
          <w:lang w:val="en-US" w:eastAsia="zh-CN"/>
          <w14:textFill>
            <w14:solidFill>
              <w14:schemeClr w14:val="tx1"/>
            </w14:solidFill>
          </w14:textFill>
        </w:rPr>
        <w:t>、其他草地、水浇地、其他林地、采矿用地</w:t>
      </w:r>
      <w:r>
        <w:rPr>
          <w:rFonts w:hint="default" w:eastAsia="宋体" w:cs="Times New Roman"/>
          <w:color w:val="000000" w:themeColor="text1"/>
          <w:sz w:val="24"/>
          <w:szCs w:val="24"/>
          <w:lang w:val="en-US" w:eastAsia="zh-CN"/>
          <w14:textFill>
            <w14:solidFill>
              <w14:schemeClr w14:val="tx1"/>
            </w14:solidFill>
          </w14:textFill>
        </w:rPr>
        <w:t>。评价区域土地利用现状类型见图4.2-4。</w:t>
      </w:r>
    </w:p>
    <w:bookmarkEnd w:id="361"/>
    <w:bookmarkEnd w:id="363"/>
    <w:bookmarkEnd w:id="364"/>
    <w:bookmarkEnd w:id="365"/>
    <w:bookmarkEnd w:id="366"/>
    <w:bookmarkEnd w:id="367"/>
    <w:p w14:paraId="56307B80">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pPr>
      <w:bookmarkStart w:id="368" w:name="_Toc391020951"/>
      <w:bookmarkStart w:id="369" w:name="_Toc391021176"/>
      <w:bookmarkStart w:id="370" w:name="_Toc313005926"/>
      <w:bookmarkStart w:id="371" w:name="_Toc340737550"/>
      <w:r>
        <w:rPr>
          <w:rFonts w:hint="default"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t>(3)生态系统类型及功能</w:t>
      </w:r>
    </w:p>
    <w:p w14:paraId="2D7F6325">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eastAsia="宋体" w:cs="Times New Roman"/>
          <w:color w:val="000000" w:themeColor="text1"/>
          <w:sz w:val="24"/>
          <w:szCs w:val="24"/>
          <w:lang w:val="en-US" w:eastAsia="zh-CN"/>
          <w14:textFill>
            <w14:solidFill>
              <w14:schemeClr w14:val="tx1"/>
            </w14:solidFill>
          </w14:textFill>
        </w:rPr>
      </w:pPr>
      <w:r>
        <w:rPr>
          <w:rFonts w:hint="default" w:eastAsia="宋体" w:cs="Times New Roman"/>
          <w:color w:val="000000" w:themeColor="text1"/>
          <w:sz w:val="24"/>
          <w:szCs w:val="24"/>
          <w:lang w:val="en-US" w:eastAsia="zh-CN"/>
          <w14:textFill>
            <w14:solidFill>
              <w14:schemeClr w14:val="tx1"/>
            </w14:solidFill>
          </w14:textFill>
        </w:rPr>
        <w:t>本项目区域生态系统类型主要为草地生态系统，区域地表植被为干旱、半干旱地区荒漠植被，植物群落单一，种类组成贫乏，植物低矮、稀疏，生态环境较恶劣。</w:t>
      </w:r>
    </w:p>
    <w:p w14:paraId="196DB826">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eastAsia="宋体" w:cs="Times New Roman"/>
          <w:color w:val="000000" w:themeColor="text1"/>
          <w:sz w:val="24"/>
          <w:szCs w:val="24"/>
          <w:lang w:val="en-US" w:eastAsia="zh-CN"/>
          <w14:textFill>
            <w14:solidFill>
              <w14:schemeClr w14:val="tx1"/>
            </w14:solidFill>
          </w14:textFill>
        </w:rPr>
      </w:pPr>
      <w:r>
        <w:rPr>
          <w:rFonts w:hint="default" w:eastAsia="宋体" w:cs="Times New Roman"/>
          <w:color w:val="000000" w:themeColor="text1"/>
          <w:sz w:val="24"/>
          <w:szCs w:val="24"/>
          <w:lang w:val="en-US" w:eastAsia="zh-CN"/>
          <w14:textFill>
            <w14:solidFill>
              <w14:schemeClr w14:val="tx1"/>
            </w14:solidFill>
          </w14:textFill>
        </w:rPr>
        <w:t>根据《新疆生态功能区划》，本项目所在区域位于准噶尔盆地温性荒漠与绿洲农业生态区，准噶尔盆地南部荒漠绿洲农业生态亚区，乌鲁木齐城市及城郊农业生态功能区(27)。该功能区主要生态服务功能为人居环境、工农业产品生产、旅游的特征。本项目所属生态功能区主要特征详见表3.3-2。</w:t>
      </w:r>
    </w:p>
    <w:p w14:paraId="0764BF56">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t>(4</w:t>
      </w:r>
      <w:r>
        <w:rPr>
          <w:rFonts w:hint="eastAsia" w:cs="Times New Roman" w:eastAsiaTheme="minorEastAsia"/>
          <w:b/>
          <w:bCs/>
          <w:snapToGrid w:val="0"/>
          <w:color w:val="000000" w:themeColor="text1"/>
          <w:sz w:val="24"/>
          <w:highlight w:val="none"/>
          <w:lang w:val="en-US" w:eastAsia="zh-CN"/>
          <w14:textFill>
            <w14:solidFill>
              <w14:schemeClr w14:val="tx1"/>
            </w14:solidFill>
          </w14:textFill>
        </w:rPr>
        <w:t>)</w:t>
      </w:r>
      <w:r>
        <w:rPr>
          <w:rFonts w:hint="default"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t>土壤</w:t>
      </w:r>
    </w:p>
    <w:p w14:paraId="10498873">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根据项目组成及项目特点，本次环评土壤现状调查范围主要为风电场</w:t>
      </w:r>
      <w:r>
        <w:rPr>
          <w:rFonts w:hint="eastAsia" w:cs="Times New Roman" w:eastAsiaTheme="minorEastAsia"/>
          <w:snapToGrid w:val="0"/>
          <w:color w:val="000000" w:themeColor="text1"/>
          <w:sz w:val="24"/>
          <w:highlight w:val="none"/>
          <w:lang w:val="en-US" w:eastAsia="zh-CN"/>
          <w14:textFill>
            <w14:solidFill>
              <w14:schemeClr w14:val="tx1"/>
            </w14:solidFill>
          </w14:textFill>
        </w:rPr>
        <w:t>风机占地范围</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，适当涉及其周边。采用搜集资料与现状调查相结合的方法，调查土壤类型分布、理化性质、了解项目区土壤环境背景状况。</w:t>
      </w:r>
    </w:p>
    <w:p w14:paraId="7BDE70FF">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本项目土壤类型以灰棕漠土为主，土壤类型图见4.2-5。</w:t>
      </w:r>
    </w:p>
    <w:p w14:paraId="546635A3">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pPr>
      <w:bookmarkStart w:id="372" w:name="_Toc391020950"/>
      <w:bookmarkStart w:id="373" w:name="_Toc340737549"/>
      <w:bookmarkStart w:id="374" w:name="_Toc391021175"/>
      <w:bookmarkStart w:id="375" w:name="_Toc22494"/>
      <w:bookmarkStart w:id="376" w:name="_Toc24386"/>
      <w:r>
        <w:rPr>
          <w:rFonts w:hint="default"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t>(5)植被</w:t>
      </w:r>
      <w:bookmarkEnd w:id="372"/>
      <w:bookmarkEnd w:id="373"/>
      <w:bookmarkEnd w:id="374"/>
      <w:bookmarkEnd w:id="375"/>
      <w:bookmarkEnd w:id="376"/>
    </w:p>
    <w:p w14:paraId="604A767C">
      <w:pPr>
        <w:ind w:left="0" w:leftChars="0" w:firstLine="480" w:firstLineChars="200"/>
        <w:jc w:val="both"/>
        <w:rPr>
          <w:rFonts w:hint="eastAsia"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本项目地貌为冲洪积平原。植被特点如下：本项目所在区域干旱少雨、蒸发强烈，多风，区域地表植被为干旱、半干旱地区荒漠植被，主要分布在海拔1140m～1220m区域的冲洪积扇中上部地带，植物群落单一，种类组成贫乏，植物低矮、稀疏，植被覆盖率约10%</w:t>
      </w:r>
      <w:bookmarkStart w:id="377" w:name="_Toc18974"/>
      <w:bookmarkStart w:id="378" w:name="_Toc1431"/>
      <w:r>
        <w:rPr>
          <w:rFonts w:hint="eastAsia" w:cs="Times New Roman" w:eastAsiaTheme="minorEastAsia"/>
          <w:snapToGrid w:val="0"/>
          <w:color w:val="000000" w:themeColor="text1"/>
          <w:sz w:val="24"/>
          <w:highlight w:val="none"/>
          <w:lang w:val="en-US" w:eastAsia="zh-CN"/>
          <w14:textFill>
            <w14:solidFill>
              <w14:schemeClr w14:val="tx1"/>
            </w14:solidFill>
          </w14:textFill>
        </w:rPr>
        <w:t>。</w:t>
      </w:r>
    </w:p>
    <w:p w14:paraId="06033DC1">
      <w:pPr>
        <w:ind w:left="0" w:leftChars="0" w:firstLine="480" w:firstLineChars="200"/>
        <w:jc w:val="both"/>
        <w:rPr>
          <w:rFonts w:hint="default"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t>(6)</w:t>
      </w:r>
      <w:bookmarkEnd w:id="377"/>
      <w:bookmarkEnd w:id="378"/>
      <w:r>
        <w:rPr>
          <w:rFonts w:hint="default"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t>野生动物</w:t>
      </w:r>
    </w:p>
    <w:p w14:paraId="4E84544E">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FF0000"/>
          <w:sz w:val="24"/>
          <w:highlight w:val="none"/>
          <w:lang w:val="en-US" w:eastAsia="zh-CN"/>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本项目所在区域为冲洪积荒漠</w:t>
      </w:r>
      <w:r>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平原区域</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，评价区内基本无大型野生哺乳动物存在</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根据调查，区域范围内野生动物主要有鼠类、沙蜥以及鸟类</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w:t>
      </w:r>
    </w:p>
    <w:p w14:paraId="3797F329">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由于新疆地处重要鸟类繁殖地西伯利亚和鸟类越冬地南亚印度次大陆之间，所以，每年春秋季节，新疆成了候鸟迁徙的必经之路。据相关专家介绍，新疆的候鸟迁徙路径主要有以下几条，即：东非－西亚线路、北非－新疆北部线路、中亚－南亚线路、大洋洲－新疆线路。每年春秋，至少会有190余种候鸟途经乌鲁木齐。据新疆生态与地理研究所研究员调查员讲述，目前乌市有280余种鸟类，占新疆鸟类资源的58%，其中国家一级保护鸟类7种：黑鹳玉带海雕、白尾海雕、金雕、胡兀鹫、波斑鸨、大鸨；二级保护鸟类42种。这些鸟类资源均分布在乌市周边的湿地、湖泊、森林、公园等地。候鸟迁徙路径详见图4.2-7。根据资料收集及现场走访调查，本项目</w:t>
      </w:r>
      <w:r>
        <w:rPr>
          <w:rFonts w:hint="eastAsia" w:cs="Times New Roman" w:eastAsiaTheme="minorEastAsia"/>
          <w:snapToGrid w:val="0"/>
          <w:color w:val="000000" w:themeColor="text1"/>
          <w:sz w:val="24"/>
          <w:highlight w:val="none"/>
          <w:lang w:val="en-US" w:eastAsia="zh-CN"/>
          <w14:textFill>
            <w14:solidFill>
              <w14:schemeClr w14:val="tx1"/>
            </w14:solidFill>
          </w14:textFill>
        </w:rPr>
        <w:t>所在区域</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不在候鸟迁徙的主要通道上。区域范围内鸟类主要有：大白鹭、蓑羽鹤、灰鹤、文须雀、灰蓝山雀、苍头燕、家麻雀、黑顶麻雀、喜鹊等。大白鹭为冬候鸟，3月末到4月中旬迁到北部繁殖地，10月初开始迁离繁殖地到南方越冬，多在柴窝堡湖及附近草地上活动；蓑羽鹤为冬候鸟，3月末到4月中旬迁到北部繁殖地，10月中下旬开始迁离繁殖地到南方越冬，多在柴窝堡湖及附近草地上活动；灰鹤为冬候鸟，2月底三月初迁到北部繁殖地，九月末十月初开始迁离繁殖地到南方越冬，多在柴窝堡湖及附近开阔湖泊草地上活动；苍头燕多为旅鸟和留鸟，文须雀、灰蓝山雀等其他鸟类多为留鸟。大白鹭、蓑羽鹤、灰鹤、文须雀、灰蓝山雀、苍头燕等多分布在距离本项目</w:t>
      </w:r>
      <w:r>
        <w:rPr>
          <w:rFonts w:hint="eastAsia" w:eastAsia="宋体" w:cs="Times New Roman"/>
          <w:color w:val="000000" w:themeColor="text1"/>
          <w:sz w:val="24"/>
          <w:szCs w:val="24"/>
          <w:lang w:val="en-US" w:eastAsia="zh-CN"/>
          <w14:textFill>
            <w14:solidFill>
              <w14:schemeClr w14:val="tx1"/>
            </w14:solidFill>
          </w14:textFill>
        </w:rPr>
        <w:t>风电场东南侧约31km处的</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柴窝堡湖国家湿地自然公园内</w:t>
      </w:r>
      <w:r>
        <w:rPr>
          <w:rFonts w:hint="eastAsia" w:cs="Times New Roman" w:eastAsiaTheme="minorEastAsia"/>
          <w:snapToGrid w:val="0"/>
          <w:color w:val="000000" w:themeColor="text1"/>
          <w:sz w:val="24"/>
          <w:highlight w:val="none"/>
          <w:lang w:val="en-US" w:eastAsia="zh-CN"/>
          <w14:textFill>
            <w14:solidFill>
              <w14:schemeClr w14:val="tx1"/>
            </w14:solidFill>
          </w14:textFill>
        </w:rPr>
        <w:t>，据资料及走访结果显示，</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项目区附近均未发现鸟类聚集活动。</w:t>
      </w:r>
    </w:p>
    <w:p w14:paraId="114F0B14">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本项目评价区域只有鼠类、蜥蜴等小型动物及少数麻雀、喜鹊等鸟类</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出没，</w:t>
      </w:r>
      <w:r>
        <w:rPr>
          <w:rFonts w:hint="default" w:ascii="Times New Roman" w:hAnsi="Times New Roman" w:eastAsia="宋体" w:cs="Times New Roman"/>
          <w:color w:val="000000" w:themeColor="text1"/>
          <w:sz w:val="24"/>
          <w:highlight w:val="none"/>
          <w14:textFill>
            <w14:solidFill>
              <w14:schemeClr w14:val="tx1"/>
            </w14:solidFill>
          </w14:textFill>
        </w:rPr>
        <w:t>实地</w:t>
      </w:r>
      <w:r>
        <w:rPr>
          <w:rFonts w:hint="default" w:ascii="Times New Roman" w:hAnsi="Times New Roman" w:eastAsia="宋体" w:cs="Times New Roman"/>
          <w:color w:val="000000" w:themeColor="text1"/>
          <w:sz w:val="24"/>
          <w:highlight w:val="none"/>
          <w:lang w:val="zh-TW" w:eastAsia="zh-TW"/>
          <w14:textFill>
            <w14:solidFill>
              <w14:schemeClr w14:val="tx1"/>
            </w14:solidFill>
          </w14:textFill>
        </w:rPr>
        <w:t>调查中未发现</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评价区内</w:t>
      </w:r>
      <w:r>
        <w:rPr>
          <w:rFonts w:hint="default" w:ascii="Times New Roman" w:hAnsi="Times New Roman" w:eastAsia="宋体" w:cs="Times New Roman"/>
          <w:color w:val="000000" w:themeColor="text1"/>
          <w:sz w:val="24"/>
          <w:highlight w:val="none"/>
          <w:lang w:val="zh-TW" w:eastAsia="zh-TW"/>
          <w14:textFill>
            <w14:solidFill>
              <w14:schemeClr w14:val="tx1"/>
            </w14:solidFill>
          </w14:textFill>
        </w:rPr>
        <w:t>有国家级或自治区级保护动物</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活动痕迹</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w:t>
      </w:r>
    </w:p>
    <w:bookmarkEnd w:id="368"/>
    <w:bookmarkEnd w:id="369"/>
    <w:bookmarkEnd w:id="370"/>
    <w:bookmarkEnd w:id="371"/>
    <w:p w14:paraId="0B08B0DC">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t>(7)水土流失现状</w:t>
      </w:r>
    </w:p>
    <w:p w14:paraId="5A53060F">
      <w:pPr>
        <w:keepNext w:val="0"/>
        <w:keepLines w:val="0"/>
        <w:pageBreakBefore w:val="0"/>
        <w:widowControl/>
        <w:suppressLineNumbers w:val="0"/>
        <w:kinsoku/>
        <w:wordWrap/>
        <w:overflowPunct/>
        <w:topLinePunct w:val="0"/>
        <w:autoSpaceDE/>
        <w:autoSpaceDN/>
        <w:bidi w:val="0"/>
        <w:adjustRightInd/>
        <w:snapToGrid/>
        <w:ind w:left="0" w:leftChars="0" w:firstLine="480" w:firstLineChars="200"/>
        <w:jc w:val="both"/>
        <w:textAlignment w:val="auto"/>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本项目位于乌鲁木齐市</w:t>
      </w:r>
      <w:r>
        <w:rPr>
          <w:rFonts w:hint="eastAsia" w:cs="Times New Roman" w:eastAsiaTheme="minorEastAsia"/>
          <w:color w:val="000000" w:themeColor="text1"/>
          <w:sz w:val="24"/>
          <w:highlight w:val="none"/>
          <w:lang w:val="en-US" w:eastAsia="zh-CN"/>
          <w14:textFill>
            <w14:solidFill>
              <w14:schemeClr w14:val="tx1"/>
            </w14:solidFill>
          </w14:textFill>
        </w:rPr>
        <w:t>沙依巴克区</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，地势平坦开阔，该区域气候干旱，降雨较少，地表土壤贫瘠，有机质含量低，土层较薄，这一地区干旱多风，地表常以砂砾石和风化碎石片覆盖。</w:t>
      </w:r>
    </w:p>
    <w:p w14:paraId="4CBA07C4">
      <w:pPr>
        <w:keepNext w:val="0"/>
        <w:keepLines w:val="0"/>
        <w:pageBreakBefore w:val="0"/>
        <w:widowControl/>
        <w:suppressLineNumbers w:val="0"/>
        <w:kinsoku/>
        <w:wordWrap/>
        <w:overflowPunct/>
        <w:topLinePunct w:val="0"/>
        <w:autoSpaceDE/>
        <w:autoSpaceDN/>
        <w:bidi w:val="0"/>
        <w:adjustRightInd/>
        <w:snapToGrid/>
        <w:ind w:left="0" w:leftChars="0" w:firstLine="480" w:firstLineChars="200"/>
        <w:jc w:val="both"/>
        <w:textAlignment w:val="auto"/>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工程建设对当地水土流失的影响主要表现为施工过程中对地面的扰动，在一定程度上改变、破坏了原有地表、植被，使土层松散、地表裸露，土壤失去了原有的固土防风能力，从而加剧了项目区水土流失。在项目建设过程中和施工期结束后如不采取有效的综合防治措施，可能造成当地生态环境的恶化，使建设区域土壤侵蚀加剧。</w:t>
      </w:r>
    </w:p>
    <w:p w14:paraId="592E18B3">
      <w:pPr>
        <w:keepNext w:val="0"/>
        <w:keepLines w:val="0"/>
        <w:pageBreakBefore w:val="0"/>
        <w:widowControl/>
        <w:suppressLineNumbers w:val="0"/>
        <w:kinsoku/>
        <w:wordWrap/>
        <w:overflowPunct w:val="0"/>
        <w:topLinePunct/>
        <w:autoSpaceDE/>
        <w:autoSpaceDN/>
        <w:bidi w:val="0"/>
        <w:adjustRightInd w:val="0"/>
        <w:snapToGrid w:val="0"/>
        <w:ind w:left="0" w:leftChars="0" w:firstLine="480" w:firstLineChars="200"/>
        <w:jc w:val="both"/>
        <w:textAlignment w:val="auto"/>
        <w:rPr>
          <w:rFonts w:hint="default" w:ascii="Times New Roman" w:hAnsi="Times New Roman" w:cs="Times New Roman" w:eastAsiaTheme="minorEastAsia"/>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根据水利部《全国水土保持规划国家级水土流失重点预防区和重点治理区复核划分成果》(办水保〔2013〕188号)，项目区所在区域属于天山北坡国家级水土流失重点预防区。根据新疆维吾尔自治区水利厅“关于印发新疆维吾尔自治区级水土流失重点预防区和重点治理区复核划分成果的通知”(新水水保〔2019〕4号)，项目区属于新疆维吾尔自治区级II</w:t>
      </w:r>
      <w:r>
        <w:rPr>
          <w:rFonts w:hint="default" w:ascii="Times New Roman" w:hAnsi="Times New Roman" w:cs="Times New Roman" w:eastAsiaTheme="minorEastAsia"/>
          <w:color w:val="000000" w:themeColor="text1"/>
          <w:sz w:val="24"/>
          <w:highlight w:val="none"/>
          <w:vertAlign w:val="subscript"/>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天山北坡诸小河流域重点治理区。</w:t>
      </w:r>
      <w:r>
        <w:rPr>
          <w:rFonts w:hint="default" w:ascii="Times New Roman" w:hAnsi="Times New Roman" w:cs="Times New Roman" w:eastAsiaTheme="minorEastAsia"/>
          <w:color w:val="000000" w:themeColor="text1"/>
          <w:kern w:val="0"/>
          <w:sz w:val="24"/>
          <w:szCs w:val="24"/>
          <w:highlight w:val="none"/>
          <w:lang w:val="en-US" w:eastAsia="zh-CN" w:bidi="ar"/>
          <w14:textFill>
            <w14:solidFill>
              <w14:schemeClr w14:val="tx1"/>
            </w14:solidFill>
          </w14:textFill>
        </w:rPr>
        <w:t>根据《全国水土保持规划》，项目区属于北方风沙区，属于冲洪积</w:t>
      </w:r>
      <w:r>
        <w:rPr>
          <w:rFonts w:hint="eastAsia" w:ascii="Times New Roman" w:hAnsi="Times New Roman" w:cs="Times New Roman" w:eastAsiaTheme="minorEastAsia"/>
          <w:color w:val="000000" w:themeColor="text1"/>
          <w:kern w:val="0"/>
          <w:sz w:val="24"/>
          <w:szCs w:val="24"/>
          <w:highlight w:val="none"/>
          <w:lang w:val="en-US" w:eastAsia="zh-CN" w:bidi="ar"/>
          <w14:textFill>
            <w14:solidFill>
              <w14:schemeClr w14:val="tx1"/>
            </w14:solidFill>
          </w14:textFill>
        </w:rPr>
        <w:t>平原区域</w:t>
      </w:r>
      <w:r>
        <w:rPr>
          <w:rFonts w:hint="default" w:ascii="Times New Roman" w:hAnsi="Times New Roman" w:cs="Times New Roman" w:eastAsiaTheme="minorEastAsia"/>
          <w:color w:val="000000" w:themeColor="text1"/>
          <w:kern w:val="0"/>
          <w:sz w:val="24"/>
          <w:szCs w:val="24"/>
          <w:highlight w:val="none"/>
          <w:lang w:val="en-US" w:eastAsia="zh-CN" w:bidi="ar"/>
          <w14:textFill>
            <w14:solidFill>
              <w14:schemeClr w14:val="tx1"/>
            </w14:solidFill>
          </w14:textFill>
        </w:rPr>
        <w:t>和低山丘陵区地貌，土壤侵蚀类型为轻度风力侵蚀，冲洪积</w:t>
      </w:r>
      <w:r>
        <w:rPr>
          <w:rFonts w:hint="eastAsia" w:ascii="Times New Roman" w:hAnsi="Times New Roman" w:cs="Times New Roman" w:eastAsiaTheme="minorEastAsia"/>
          <w:color w:val="000000" w:themeColor="text1"/>
          <w:kern w:val="0"/>
          <w:sz w:val="24"/>
          <w:szCs w:val="24"/>
          <w:highlight w:val="none"/>
          <w:lang w:val="en-US" w:eastAsia="zh-CN" w:bidi="ar"/>
          <w14:textFill>
            <w14:solidFill>
              <w14:schemeClr w14:val="tx1"/>
            </w14:solidFill>
          </w14:textFill>
        </w:rPr>
        <w:t>平原区域</w:t>
      </w:r>
      <w:r>
        <w:rPr>
          <w:rFonts w:hint="default" w:ascii="Times New Roman" w:hAnsi="Times New Roman" w:cs="Times New Roman" w:eastAsiaTheme="minorEastAsia"/>
          <w:color w:val="000000" w:themeColor="text1"/>
          <w:kern w:val="0"/>
          <w:sz w:val="24"/>
          <w:szCs w:val="24"/>
          <w:highlight w:val="none"/>
          <w:lang w:val="en-US" w:eastAsia="zh-CN" w:bidi="ar"/>
          <w14:textFill>
            <w14:solidFill>
              <w14:schemeClr w14:val="tx1"/>
            </w14:solidFill>
          </w14:textFill>
        </w:rPr>
        <w:t>的土壤侵蚀模数为1600t/</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km²·a</w:t>
      </w:r>
      <w:r>
        <w:rPr>
          <w:rFonts w:hint="default" w:ascii="Times New Roman" w:hAnsi="Times New Roman" w:cs="Times New Roman" w:eastAsiaTheme="minorEastAsia"/>
          <w:color w:val="000000" w:themeColor="text1"/>
          <w:kern w:val="0"/>
          <w:sz w:val="24"/>
          <w:szCs w:val="24"/>
          <w:highlight w:val="none"/>
          <w:lang w:val="en-US" w:eastAsia="zh-CN" w:bidi="ar"/>
          <w14:textFill>
            <w14:solidFill>
              <w14:schemeClr w14:val="tx1"/>
            </w14:solidFill>
          </w14:textFill>
        </w:rPr>
        <w:t>，容许土壤流失量为1600t/</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km²·a</w:t>
      </w:r>
      <w:r>
        <w:rPr>
          <w:rFonts w:hint="default" w:ascii="Times New Roman" w:hAnsi="Times New Roman" w:cs="Times New Roman" w:eastAsiaTheme="minorEastAsia"/>
          <w:color w:val="000000" w:themeColor="text1"/>
          <w:kern w:val="0"/>
          <w:sz w:val="24"/>
          <w:szCs w:val="24"/>
          <w:highlight w:val="none"/>
          <w:lang w:val="en-US" w:eastAsia="zh-CN" w:bidi="ar"/>
          <w14:textFill>
            <w14:solidFill>
              <w14:schemeClr w14:val="tx1"/>
            </w14:solidFill>
          </w14:textFill>
        </w:rPr>
        <w:t>；低山丘陵区的土壤侵蚀模数为1800t/</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km²·a</w:t>
      </w:r>
      <w:r>
        <w:rPr>
          <w:rFonts w:hint="default" w:ascii="Times New Roman" w:hAnsi="Times New Roman" w:cs="Times New Roman" w:eastAsiaTheme="minorEastAsia"/>
          <w:color w:val="000000" w:themeColor="text1"/>
          <w:kern w:val="0"/>
          <w:sz w:val="24"/>
          <w:szCs w:val="24"/>
          <w:highlight w:val="none"/>
          <w:lang w:val="en-US" w:eastAsia="zh-CN" w:bidi="ar"/>
          <w14:textFill>
            <w14:solidFill>
              <w14:schemeClr w14:val="tx1"/>
            </w14:solidFill>
          </w14:textFill>
        </w:rPr>
        <w:t>，容许土壤流失量为1800t/km</w:t>
      </w:r>
      <w:r>
        <w:rPr>
          <w:rFonts w:hint="default" w:ascii="Times New Roman" w:hAnsi="Times New Roman" w:cs="Times New Roman" w:eastAsiaTheme="minorEastAsia"/>
          <w:color w:val="000000" w:themeColor="text1"/>
          <w:kern w:val="0"/>
          <w:sz w:val="24"/>
          <w:szCs w:val="24"/>
          <w:highlight w:val="none"/>
          <w:vertAlign w:val="superscript"/>
          <w:lang w:val="en-US" w:eastAsia="zh-CN" w:bidi="ar"/>
          <w14:textFill>
            <w14:solidFill>
              <w14:schemeClr w14:val="tx1"/>
            </w14:solidFill>
          </w14:textFill>
        </w:rPr>
        <w:t>2</w:t>
      </w:r>
      <w:r>
        <w:rPr>
          <w:rFonts w:hint="default" w:ascii="Times New Roman" w:hAnsi="Times New Roman" w:cs="Times New Roman" w:eastAsiaTheme="minorEastAsia"/>
          <w:color w:val="000000" w:themeColor="text1"/>
          <w:kern w:val="0"/>
          <w:sz w:val="24"/>
          <w:szCs w:val="24"/>
          <w:highlight w:val="none"/>
          <w:lang w:val="en-US" w:eastAsia="zh-CN" w:bidi="ar"/>
          <w14:textFill>
            <w14:solidFill>
              <w14:schemeClr w14:val="tx1"/>
            </w14:solidFill>
          </w14:textFill>
        </w:rPr>
        <w:t>。</w:t>
      </w:r>
    </w:p>
    <w:p w14:paraId="491D741B">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t>(8)土地沙化现状</w:t>
      </w:r>
    </w:p>
    <w:p w14:paraId="187F1B6A">
      <w:pPr>
        <w:keepNext w:val="0"/>
        <w:keepLines w:val="0"/>
        <w:pageBreakBefore w:val="0"/>
        <w:widowControl/>
        <w:suppressLineNumbers w:val="0"/>
        <w:kinsoku/>
        <w:wordWrap/>
        <w:overflowPunct/>
        <w:topLinePunct w:val="0"/>
        <w:autoSpaceDE/>
        <w:autoSpaceDN/>
        <w:bidi w:val="0"/>
        <w:adjustRightInd/>
        <w:snapToGrid/>
        <w:ind w:left="0" w:leftChars="0" w:firstLine="480" w:firstLineChars="200"/>
        <w:jc w:val="both"/>
        <w:textAlignment w:val="auto"/>
        <w:rPr>
          <w:rFonts w:hint="default" w:ascii="Times New Roman" w:hAnsi="Times New Roman" w:cs="Times New Roman" w:eastAsiaTheme="minorEastAsia"/>
          <w:color w:val="FF0000"/>
          <w:sz w:val="24"/>
          <w:highlight w:val="none"/>
          <w:lang w:val="en-US" w:eastAsia="zh-CN"/>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本项目土地利用类型为天然牧草地</w:t>
      </w:r>
      <w:r>
        <w:rPr>
          <w:rFonts w:hint="eastAsia" w:cs="Times New Roman" w:eastAsiaTheme="minorEastAsia"/>
          <w:color w:val="000000" w:themeColor="text1"/>
          <w:sz w:val="24"/>
          <w:highlight w:val="none"/>
          <w:lang w:val="en-US" w:eastAsia="zh-CN"/>
          <w14:textFill>
            <w14:solidFill>
              <w14:schemeClr w14:val="tx1"/>
            </w14:solidFill>
          </w14:textFill>
        </w:rPr>
        <w:t>、其他草地、水浇地、其他林地、采矿用地</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，土壤主要为</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淡棕钙土</w:t>
      </w:r>
      <w:r>
        <w:rPr>
          <w:rFonts w:hint="eastAsia" w:cs="Times New Roman" w:eastAsiaTheme="minorEastAsia"/>
          <w:snapToGrid w:val="0"/>
          <w:color w:val="000000" w:themeColor="text1"/>
          <w:sz w:val="24"/>
          <w:highlight w:val="none"/>
          <w:lang w:val="en-US" w:eastAsia="zh-CN"/>
          <w14:textFill>
            <w14:solidFill>
              <w14:schemeClr w14:val="tx1"/>
            </w14:solidFill>
          </w14:textFill>
        </w:rPr>
        <w:t>和栗钙</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土</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。根据《新疆第</w:t>
      </w:r>
      <w:r>
        <w:rPr>
          <w:rFonts w:hint="eastAsia" w:cs="Times New Roman" w:eastAsiaTheme="minorEastAsia"/>
          <w:color w:val="000000" w:themeColor="text1"/>
          <w:sz w:val="24"/>
          <w:highlight w:val="none"/>
          <w:lang w:val="en-US" w:eastAsia="zh-CN"/>
          <w14:textFill>
            <w14:solidFill>
              <w14:schemeClr w14:val="tx1"/>
            </w14:solidFill>
          </w14:textFill>
        </w:rPr>
        <w:t>六</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次沙化土地监测报告》，项目位于乌鲁木齐市</w:t>
      </w:r>
      <w:r>
        <w:rPr>
          <w:rFonts w:hint="eastAsia" w:cs="Times New Roman" w:eastAsiaTheme="minorEastAsia"/>
          <w:color w:val="000000" w:themeColor="text1"/>
          <w:sz w:val="24"/>
          <w:highlight w:val="none"/>
          <w:lang w:val="en-US" w:eastAsia="zh-CN"/>
          <w14:textFill>
            <w14:solidFill>
              <w14:schemeClr w14:val="tx1"/>
            </w14:solidFill>
          </w14:textFill>
        </w:rPr>
        <w:t>沙依巴克区</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，项目区域不涉及沙化土地及沙化土地封禁保护区。</w:t>
      </w:r>
    </w:p>
    <w:p w14:paraId="3C173A19">
      <w:pPr>
        <w:keepNext w:val="0"/>
        <w:keepLines w:val="0"/>
        <w:pageBreakBefore w:val="0"/>
        <w:widowControl/>
        <w:suppressLineNumbers w:val="0"/>
        <w:kinsoku/>
        <w:wordWrap/>
        <w:overflowPunct/>
        <w:topLinePunct w:val="0"/>
        <w:autoSpaceDE/>
        <w:autoSpaceDN/>
        <w:bidi w:val="0"/>
        <w:adjustRightInd/>
        <w:snapToGrid/>
        <w:ind w:left="0" w:leftChars="0" w:firstLine="480" w:firstLineChars="200"/>
        <w:jc w:val="both"/>
        <w:textAlignment w:val="auto"/>
        <w:rPr>
          <w:rFonts w:hint="default" w:ascii="Times New Roman" w:hAnsi="Times New Roman" w:cs="Times New Roman" w:eastAsiaTheme="minorEastAsia"/>
          <w:color w:val="FF0000"/>
          <w:sz w:val="24"/>
          <w:highlight w:val="none"/>
          <w:lang w:val="en-US" w:eastAsia="zh-CN"/>
        </w:rPr>
      </w:pPr>
    </w:p>
    <w:p w14:paraId="2374CB52">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FF0000"/>
          <w:sz w:val="24"/>
          <w:highlight w:val="none"/>
          <w:lang w:val="en-US" w:eastAsia="zh-CN"/>
        </w:rPr>
        <w:sectPr>
          <w:pgSz w:w="11906" w:h="16838"/>
          <w:pgMar w:top="1418" w:right="1361" w:bottom="1418" w:left="1587" w:header="1134" w:footer="992" w:gutter="0"/>
          <w:pgBorders>
            <w:top w:val="none" w:sz="0" w:space="0"/>
            <w:left w:val="none" w:sz="0" w:space="0"/>
            <w:bottom w:val="none" w:sz="0" w:space="0"/>
            <w:right w:val="none" w:sz="0" w:space="0"/>
          </w:pgBorders>
          <w:pgNumType w:fmt="decimal"/>
          <w:cols w:space="720" w:num="1"/>
          <w:docGrid w:type="linesAndChars" w:linePitch="312" w:charSpace="0"/>
        </w:sectPr>
      </w:pPr>
    </w:p>
    <w:bookmarkEnd w:id="335"/>
    <w:bookmarkEnd w:id="336"/>
    <w:bookmarkEnd w:id="337"/>
    <w:bookmarkEnd w:id="362"/>
    <w:p w14:paraId="40B8649E">
      <w:pPr>
        <w:pStyle w:val="3"/>
        <w:keepNext/>
        <w:keepLines/>
        <w:pageBreakBefore w:val="0"/>
        <w:widowControl w:val="0"/>
        <w:numPr>
          <w:ilvl w:val="0"/>
          <w:numId w:val="0"/>
        </w:numPr>
        <w:tabs>
          <w:tab w:val="left" w:pos="525"/>
        </w:tabs>
        <w:kinsoku/>
        <w:wordWrap w:val="0"/>
        <w:overflowPunct/>
        <w:topLinePunct w:val="0"/>
        <w:autoSpaceDE/>
        <w:autoSpaceDN/>
        <w:bidi w:val="0"/>
        <w:adjustRightInd/>
        <w:snapToGrid/>
        <w:spacing w:before="0" w:beforeLines="0" w:after="0" w:afterLines="0" w:line="360" w:lineRule="auto"/>
        <w:ind w:left="0"/>
        <w:textAlignment w:val="auto"/>
        <w:outlineLvl w:val="0"/>
        <w:rPr>
          <w:rFonts w:hint="default" w:ascii="Times New Roman" w:hAnsi="Times New Roman" w:cs="Times New Roman" w:eastAsiaTheme="minorEastAsia"/>
          <w:color w:val="000000" w:themeColor="text1"/>
          <w:sz w:val="32"/>
          <w:highlight w:val="none"/>
          <w:lang w:val="en-US" w:eastAsia="zh-CN"/>
          <w14:textFill>
            <w14:solidFill>
              <w14:schemeClr w14:val="tx1"/>
            </w14:solidFill>
          </w14:textFill>
        </w:rPr>
      </w:pPr>
      <w:bookmarkStart w:id="379" w:name="_Toc31761"/>
      <w:bookmarkStart w:id="380" w:name="_Toc313005959"/>
      <w:bookmarkStart w:id="381" w:name="_Toc29647"/>
      <w:bookmarkStart w:id="382" w:name="_Toc391021367"/>
      <w:bookmarkStart w:id="383" w:name="_Toc13180"/>
      <w:bookmarkStart w:id="384" w:name="_Toc391021199"/>
      <w:bookmarkStart w:id="385" w:name="_Toc27223"/>
      <w:bookmarkStart w:id="386" w:name="_Toc6677"/>
      <w:bookmarkStart w:id="387" w:name="_Toc19284"/>
      <w:bookmarkStart w:id="388" w:name="_Toc25863"/>
      <w:bookmarkStart w:id="389" w:name="_Toc340737574"/>
      <w:bookmarkStart w:id="390" w:name="_Toc24034"/>
      <w:bookmarkStart w:id="391" w:name="_Toc391020974"/>
      <w:bookmarkStart w:id="392" w:name="_Toc313005948"/>
      <w:bookmarkStart w:id="393" w:name="_Toc340737563"/>
      <w:bookmarkStart w:id="394" w:name="_Toc294859144"/>
      <w:r>
        <w:rPr>
          <w:rFonts w:hint="default" w:ascii="Times New Roman" w:hAnsi="Times New Roman" w:cs="Times New Roman" w:eastAsiaTheme="minorEastAsia"/>
          <w:color w:val="000000" w:themeColor="text1"/>
          <w:sz w:val="32"/>
          <w:highlight w:val="none"/>
          <w:lang w:val="en-US" w:eastAsia="zh-CN"/>
          <w14:textFill>
            <w14:solidFill>
              <w14:schemeClr w14:val="tx1"/>
            </w14:solidFill>
          </w14:textFill>
        </w:rPr>
        <w:t>5 环境影响预测与评价</w:t>
      </w:r>
      <w:bookmarkEnd w:id="379"/>
      <w:bookmarkEnd w:id="380"/>
      <w:bookmarkEnd w:id="381"/>
      <w:bookmarkEnd w:id="382"/>
      <w:bookmarkEnd w:id="383"/>
      <w:bookmarkEnd w:id="384"/>
      <w:bookmarkEnd w:id="385"/>
      <w:bookmarkEnd w:id="386"/>
      <w:bookmarkEnd w:id="387"/>
      <w:bookmarkEnd w:id="388"/>
      <w:bookmarkEnd w:id="389"/>
      <w:bookmarkEnd w:id="390"/>
      <w:bookmarkEnd w:id="391"/>
    </w:p>
    <w:p w14:paraId="3E366F9B">
      <w:pPr>
        <w:pStyle w:val="4"/>
        <w:keepNext/>
        <w:keepLines/>
        <w:pageBreakBefore w:val="0"/>
        <w:widowControl w:val="0"/>
        <w:numPr>
          <w:ilvl w:val="0"/>
          <w:numId w:val="0"/>
        </w:numPr>
        <w:tabs>
          <w:tab w:val="left" w:pos="630"/>
          <w:tab w:val="left" w:pos="3403"/>
        </w:tabs>
        <w:kinsoku/>
        <w:wordWrap w:val="0"/>
        <w:overflowPunct/>
        <w:topLinePunct w:val="0"/>
        <w:autoSpaceDE/>
        <w:autoSpaceDN/>
        <w:bidi w:val="0"/>
        <w:adjustRightInd/>
        <w:snapToGrid/>
        <w:spacing w:before="0" w:beforeLines="0" w:after="0" w:afterLines="0" w:line="360" w:lineRule="auto"/>
        <w:ind w:left="0" w:leftChars="0"/>
        <w:textAlignment w:val="auto"/>
        <w:outlineLvl w:val="1"/>
        <w:rPr>
          <w:rFonts w:hint="default" w:ascii="Times New Roman" w:hAnsi="Times New Roman" w:cs="Times New Roman" w:eastAsiaTheme="minorEastAsia"/>
          <w:color w:val="000000" w:themeColor="text1"/>
          <w:sz w:val="30"/>
          <w:highlight w:val="none"/>
          <w:lang w:val="en-US" w:eastAsia="zh-CN"/>
          <w14:textFill>
            <w14:solidFill>
              <w14:schemeClr w14:val="tx1"/>
            </w14:solidFill>
          </w14:textFill>
        </w:rPr>
      </w:pPr>
      <w:bookmarkStart w:id="395" w:name="_Toc30875"/>
      <w:bookmarkStart w:id="396" w:name="_Toc8134"/>
      <w:bookmarkStart w:id="397" w:name="_Toc10899"/>
      <w:r>
        <w:rPr>
          <w:rFonts w:hint="default" w:ascii="Times New Roman" w:hAnsi="Times New Roman" w:cs="Times New Roman" w:eastAsiaTheme="minorEastAsia"/>
          <w:color w:val="000000" w:themeColor="text1"/>
          <w:sz w:val="30"/>
          <w:highlight w:val="none"/>
          <w:lang w:val="en-US" w:eastAsia="zh-CN"/>
          <w14:textFill>
            <w14:solidFill>
              <w14:schemeClr w14:val="tx1"/>
            </w14:solidFill>
          </w14:textFill>
        </w:rPr>
        <w:t>5.1 施工期环境影响分析</w:t>
      </w:r>
      <w:bookmarkEnd w:id="395"/>
      <w:bookmarkEnd w:id="396"/>
      <w:bookmarkEnd w:id="397"/>
    </w:p>
    <w:p w14:paraId="47796E40">
      <w:pPr>
        <w:pStyle w:val="11"/>
        <w:keepNext/>
        <w:keepLines/>
        <w:pageBreakBefore w:val="0"/>
        <w:widowControl w:val="0"/>
        <w:kinsoku/>
        <w:wordWrap/>
        <w:overflowPunct/>
        <w:topLinePunct w:val="0"/>
        <w:autoSpaceDE/>
        <w:autoSpaceDN/>
        <w:bidi w:val="0"/>
        <w:adjustRightInd/>
        <w:snapToGrid/>
        <w:ind w:left="0"/>
        <w:textAlignment w:val="auto"/>
        <w:outlineLvl w:val="2"/>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bookmarkStart w:id="398" w:name="_Toc30635"/>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5.1.1 施工期大气环境影响分析</w:t>
      </w:r>
      <w:bookmarkEnd w:id="398"/>
    </w:p>
    <w:p w14:paraId="66E3480E">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施工废气污染源主要来自基础开挖、回填、土石堆放和运输车辆行驶产生的扬尘、砂石料堆场产生的扬尘、施工机械、运输车辆排放的烟气，烟气中的主要污染物为NO</w:t>
      </w:r>
      <w:r>
        <w:rPr>
          <w:rFonts w:hint="default" w:ascii="Times New Roman" w:hAnsi="Times New Roman" w:cs="Times New Roman" w:eastAsiaTheme="minorEastAsia"/>
          <w:snapToGrid w:val="0"/>
          <w:color w:val="000000" w:themeColor="text1"/>
          <w:sz w:val="24"/>
          <w:highlight w:val="none"/>
          <w:vertAlign w:val="subscript"/>
          <w:lang w:val="en-US" w:eastAsia="zh-CN"/>
          <w14:textFill>
            <w14:solidFill>
              <w14:schemeClr w14:val="tx1"/>
            </w14:solidFill>
          </w14:textFill>
        </w:rPr>
        <w:t>2</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、CO、THC等。这些污染物将对环境空气造成一定程度的污染，但这种污染是短期的，工程结束后，将不复存在。本项目根据同类项目的建设经验类比分析施工期对施工区域周围大气环境的影响。</w:t>
      </w:r>
    </w:p>
    <w:p w14:paraId="793975F7">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(1)施工扬尘影响分析</w:t>
      </w:r>
    </w:p>
    <w:p w14:paraId="11D9F23A">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施工扬尘主要来自：砂石料堆场建筑材料的装卸、运输和堆放，基础开挖、填土等施工作业，道路的修建、临时弃土堆放、回填及施工运输车辆产生的扬尘。砂石料堆场的起尘量与物料种类、性质及风速有关，比重小的物料容易受扰动而起尘。堆场的扬尘包括料堆的风吹扬尘、装卸扬尘和过往车辆引起路面积尘二次扬尘，会对周围环境造成一定的影响，但通过洒水可以有效地抑制扬尘，使扬尘量减少70%。</w:t>
      </w:r>
    </w:p>
    <w:p w14:paraId="2C2931C6">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此外，对粉状物料采取遮盖防风措施也能有效减少扬尘污染。通过类比调查表明，在一般地段，无任何防尘措施的情况下，施工现场对周围环境的污染约在200m范围内，TSP最大污染浓度是对照点的6.39倍。而在有防尘措施(围金属板)的情况下，污染范围为100m以内区域，最高污染浓度是对照点的4.04倍，最大污染浓度较无防尘措施降低了0.479mg/m</w:t>
      </w:r>
      <w:r>
        <w:rPr>
          <w:rFonts w:hint="default" w:ascii="Times New Roman" w:hAnsi="Times New Roman" w:cs="Times New Roman" w:eastAsiaTheme="minorEastAsia"/>
          <w:snapToGrid w:val="0"/>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w:t>
      </w:r>
    </w:p>
    <w:p w14:paraId="100C4808">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类比数据参见表5.1-1。</w:t>
      </w:r>
    </w:p>
    <w:p w14:paraId="25E18A9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b/>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b/>
          <w:color w:val="000000" w:themeColor="text1"/>
          <w:sz w:val="24"/>
          <w:highlight w:val="none"/>
          <w:lang w:val="en-US" w:eastAsia="zh-CN"/>
          <w14:textFill>
            <w14:solidFill>
              <w14:schemeClr w14:val="tx1"/>
            </w14:solidFill>
          </w14:textFill>
        </w:rPr>
        <w:t>表5.1-1    施工场界下风向TSP浓度实测值(mg/m</w:t>
      </w:r>
      <w:r>
        <w:rPr>
          <w:rFonts w:hint="default" w:ascii="Times New Roman" w:hAnsi="Times New Roman" w:cs="Times New Roman" w:eastAsiaTheme="minorEastAsia"/>
          <w:b/>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cs="Times New Roman" w:eastAsiaTheme="minorEastAsia"/>
          <w:b/>
          <w:color w:val="000000" w:themeColor="text1"/>
          <w:sz w:val="24"/>
          <w:highlight w:val="none"/>
          <w:lang w:val="en-US" w:eastAsia="zh-CN"/>
          <w14:textFill>
            <w14:solidFill>
              <w14:schemeClr w14:val="tx1"/>
            </w14:solidFill>
          </w14:textFill>
        </w:rPr>
        <w:t>)</w:t>
      </w:r>
    </w:p>
    <w:tbl>
      <w:tblPr>
        <w:tblStyle w:val="76"/>
        <w:tblW w:w="9174"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38"/>
        <w:gridCol w:w="1083"/>
        <w:gridCol w:w="1083"/>
        <w:gridCol w:w="1083"/>
        <w:gridCol w:w="1083"/>
        <w:gridCol w:w="1083"/>
        <w:gridCol w:w="1094"/>
        <w:gridCol w:w="1527"/>
      </w:tblGrid>
      <w:tr w14:paraId="519E64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138" w:type="dxa"/>
            <w:vMerge w:val="restart"/>
            <w:tcBorders>
              <w:tl2br w:val="nil"/>
              <w:tr2bl w:val="nil"/>
            </w:tcBorders>
            <w:vAlign w:val="center"/>
          </w:tcPr>
          <w:p w14:paraId="4439AE6C">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baseline"/>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防尘措施</w:t>
            </w:r>
          </w:p>
        </w:tc>
        <w:tc>
          <w:tcPr>
            <w:tcW w:w="6509" w:type="dxa"/>
            <w:gridSpan w:val="6"/>
            <w:tcBorders>
              <w:tl2br w:val="nil"/>
              <w:tr2bl w:val="nil"/>
            </w:tcBorders>
            <w:vAlign w:val="center"/>
          </w:tcPr>
          <w:p w14:paraId="512373D8">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baseline"/>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工地下风向距离(m)</w:t>
            </w:r>
          </w:p>
        </w:tc>
        <w:tc>
          <w:tcPr>
            <w:tcW w:w="1527" w:type="dxa"/>
            <w:vMerge w:val="restart"/>
            <w:tcBorders>
              <w:tl2br w:val="nil"/>
              <w:tr2bl w:val="nil"/>
            </w:tcBorders>
            <w:vAlign w:val="center"/>
          </w:tcPr>
          <w:p w14:paraId="47E791C8">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baseline"/>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工地上风向(对照点)</w:t>
            </w:r>
          </w:p>
        </w:tc>
      </w:tr>
      <w:tr w14:paraId="7DA59B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138" w:type="dxa"/>
            <w:vMerge w:val="continue"/>
            <w:tcBorders>
              <w:tl2br w:val="nil"/>
              <w:tr2bl w:val="nil"/>
            </w:tcBorders>
            <w:vAlign w:val="center"/>
          </w:tcPr>
          <w:p w14:paraId="5CB11A46">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baseline"/>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1083" w:type="dxa"/>
            <w:tcBorders>
              <w:tl2br w:val="nil"/>
              <w:tr2bl w:val="nil"/>
            </w:tcBorders>
            <w:vAlign w:val="center"/>
          </w:tcPr>
          <w:p w14:paraId="19E2B906">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baseline"/>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20</w:t>
            </w:r>
          </w:p>
        </w:tc>
        <w:tc>
          <w:tcPr>
            <w:tcW w:w="1083" w:type="dxa"/>
            <w:tcBorders>
              <w:tl2br w:val="nil"/>
              <w:tr2bl w:val="nil"/>
            </w:tcBorders>
            <w:vAlign w:val="center"/>
          </w:tcPr>
          <w:p w14:paraId="7A2BE880">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baseline"/>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50</w:t>
            </w:r>
          </w:p>
        </w:tc>
        <w:tc>
          <w:tcPr>
            <w:tcW w:w="1083" w:type="dxa"/>
            <w:tcBorders>
              <w:tl2br w:val="nil"/>
              <w:tr2bl w:val="nil"/>
            </w:tcBorders>
            <w:vAlign w:val="center"/>
          </w:tcPr>
          <w:p w14:paraId="0FDED195">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baseline"/>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100</w:t>
            </w:r>
          </w:p>
        </w:tc>
        <w:tc>
          <w:tcPr>
            <w:tcW w:w="1083" w:type="dxa"/>
            <w:tcBorders>
              <w:tl2br w:val="nil"/>
              <w:tr2bl w:val="nil"/>
            </w:tcBorders>
            <w:vAlign w:val="center"/>
          </w:tcPr>
          <w:p w14:paraId="739A495B">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baseline"/>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150</w:t>
            </w:r>
          </w:p>
        </w:tc>
        <w:tc>
          <w:tcPr>
            <w:tcW w:w="1083" w:type="dxa"/>
            <w:tcBorders>
              <w:tl2br w:val="nil"/>
              <w:tr2bl w:val="nil"/>
            </w:tcBorders>
            <w:vAlign w:val="center"/>
          </w:tcPr>
          <w:p w14:paraId="7991155A">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baseline"/>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200</w:t>
            </w:r>
          </w:p>
        </w:tc>
        <w:tc>
          <w:tcPr>
            <w:tcW w:w="1094" w:type="dxa"/>
            <w:tcBorders>
              <w:tl2br w:val="nil"/>
              <w:tr2bl w:val="nil"/>
            </w:tcBorders>
            <w:vAlign w:val="center"/>
          </w:tcPr>
          <w:p w14:paraId="1C546358">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baseline"/>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250</w:t>
            </w:r>
          </w:p>
        </w:tc>
        <w:tc>
          <w:tcPr>
            <w:tcW w:w="1527" w:type="dxa"/>
            <w:vMerge w:val="continue"/>
            <w:tcBorders>
              <w:tl2br w:val="nil"/>
              <w:tr2bl w:val="nil"/>
            </w:tcBorders>
            <w:vAlign w:val="center"/>
          </w:tcPr>
          <w:p w14:paraId="1F638575">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baseline"/>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r>
      <w:tr w14:paraId="23A87C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138" w:type="dxa"/>
            <w:tcBorders>
              <w:tl2br w:val="nil"/>
              <w:tr2bl w:val="nil"/>
            </w:tcBorders>
            <w:vAlign w:val="center"/>
          </w:tcPr>
          <w:p w14:paraId="2F32A960">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baseline"/>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无</w:t>
            </w:r>
          </w:p>
        </w:tc>
        <w:tc>
          <w:tcPr>
            <w:tcW w:w="1083" w:type="dxa"/>
            <w:tcBorders>
              <w:tl2br w:val="nil"/>
              <w:tr2bl w:val="nil"/>
            </w:tcBorders>
            <w:vAlign w:val="center"/>
          </w:tcPr>
          <w:p w14:paraId="68327D34">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baseline"/>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1.303</w:t>
            </w:r>
          </w:p>
        </w:tc>
        <w:tc>
          <w:tcPr>
            <w:tcW w:w="1083" w:type="dxa"/>
            <w:tcBorders>
              <w:tl2br w:val="nil"/>
              <w:tr2bl w:val="nil"/>
            </w:tcBorders>
            <w:vAlign w:val="center"/>
          </w:tcPr>
          <w:p w14:paraId="5A7B629F">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baseline"/>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0.722</w:t>
            </w:r>
          </w:p>
        </w:tc>
        <w:tc>
          <w:tcPr>
            <w:tcW w:w="1083" w:type="dxa"/>
            <w:tcBorders>
              <w:tl2br w:val="nil"/>
              <w:tr2bl w:val="nil"/>
            </w:tcBorders>
            <w:vAlign w:val="center"/>
          </w:tcPr>
          <w:p w14:paraId="18AAF281">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baseline"/>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0.402</w:t>
            </w:r>
          </w:p>
        </w:tc>
        <w:tc>
          <w:tcPr>
            <w:tcW w:w="1083" w:type="dxa"/>
            <w:tcBorders>
              <w:tl2br w:val="nil"/>
              <w:tr2bl w:val="nil"/>
            </w:tcBorders>
            <w:vAlign w:val="center"/>
          </w:tcPr>
          <w:p w14:paraId="6B17B569">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baseline"/>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0.311</w:t>
            </w:r>
          </w:p>
        </w:tc>
        <w:tc>
          <w:tcPr>
            <w:tcW w:w="1083" w:type="dxa"/>
            <w:tcBorders>
              <w:tl2br w:val="nil"/>
              <w:tr2bl w:val="nil"/>
            </w:tcBorders>
            <w:vAlign w:val="center"/>
          </w:tcPr>
          <w:p w14:paraId="5F99F2A3">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baseline"/>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0.270</w:t>
            </w:r>
          </w:p>
        </w:tc>
        <w:tc>
          <w:tcPr>
            <w:tcW w:w="1094" w:type="dxa"/>
            <w:tcBorders>
              <w:tl2br w:val="nil"/>
              <w:tr2bl w:val="nil"/>
            </w:tcBorders>
            <w:vAlign w:val="center"/>
          </w:tcPr>
          <w:p w14:paraId="1CB0AA39">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baseline"/>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0.210</w:t>
            </w:r>
          </w:p>
        </w:tc>
        <w:tc>
          <w:tcPr>
            <w:tcW w:w="1527" w:type="dxa"/>
            <w:vMerge w:val="restart"/>
            <w:tcBorders>
              <w:tl2br w:val="nil"/>
              <w:tr2bl w:val="nil"/>
            </w:tcBorders>
            <w:vAlign w:val="center"/>
          </w:tcPr>
          <w:p w14:paraId="4614DAD0">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baseline"/>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0.204</w:t>
            </w:r>
          </w:p>
        </w:tc>
      </w:tr>
      <w:tr w14:paraId="14B05A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138" w:type="dxa"/>
            <w:tcBorders>
              <w:tl2br w:val="nil"/>
              <w:tr2bl w:val="nil"/>
            </w:tcBorders>
            <w:vAlign w:val="center"/>
          </w:tcPr>
          <w:p w14:paraId="1B019232">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baseline"/>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有围挡</w:t>
            </w:r>
          </w:p>
        </w:tc>
        <w:tc>
          <w:tcPr>
            <w:tcW w:w="1083" w:type="dxa"/>
            <w:tcBorders>
              <w:tl2br w:val="nil"/>
              <w:tr2bl w:val="nil"/>
            </w:tcBorders>
            <w:vAlign w:val="center"/>
          </w:tcPr>
          <w:p w14:paraId="228E622A">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baseline"/>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0.824</w:t>
            </w:r>
          </w:p>
        </w:tc>
        <w:tc>
          <w:tcPr>
            <w:tcW w:w="1083" w:type="dxa"/>
            <w:tcBorders>
              <w:tl2br w:val="nil"/>
              <w:tr2bl w:val="nil"/>
            </w:tcBorders>
            <w:vAlign w:val="center"/>
          </w:tcPr>
          <w:p w14:paraId="29656621">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baseline"/>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0.462</w:t>
            </w:r>
          </w:p>
        </w:tc>
        <w:tc>
          <w:tcPr>
            <w:tcW w:w="1083" w:type="dxa"/>
            <w:tcBorders>
              <w:tl2br w:val="nil"/>
              <w:tr2bl w:val="nil"/>
            </w:tcBorders>
            <w:vAlign w:val="center"/>
          </w:tcPr>
          <w:p w14:paraId="55C4B1EE">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baseline"/>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0.235</w:t>
            </w:r>
          </w:p>
        </w:tc>
        <w:tc>
          <w:tcPr>
            <w:tcW w:w="1083" w:type="dxa"/>
            <w:tcBorders>
              <w:tl2br w:val="nil"/>
              <w:tr2bl w:val="nil"/>
            </w:tcBorders>
            <w:vAlign w:val="center"/>
          </w:tcPr>
          <w:p w14:paraId="63823045">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baseline"/>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0.221</w:t>
            </w:r>
          </w:p>
        </w:tc>
        <w:tc>
          <w:tcPr>
            <w:tcW w:w="1083" w:type="dxa"/>
            <w:tcBorders>
              <w:tl2br w:val="nil"/>
              <w:tr2bl w:val="nil"/>
            </w:tcBorders>
            <w:vAlign w:val="center"/>
          </w:tcPr>
          <w:p w14:paraId="0DC601C0">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baseline"/>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0.215</w:t>
            </w:r>
          </w:p>
        </w:tc>
        <w:tc>
          <w:tcPr>
            <w:tcW w:w="1094" w:type="dxa"/>
            <w:tcBorders>
              <w:tl2br w:val="nil"/>
              <w:tr2bl w:val="nil"/>
            </w:tcBorders>
            <w:vAlign w:val="center"/>
          </w:tcPr>
          <w:p w14:paraId="6B48B185">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baseline"/>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0.206</w:t>
            </w:r>
          </w:p>
        </w:tc>
        <w:tc>
          <w:tcPr>
            <w:tcW w:w="1527" w:type="dxa"/>
            <w:vMerge w:val="continue"/>
            <w:tcBorders>
              <w:tl2br w:val="nil"/>
              <w:tr2bl w:val="nil"/>
            </w:tcBorders>
            <w:vAlign w:val="center"/>
          </w:tcPr>
          <w:p w14:paraId="21D71721">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baseline"/>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r>
    </w:tbl>
    <w:p w14:paraId="507A988A">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p>
    <w:p w14:paraId="485446EA">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由于本项目对施工场地</w:t>
      </w:r>
      <w:r>
        <w:rPr>
          <w:rFonts w:hint="eastAsia" w:cs="Times New Roman" w:eastAsiaTheme="minorEastAsia"/>
          <w:snapToGrid w:val="0"/>
          <w:color w:val="000000" w:themeColor="text1"/>
          <w:sz w:val="24"/>
          <w:highlight w:val="none"/>
          <w:lang w:val="en-US" w:eastAsia="zh-CN"/>
          <w14:textFill>
            <w14:solidFill>
              <w14:schemeClr w14:val="tx1"/>
            </w14:solidFill>
          </w14:textFill>
        </w:rPr>
        <w:t>较分散且在施工区域进行</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洒水降尘，在一定程度上可减轻粉尘及扬尘的影响；施工期间伴随着土方的挖掘、装卸和运输等施工过程，施工期间可能产生的扬尘将对附近的大气环境和居民生活带来不利的影响，需采取合理可行的降尘措施，尽量减轻其污染程度，缩小其影响范围。</w:t>
      </w:r>
    </w:p>
    <w:p w14:paraId="7B7504CC">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降尘措施：</w:t>
      </w:r>
    </w:p>
    <w:p w14:paraId="6182DD8C">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①通过设置围挡和遮盖措施；</w:t>
      </w:r>
    </w:p>
    <w:p w14:paraId="5962CB30">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②尽量减少施工营地物料大面积散开堆放和缩短堆放时间；</w:t>
      </w:r>
    </w:p>
    <w:p w14:paraId="12097AC5">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③对堆放物料或土方表层洒水；</w:t>
      </w:r>
    </w:p>
    <w:p w14:paraId="7489EF79">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④在施工、风电机组安装检修过程中，各类车辆须在场内运输道路上行驶，避免随意到处碾压，严禁随意开辟便道、破坏区域内植被，避免引起局部风蚀、造成水土流失；</w:t>
      </w:r>
    </w:p>
    <w:p w14:paraId="4955F09F">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⑤工程弃方用于场内道路路基和场地平整，多余弃方按规定进行合理处置；施工结束后，对所有施工迹地要进行清理、平整压实。</w:t>
      </w:r>
    </w:p>
    <w:p w14:paraId="7745E8D0">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(2)施工道路(交通)扬尘</w:t>
      </w:r>
    </w:p>
    <w:p w14:paraId="69EA281B">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施工物料的装卸过程、运输车辆在施工场地行驶、运输车辆行驶过程中泥土洒落路面、运输车辆的车轮夹带泥土污染场地附近路面以及在有风的条件下由于场地地表裸露等均可产生扬尘。</w:t>
      </w:r>
    </w:p>
    <w:p w14:paraId="0795220A">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运输车辆行驶产生的扬尘与道路路面及车辆行驶速度有关，在完全干燥情况下，可按经验公式计算：</w:t>
      </w:r>
    </w:p>
    <w:p w14:paraId="1739DE23">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center"/>
        <w:textAlignment w:val="auto"/>
        <w:rPr>
          <w:rFonts w:hint="default" w:ascii="Times New Roman" w:hAnsi="Times New Roman" w:cs="Times New Roman" w:eastAsiaTheme="minorEastAsia"/>
          <w:snapToGrid w:val="0"/>
          <w:color w:val="FF0000"/>
          <w:sz w:val="24"/>
          <w:highlight w:val="none"/>
          <w:lang w:val="en-US" w:eastAsia="zh-CN"/>
        </w:rPr>
      </w:pPr>
      <w:r>
        <w:rPr>
          <w:rFonts w:hint="default" w:ascii="Times New Roman" w:hAnsi="Times New Roman" w:cs="Times New Roman" w:eastAsiaTheme="minorEastAsia"/>
          <w:snapToGrid w:val="0"/>
          <w:color w:val="FF0000"/>
          <w:sz w:val="24"/>
          <w:highlight w:val="none"/>
          <w:lang w:val="en-US" w:eastAsia="zh-CN"/>
        </w:rPr>
        <w:object>
          <v:shape id="_x0000_i1025" o:spt="75" type="#_x0000_t75" style="height:37pt;width:162pt;" o:ole="t" filled="f" o:preferrelative="t" stroked="f" coordsize="21600,21600">
            <v:path/>
            <v:fill on="f" focussize="0,0"/>
            <v:stroke on="f"/>
            <v:imagedata r:id="rId34" o:title=""/>
            <o:lock v:ext="edit" aspectratio="t"/>
            <w10:wrap type="none"/>
            <w10:anchorlock/>
          </v:shape>
          <o:OLEObject Type="Embed" ProgID="Equation.KSEE3" ShapeID="_x0000_i1025" DrawAspect="Content" ObjectID="_1468075725" r:id="rId33">
            <o:LockedField>false</o:LockedField>
          </o:OLEObject>
        </w:object>
      </w:r>
    </w:p>
    <w:p w14:paraId="0D90642A">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式中：Q——汽车行驶的扬尘，kg/km·辆；</w:t>
      </w:r>
    </w:p>
    <w:p w14:paraId="548A3874">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v——汽车速度，km/h；</w:t>
      </w:r>
    </w:p>
    <w:p w14:paraId="5A49823E">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W——汽车载重量，t；</w:t>
      </w:r>
    </w:p>
    <w:p w14:paraId="5D8ADDD9">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P——道路表面粉尘量，kg/m</w:t>
      </w:r>
      <w:r>
        <w:rPr>
          <w:rFonts w:hint="default" w:ascii="Times New Roman" w:hAnsi="Times New Roman" w:cs="Times New Roman" w:eastAsiaTheme="minorEastAsia"/>
          <w:snapToGrid w:val="0"/>
          <w:color w:val="000000" w:themeColor="text1"/>
          <w:sz w:val="24"/>
          <w:highlight w:val="none"/>
          <w:vertAlign w:val="superscript"/>
          <w:lang w:val="en-US" w:eastAsia="zh-CN"/>
          <w14:textFill>
            <w14:solidFill>
              <w14:schemeClr w14:val="tx1"/>
            </w14:solidFill>
          </w14:textFill>
        </w:rPr>
        <w:t>2</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w:t>
      </w:r>
    </w:p>
    <w:p w14:paraId="095BB5B0">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项目运输车辆以大型载重汽车为主，通过不同表面清洁程度的路面时，不同行驶速度情况下产生的扬尘量见表5.1-2。</w:t>
      </w:r>
    </w:p>
    <w:p w14:paraId="1DCD5DEA">
      <w:pPr>
        <w:keepNext w:val="0"/>
        <w:keepLines w:val="0"/>
        <w:pageBreakBefore w:val="0"/>
        <w:widowControl w:val="0"/>
        <w:kinsoku/>
        <w:wordWrap/>
        <w:overflowPunct/>
        <w:topLinePunct w:val="0"/>
        <w:autoSpaceDE/>
        <w:autoSpaceDN/>
        <w:bidi w:val="0"/>
        <w:adjustRightInd w:val="0"/>
        <w:snapToGrid w:val="0"/>
        <w:spacing w:line="240" w:lineRule="auto"/>
        <w:ind w:left="480" w:firstLine="482" w:firstLineChars="200"/>
        <w:textAlignment w:val="auto"/>
        <w:rPr>
          <w:rFonts w:hint="default" w:ascii="Times New Roman" w:hAnsi="Times New Roman" w:cs="Times New Roman" w:eastAsiaTheme="minorEastAsia"/>
          <w:b/>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b/>
          <w:color w:val="000000" w:themeColor="text1"/>
          <w:sz w:val="24"/>
          <w:highlight w:val="none"/>
          <w:lang w:val="en-US" w:eastAsia="zh-CN"/>
          <w14:textFill>
            <w14:solidFill>
              <w14:schemeClr w14:val="tx1"/>
            </w14:solidFill>
          </w14:textFill>
        </w:rPr>
        <w:t>表5.1-2    不同车速和地面清洁程度时的汽车扬尘      单位：kg/km·辆</w:t>
      </w:r>
    </w:p>
    <w:tbl>
      <w:tblPr>
        <w:tblStyle w:val="76"/>
        <w:tblW w:w="91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75"/>
        <w:gridCol w:w="1115"/>
        <w:gridCol w:w="1115"/>
        <w:gridCol w:w="1115"/>
        <w:gridCol w:w="1115"/>
        <w:gridCol w:w="1116"/>
        <w:gridCol w:w="1116"/>
      </w:tblGrid>
      <w:tr w14:paraId="19203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2475" w:type="dxa"/>
            <w:tcBorders>
              <w:top w:val="single" w:color="auto" w:sz="12" w:space="0"/>
              <w:left w:val="single" w:color="auto" w:sz="12" w:space="0"/>
              <w:bottom w:val="single" w:color="auto" w:sz="6" w:space="0"/>
              <w:right w:val="single" w:color="auto" w:sz="6" w:space="0"/>
            </w:tcBorders>
            <w:vAlign w:val="center"/>
            <mc:AlternateContent>
              <mc:Choice Requires="wpsCustomData">
                <wpsCustomData:diagonals>
                  <wpsCustomData:diagonal from="10000" to="30000">
                    <wpsCustomData:border w:val="single" w:color="auto" w:sz="12" w:space="0"/>
                  </wpsCustomData:diagonal>
                </wpsCustomData:diagonals>
              </mc:Choice>
            </mc:AlternateContent>
          </w:tcPr>
          <w:p w14:paraId="129503F7">
            <w:pPr>
              <w:keepNext w:val="0"/>
              <w:keepLines w:val="0"/>
              <w:pageBreakBefore w:val="0"/>
              <w:widowControl w:val="0"/>
              <w:kinsoku/>
              <w:wordWrap/>
              <w:overflowPunct/>
              <w:topLinePunct w:val="0"/>
              <w:autoSpaceDE/>
              <w:autoSpaceDN/>
              <w:bidi w:val="0"/>
              <w:adjustRightInd/>
              <w:snapToGrid/>
              <w:spacing w:line="240" w:lineRule="auto"/>
              <w:ind w:left="0" w:leftChars="0"/>
              <w:jc w:val="both"/>
              <w:textAlignment w:val="baseline"/>
              <mc:AlternateContent>
                <mc:Choice Requires="wpsCustomData">
                  <wpsCustomData:diagonalParaType/>
                </mc:Choice>
              </mc:AlternateContent>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车速(km/h)</w:t>
            </w:r>
          </w:p>
          <w:p w14:paraId="065F76A2">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baseline"/>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P(kg/m</w:t>
            </w:r>
            <w:r>
              <w:rPr>
                <w:rFonts w:hint="default" w:ascii="Times New Roman" w:hAnsi="Times New Roman" w:cs="Times New Roman" w:eastAsiaTheme="minorEastAsia"/>
                <w:b w:val="0"/>
                <w:bCs w:val="0"/>
                <w:color w:val="000000" w:themeColor="text1"/>
                <w:sz w:val="21"/>
                <w:szCs w:val="21"/>
                <w:highlight w:val="none"/>
                <w:vertAlign w:val="superscript"/>
                <w:lang w:val="en-US" w:eastAsia="zh-CN"/>
                <w14:textFill>
                  <w14:solidFill>
                    <w14:schemeClr w14:val="tx1"/>
                  </w14:solidFill>
                </w14:textFill>
              </w:rPr>
              <w:t>2</w:t>
            </w: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w:t>
            </w:r>
          </w:p>
        </w:tc>
        <w:tc>
          <w:tcPr>
            <w:tcW w:w="1115" w:type="dxa"/>
            <w:tcBorders>
              <w:top w:val="single" w:color="auto" w:sz="12" w:space="0"/>
              <w:left w:val="single" w:color="auto" w:sz="6" w:space="0"/>
              <w:bottom w:val="single" w:color="auto" w:sz="6" w:space="0"/>
              <w:right w:val="single" w:color="auto" w:sz="6" w:space="0"/>
            </w:tcBorders>
            <w:vAlign w:val="center"/>
          </w:tcPr>
          <w:p w14:paraId="6EF31960">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baseline"/>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0.1</w:t>
            </w:r>
          </w:p>
        </w:tc>
        <w:tc>
          <w:tcPr>
            <w:tcW w:w="1115" w:type="dxa"/>
            <w:tcBorders>
              <w:top w:val="single" w:color="auto" w:sz="12" w:space="0"/>
              <w:left w:val="single" w:color="auto" w:sz="6" w:space="0"/>
              <w:bottom w:val="single" w:color="auto" w:sz="6" w:space="0"/>
              <w:right w:val="single" w:color="auto" w:sz="6" w:space="0"/>
            </w:tcBorders>
            <w:vAlign w:val="center"/>
          </w:tcPr>
          <w:p w14:paraId="25485304">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baseline"/>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0.2</w:t>
            </w:r>
          </w:p>
        </w:tc>
        <w:tc>
          <w:tcPr>
            <w:tcW w:w="1115" w:type="dxa"/>
            <w:tcBorders>
              <w:top w:val="single" w:color="auto" w:sz="12" w:space="0"/>
              <w:left w:val="single" w:color="auto" w:sz="6" w:space="0"/>
              <w:bottom w:val="single" w:color="auto" w:sz="6" w:space="0"/>
              <w:right w:val="single" w:color="auto" w:sz="6" w:space="0"/>
            </w:tcBorders>
            <w:vAlign w:val="center"/>
          </w:tcPr>
          <w:p w14:paraId="45D85479">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baseline"/>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0.3</w:t>
            </w:r>
          </w:p>
        </w:tc>
        <w:tc>
          <w:tcPr>
            <w:tcW w:w="1115" w:type="dxa"/>
            <w:tcBorders>
              <w:top w:val="single" w:color="auto" w:sz="12" w:space="0"/>
              <w:left w:val="single" w:color="auto" w:sz="6" w:space="0"/>
              <w:bottom w:val="single" w:color="auto" w:sz="6" w:space="0"/>
              <w:right w:val="single" w:color="auto" w:sz="6" w:space="0"/>
            </w:tcBorders>
            <w:vAlign w:val="center"/>
          </w:tcPr>
          <w:p w14:paraId="37847CDA">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baseline"/>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0.4</w:t>
            </w:r>
          </w:p>
        </w:tc>
        <w:tc>
          <w:tcPr>
            <w:tcW w:w="1116" w:type="dxa"/>
            <w:tcBorders>
              <w:top w:val="single" w:color="auto" w:sz="12" w:space="0"/>
              <w:left w:val="single" w:color="auto" w:sz="6" w:space="0"/>
              <w:bottom w:val="single" w:color="auto" w:sz="6" w:space="0"/>
              <w:right w:val="single" w:color="auto" w:sz="6" w:space="0"/>
            </w:tcBorders>
            <w:vAlign w:val="center"/>
          </w:tcPr>
          <w:p w14:paraId="027C87E9">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baseline"/>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0.5</w:t>
            </w:r>
          </w:p>
        </w:tc>
        <w:tc>
          <w:tcPr>
            <w:tcW w:w="1116" w:type="dxa"/>
            <w:tcBorders>
              <w:top w:val="single" w:color="auto" w:sz="12" w:space="0"/>
              <w:left w:val="single" w:color="auto" w:sz="6" w:space="0"/>
              <w:bottom w:val="single" w:color="auto" w:sz="6" w:space="0"/>
              <w:right w:val="single" w:color="auto" w:sz="12" w:space="0"/>
            </w:tcBorders>
            <w:vAlign w:val="center"/>
          </w:tcPr>
          <w:p w14:paraId="39DEC0DE">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baseline"/>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1.0</w:t>
            </w:r>
          </w:p>
        </w:tc>
      </w:tr>
      <w:tr w14:paraId="08F46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75" w:type="dxa"/>
            <w:tcBorders>
              <w:top w:val="single" w:color="auto" w:sz="6" w:space="0"/>
              <w:left w:val="single" w:color="auto" w:sz="12" w:space="0"/>
              <w:bottom w:val="single" w:color="auto" w:sz="6" w:space="0"/>
              <w:right w:val="single" w:color="auto" w:sz="6" w:space="0"/>
            </w:tcBorders>
            <w:vAlign w:val="center"/>
          </w:tcPr>
          <w:p w14:paraId="7292B8B3">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baseline"/>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5</w:t>
            </w:r>
          </w:p>
        </w:tc>
        <w:tc>
          <w:tcPr>
            <w:tcW w:w="1115" w:type="dxa"/>
            <w:tcBorders>
              <w:top w:val="single" w:color="auto" w:sz="6" w:space="0"/>
              <w:left w:val="single" w:color="auto" w:sz="6" w:space="0"/>
              <w:bottom w:val="single" w:color="auto" w:sz="6" w:space="0"/>
              <w:right w:val="single" w:color="auto" w:sz="6" w:space="0"/>
            </w:tcBorders>
            <w:vAlign w:val="center"/>
          </w:tcPr>
          <w:p w14:paraId="292022DA">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baseline"/>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0.2301</w:t>
            </w:r>
          </w:p>
        </w:tc>
        <w:tc>
          <w:tcPr>
            <w:tcW w:w="1115" w:type="dxa"/>
            <w:tcBorders>
              <w:top w:val="single" w:color="auto" w:sz="6" w:space="0"/>
              <w:left w:val="single" w:color="auto" w:sz="6" w:space="0"/>
              <w:bottom w:val="single" w:color="auto" w:sz="6" w:space="0"/>
              <w:right w:val="single" w:color="auto" w:sz="6" w:space="0"/>
            </w:tcBorders>
            <w:vAlign w:val="center"/>
          </w:tcPr>
          <w:p w14:paraId="4F951CBE">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baseline"/>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0.3869</w:t>
            </w:r>
          </w:p>
        </w:tc>
        <w:tc>
          <w:tcPr>
            <w:tcW w:w="1115" w:type="dxa"/>
            <w:tcBorders>
              <w:top w:val="single" w:color="auto" w:sz="6" w:space="0"/>
              <w:left w:val="single" w:color="auto" w:sz="6" w:space="0"/>
              <w:bottom w:val="single" w:color="auto" w:sz="6" w:space="0"/>
              <w:right w:val="single" w:color="auto" w:sz="6" w:space="0"/>
            </w:tcBorders>
            <w:vAlign w:val="center"/>
          </w:tcPr>
          <w:p w14:paraId="725D6E9F">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baseline"/>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0.5244</w:t>
            </w:r>
          </w:p>
        </w:tc>
        <w:tc>
          <w:tcPr>
            <w:tcW w:w="1115" w:type="dxa"/>
            <w:tcBorders>
              <w:top w:val="single" w:color="auto" w:sz="6" w:space="0"/>
              <w:left w:val="single" w:color="auto" w:sz="6" w:space="0"/>
              <w:bottom w:val="single" w:color="auto" w:sz="6" w:space="0"/>
              <w:right w:val="single" w:color="auto" w:sz="6" w:space="0"/>
            </w:tcBorders>
            <w:vAlign w:val="center"/>
          </w:tcPr>
          <w:p w14:paraId="0446EF17">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baseline"/>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0.6507</w:t>
            </w:r>
          </w:p>
        </w:tc>
        <w:tc>
          <w:tcPr>
            <w:tcW w:w="1116" w:type="dxa"/>
            <w:tcBorders>
              <w:top w:val="single" w:color="auto" w:sz="6" w:space="0"/>
              <w:left w:val="single" w:color="auto" w:sz="6" w:space="0"/>
              <w:bottom w:val="single" w:color="auto" w:sz="6" w:space="0"/>
              <w:right w:val="single" w:color="auto" w:sz="6" w:space="0"/>
            </w:tcBorders>
            <w:vAlign w:val="center"/>
          </w:tcPr>
          <w:p w14:paraId="4823B9C7">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baseline"/>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0.7693</w:t>
            </w:r>
          </w:p>
        </w:tc>
        <w:tc>
          <w:tcPr>
            <w:tcW w:w="1116" w:type="dxa"/>
            <w:tcBorders>
              <w:top w:val="single" w:color="auto" w:sz="6" w:space="0"/>
              <w:left w:val="single" w:color="auto" w:sz="6" w:space="0"/>
              <w:bottom w:val="single" w:color="auto" w:sz="6" w:space="0"/>
              <w:right w:val="single" w:color="auto" w:sz="12" w:space="0"/>
            </w:tcBorders>
            <w:vAlign w:val="center"/>
          </w:tcPr>
          <w:p w14:paraId="1D98A7AA">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baseline"/>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1.2938</w:t>
            </w:r>
          </w:p>
        </w:tc>
      </w:tr>
      <w:tr w14:paraId="60B5A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75" w:type="dxa"/>
            <w:tcBorders>
              <w:top w:val="single" w:color="auto" w:sz="6" w:space="0"/>
              <w:left w:val="single" w:color="auto" w:sz="12" w:space="0"/>
              <w:bottom w:val="single" w:color="auto" w:sz="6" w:space="0"/>
              <w:right w:val="single" w:color="auto" w:sz="6" w:space="0"/>
            </w:tcBorders>
            <w:vAlign w:val="center"/>
          </w:tcPr>
          <w:p w14:paraId="3831468A">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baseline"/>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10</w:t>
            </w:r>
          </w:p>
        </w:tc>
        <w:tc>
          <w:tcPr>
            <w:tcW w:w="1115" w:type="dxa"/>
            <w:tcBorders>
              <w:top w:val="single" w:color="auto" w:sz="6" w:space="0"/>
              <w:left w:val="single" w:color="auto" w:sz="6" w:space="0"/>
              <w:bottom w:val="single" w:color="auto" w:sz="6" w:space="0"/>
              <w:right w:val="single" w:color="auto" w:sz="6" w:space="0"/>
            </w:tcBorders>
            <w:vAlign w:val="center"/>
          </w:tcPr>
          <w:p w14:paraId="75EBA75D">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baseline"/>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0.4601</w:t>
            </w:r>
          </w:p>
        </w:tc>
        <w:tc>
          <w:tcPr>
            <w:tcW w:w="1115" w:type="dxa"/>
            <w:tcBorders>
              <w:top w:val="single" w:color="auto" w:sz="6" w:space="0"/>
              <w:left w:val="single" w:color="auto" w:sz="6" w:space="0"/>
              <w:bottom w:val="single" w:color="auto" w:sz="6" w:space="0"/>
              <w:right w:val="single" w:color="auto" w:sz="6" w:space="0"/>
            </w:tcBorders>
            <w:vAlign w:val="center"/>
          </w:tcPr>
          <w:p w14:paraId="2A7700E7">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baseline"/>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0.7739</w:t>
            </w:r>
          </w:p>
        </w:tc>
        <w:tc>
          <w:tcPr>
            <w:tcW w:w="1115" w:type="dxa"/>
            <w:tcBorders>
              <w:top w:val="single" w:color="auto" w:sz="6" w:space="0"/>
              <w:left w:val="single" w:color="auto" w:sz="6" w:space="0"/>
              <w:bottom w:val="single" w:color="auto" w:sz="6" w:space="0"/>
              <w:right w:val="single" w:color="auto" w:sz="6" w:space="0"/>
            </w:tcBorders>
            <w:vAlign w:val="center"/>
          </w:tcPr>
          <w:p w14:paraId="7BBF4EE2">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baseline"/>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1.0489</w:t>
            </w:r>
          </w:p>
        </w:tc>
        <w:tc>
          <w:tcPr>
            <w:tcW w:w="1115" w:type="dxa"/>
            <w:tcBorders>
              <w:top w:val="single" w:color="auto" w:sz="6" w:space="0"/>
              <w:left w:val="single" w:color="auto" w:sz="6" w:space="0"/>
              <w:bottom w:val="single" w:color="auto" w:sz="6" w:space="0"/>
              <w:right w:val="single" w:color="auto" w:sz="6" w:space="0"/>
            </w:tcBorders>
            <w:vAlign w:val="center"/>
          </w:tcPr>
          <w:p w14:paraId="06C9923B">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baseline"/>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1.3015</w:t>
            </w:r>
          </w:p>
        </w:tc>
        <w:tc>
          <w:tcPr>
            <w:tcW w:w="1116" w:type="dxa"/>
            <w:tcBorders>
              <w:top w:val="single" w:color="auto" w:sz="6" w:space="0"/>
              <w:left w:val="single" w:color="auto" w:sz="6" w:space="0"/>
              <w:bottom w:val="single" w:color="auto" w:sz="6" w:space="0"/>
              <w:right w:val="single" w:color="auto" w:sz="6" w:space="0"/>
            </w:tcBorders>
            <w:vAlign w:val="center"/>
          </w:tcPr>
          <w:p w14:paraId="412A983D">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baseline"/>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1.5386</w:t>
            </w:r>
          </w:p>
        </w:tc>
        <w:tc>
          <w:tcPr>
            <w:tcW w:w="1116" w:type="dxa"/>
            <w:tcBorders>
              <w:top w:val="single" w:color="auto" w:sz="6" w:space="0"/>
              <w:left w:val="single" w:color="auto" w:sz="6" w:space="0"/>
              <w:bottom w:val="single" w:color="auto" w:sz="6" w:space="0"/>
              <w:right w:val="single" w:color="auto" w:sz="12" w:space="0"/>
            </w:tcBorders>
            <w:vAlign w:val="center"/>
          </w:tcPr>
          <w:p w14:paraId="126BF510">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baseline"/>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2.5876</w:t>
            </w:r>
          </w:p>
        </w:tc>
      </w:tr>
      <w:tr w14:paraId="52087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75" w:type="dxa"/>
            <w:tcBorders>
              <w:top w:val="single" w:color="auto" w:sz="6" w:space="0"/>
              <w:left w:val="single" w:color="auto" w:sz="12" w:space="0"/>
              <w:bottom w:val="single" w:color="auto" w:sz="6" w:space="0"/>
              <w:right w:val="single" w:color="auto" w:sz="6" w:space="0"/>
            </w:tcBorders>
            <w:vAlign w:val="center"/>
          </w:tcPr>
          <w:p w14:paraId="00492A60">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baseline"/>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15</w:t>
            </w:r>
          </w:p>
        </w:tc>
        <w:tc>
          <w:tcPr>
            <w:tcW w:w="1115" w:type="dxa"/>
            <w:tcBorders>
              <w:top w:val="single" w:color="auto" w:sz="6" w:space="0"/>
              <w:left w:val="single" w:color="auto" w:sz="6" w:space="0"/>
              <w:bottom w:val="single" w:color="auto" w:sz="6" w:space="0"/>
              <w:right w:val="single" w:color="auto" w:sz="6" w:space="0"/>
            </w:tcBorders>
            <w:vAlign w:val="center"/>
          </w:tcPr>
          <w:p w14:paraId="74063864">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baseline"/>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0.6902</w:t>
            </w:r>
          </w:p>
        </w:tc>
        <w:tc>
          <w:tcPr>
            <w:tcW w:w="1115" w:type="dxa"/>
            <w:tcBorders>
              <w:top w:val="single" w:color="auto" w:sz="6" w:space="0"/>
              <w:left w:val="single" w:color="auto" w:sz="6" w:space="0"/>
              <w:bottom w:val="single" w:color="auto" w:sz="6" w:space="0"/>
              <w:right w:val="single" w:color="auto" w:sz="6" w:space="0"/>
            </w:tcBorders>
            <w:vAlign w:val="center"/>
          </w:tcPr>
          <w:p w14:paraId="74656FB2">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baseline"/>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1.1608</w:t>
            </w:r>
          </w:p>
        </w:tc>
        <w:tc>
          <w:tcPr>
            <w:tcW w:w="1115" w:type="dxa"/>
            <w:tcBorders>
              <w:top w:val="single" w:color="auto" w:sz="6" w:space="0"/>
              <w:left w:val="single" w:color="auto" w:sz="6" w:space="0"/>
              <w:bottom w:val="single" w:color="auto" w:sz="6" w:space="0"/>
              <w:right w:val="single" w:color="auto" w:sz="6" w:space="0"/>
            </w:tcBorders>
            <w:vAlign w:val="center"/>
          </w:tcPr>
          <w:p w14:paraId="1C756D8A">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baseline"/>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1.5733</w:t>
            </w:r>
          </w:p>
        </w:tc>
        <w:tc>
          <w:tcPr>
            <w:tcW w:w="1115" w:type="dxa"/>
            <w:tcBorders>
              <w:top w:val="single" w:color="auto" w:sz="6" w:space="0"/>
              <w:left w:val="single" w:color="auto" w:sz="6" w:space="0"/>
              <w:bottom w:val="single" w:color="auto" w:sz="6" w:space="0"/>
              <w:right w:val="single" w:color="auto" w:sz="6" w:space="0"/>
            </w:tcBorders>
            <w:vAlign w:val="center"/>
          </w:tcPr>
          <w:p w14:paraId="4FC7DF64">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baseline"/>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1.9522</w:t>
            </w:r>
          </w:p>
        </w:tc>
        <w:tc>
          <w:tcPr>
            <w:tcW w:w="1116" w:type="dxa"/>
            <w:tcBorders>
              <w:top w:val="single" w:color="auto" w:sz="6" w:space="0"/>
              <w:left w:val="single" w:color="auto" w:sz="6" w:space="0"/>
              <w:bottom w:val="single" w:color="auto" w:sz="6" w:space="0"/>
              <w:right w:val="single" w:color="auto" w:sz="6" w:space="0"/>
            </w:tcBorders>
            <w:vAlign w:val="center"/>
          </w:tcPr>
          <w:p w14:paraId="1730801A">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baseline"/>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2.3079</w:t>
            </w:r>
          </w:p>
        </w:tc>
        <w:tc>
          <w:tcPr>
            <w:tcW w:w="1116" w:type="dxa"/>
            <w:tcBorders>
              <w:top w:val="single" w:color="auto" w:sz="6" w:space="0"/>
              <w:left w:val="single" w:color="auto" w:sz="6" w:space="0"/>
              <w:bottom w:val="single" w:color="auto" w:sz="6" w:space="0"/>
              <w:right w:val="single" w:color="auto" w:sz="12" w:space="0"/>
            </w:tcBorders>
            <w:vAlign w:val="center"/>
          </w:tcPr>
          <w:p w14:paraId="5F897455">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baseline"/>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3.8813</w:t>
            </w:r>
          </w:p>
        </w:tc>
      </w:tr>
      <w:tr w14:paraId="2796D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75" w:type="dxa"/>
            <w:tcBorders>
              <w:top w:val="single" w:color="auto" w:sz="6" w:space="0"/>
              <w:left w:val="single" w:color="auto" w:sz="12" w:space="0"/>
              <w:bottom w:val="single" w:color="auto" w:sz="12" w:space="0"/>
              <w:right w:val="single" w:color="auto" w:sz="6" w:space="0"/>
            </w:tcBorders>
            <w:vAlign w:val="center"/>
          </w:tcPr>
          <w:p w14:paraId="56C26033">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baseline"/>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20</w:t>
            </w:r>
          </w:p>
        </w:tc>
        <w:tc>
          <w:tcPr>
            <w:tcW w:w="1115" w:type="dxa"/>
            <w:tcBorders>
              <w:top w:val="single" w:color="auto" w:sz="6" w:space="0"/>
              <w:left w:val="single" w:color="auto" w:sz="6" w:space="0"/>
              <w:bottom w:val="single" w:color="auto" w:sz="12" w:space="0"/>
              <w:right w:val="single" w:color="auto" w:sz="6" w:space="0"/>
            </w:tcBorders>
            <w:vAlign w:val="center"/>
          </w:tcPr>
          <w:p w14:paraId="58D13525">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baseline"/>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0.9203</w:t>
            </w:r>
          </w:p>
        </w:tc>
        <w:tc>
          <w:tcPr>
            <w:tcW w:w="1115" w:type="dxa"/>
            <w:tcBorders>
              <w:top w:val="single" w:color="auto" w:sz="6" w:space="0"/>
              <w:left w:val="single" w:color="auto" w:sz="6" w:space="0"/>
              <w:bottom w:val="single" w:color="auto" w:sz="12" w:space="0"/>
              <w:right w:val="single" w:color="auto" w:sz="6" w:space="0"/>
            </w:tcBorders>
            <w:vAlign w:val="center"/>
          </w:tcPr>
          <w:p w14:paraId="5E7DB7F6">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baseline"/>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1.5477</w:t>
            </w:r>
          </w:p>
        </w:tc>
        <w:tc>
          <w:tcPr>
            <w:tcW w:w="1115" w:type="dxa"/>
            <w:tcBorders>
              <w:top w:val="single" w:color="auto" w:sz="6" w:space="0"/>
              <w:left w:val="single" w:color="auto" w:sz="6" w:space="0"/>
              <w:bottom w:val="single" w:color="auto" w:sz="12" w:space="0"/>
              <w:right w:val="single" w:color="auto" w:sz="6" w:space="0"/>
            </w:tcBorders>
            <w:vAlign w:val="center"/>
          </w:tcPr>
          <w:p w14:paraId="165C5AAD">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baseline"/>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2.0978</w:t>
            </w:r>
          </w:p>
        </w:tc>
        <w:tc>
          <w:tcPr>
            <w:tcW w:w="1115" w:type="dxa"/>
            <w:tcBorders>
              <w:top w:val="single" w:color="auto" w:sz="6" w:space="0"/>
              <w:left w:val="single" w:color="auto" w:sz="6" w:space="0"/>
              <w:bottom w:val="single" w:color="auto" w:sz="12" w:space="0"/>
              <w:right w:val="single" w:color="auto" w:sz="6" w:space="0"/>
            </w:tcBorders>
            <w:vAlign w:val="center"/>
          </w:tcPr>
          <w:p w14:paraId="0AE10D71">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baseline"/>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2.6029</w:t>
            </w:r>
          </w:p>
        </w:tc>
        <w:tc>
          <w:tcPr>
            <w:tcW w:w="1116" w:type="dxa"/>
            <w:tcBorders>
              <w:top w:val="single" w:color="auto" w:sz="6" w:space="0"/>
              <w:left w:val="single" w:color="auto" w:sz="6" w:space="0"/>
              <w:bottom w:val="single" w:color="auto" w:sz="12" w:space="0"/>
              <w:right w:val="single" w:color="auto" w:sz="6" w:space="0"/>
            </w:tcBorders>
            <w:vAlign w:val="center"/>
          </w:tcPr>
          <w:p w14:paraId="72F2DC86">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baseline"/>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3.0771</w:t>
            </w:r>
          </w:p>
        </w:tc>
        <w:tc>
          <w:tcPr>
            <w:tcW w:w="1116" w:type="dxa"/>
            <w:tcBorders>
              <w:top w:val="single" w:color="auto" w:sz="6" w:space="0"/>
              <w:left w:val="single" w:color="auto" w:sz="6" w:space="0"/>
              <w:bottom w:val="single" w:color="auto" w:sz="12" w:space="0"/>
              <w:right w:val="single" w:color="auto" w:sz="12" w:space="0"/>
            </w:tcBorders>
            <w:vAlign w:val="center"/>
          </w:tcPr>
          <w:p w14:paraId="43DF2A35">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baseline"/>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5.1751</w:t>
            </w:r>
          </w:p>
        </w:tc>
      </w:tr>
    </w:tbl>
    <w:p w14:paraId="4923CF52">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由表5.1-2可知，在同样路面清洁情况下，车速越快，扬尘量越大；而在同样车速情况下，路面清洁度越差，则扬尘量越大。根据相关类比调查可知，如运输车辆附近道路未经清洗或洒水抑尘，在风力较大、气候较干燥的情况下，运输车辆所经道路下风向距离150m的TSP浓度为0.31～0.34mg/m</w:t>
      </w:r>
      <w:r>
        <w:rPr>
          <w:rFonts w:hint="default" w:ascii="Times New Roman" w:hAnsi="Times New Roman" w:cs="Times New Roman" w:eastAsiaTheme="minorEastAsia"/>
          <w:snapToGrid w:val="0"/>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，超过《环境空气质量标准》二级标准，在距离200m范围外TSP方可达到《环境空气质量标准》二级标准的要求。</w:t>
      </w:r>
    </w:p>
    <w:p w14:paraId="4250A911">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本项目运输的物料主要为风机部件以及水泥、钢筋、石料和砂料等施工材料，施工单位应针对实际情况，对水泥、石料和砂料等运输车辆加盖篷布或采用封闭车辆，不超重装载，可避免运输过程产生物料遗撒；物料运输过程中加强路面洒水降尘；运输车辆经过沿途居民点时注意控制车速，减速慢行，防止行车时产生大量扬尘。在采取以上防尘降尘措施后，可有效降低车辆运输扬尘对周围环境空气的影响。</w:t>
      </w:r>
    </w:p>
    <w:p w14:paraId="445C9920">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(3)施工机械设备尾气影响分析</w:t>
      </w:r>
    </w:p>
    <w:p w14:paraId="4021FE33">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施工运输车辆、施工机械(推土机、吊车等)等机动车辆运行时排放的尾气。施工机械、汽车大多以柴油作为燃料，燃料燃烧过程中会产生CO、SO</w:t>
      </w:r>
      <w:r>
        <w:rPr>
          <w:rFonts w:hint="default" w:ascii="Times New Roman" w:hAnsi="Times New Roman" w:cs="Times New Roman" w:eastAsiaTheme="minorEastAsia"/>
          <w:snapToGrid w:val="0"/>
          <w:color w:val="000000" w:themeColor="text1"/>
          <w:sz w:val="24"/>
          <w:highlight w:val="none"/>
          <w:vertAlign w:val="subscript"/>
          <w:lang w:val="en-US" w:eastAsia="zh-CN"/>
          <w14:textFill>
            <w14:solidFill>
              <w14:schemeClr w14:val="tx1"/>
            </w14:solidFill>
          </w14:textFill>
        </w:rPr>
        <w:t>2</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、NO</w:t>
      </w:r>
      <w:r>
        <w:rPr>
          <w:rFonts w:hint="default" w:ascii="Times New Roman" w:hAnsi="Times New Roman" w:cs="Times New Roman" w:eastAsiaTheme="minorEastAsia"/>
          <w:snapToGrid w:val="0"/>
          <w:color w:val="000000" w:themeColor="text1"/>
          <w:sz w:val="24"/>
          <w:highlight w:val="none"/>
          <w:vertAlign w:val="subscript"/>
          <w:lang w:val="en-US" w:eastAsia="zh-CN"/>
          <w14:textFill>
            <w14:solidFill>
              <w14:schemeClr w14:val="tx1"/>
            </w14:solidFill>
          </w14:textFill>
        </w:rPr>
        <w:t>X</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、碳氢化合物和烟尘，产生情况主要决定因素为燃料油种类、机械性能、作业方式和风力等，其中机械性能、作业方式因素的影响最大，如运输车辆和部分施工机械在怠速、减速和加速时产生的污染较为严重。</w:t>
      </w:r>
    </w:p>
    <w:p w14:paraId="6EB6DFF2">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各类施工机械流动性较强，且燃料用量不大，所产生的废气少且较为分散，在易于扩散的气象条件下，该废气对周围环境的影响不大。由于拟建项目所在地较开阔，空气流通较好，汽车和机械等排放的废气能够较快地扩散，不会对当地的空气环境产生较大影响，但项目建设过程中仍应控制施工车辆的数量，使空气环境质量受到的影响降至最低。</w:t>
      </w:r>
    </w:p>
    <w:p w14:paraId="16D08A01">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总之，施工期间不可避免的会对附近环境空气产生一定程度的影响，但由于项目所在地地形开阔，利于汽车和施工机械等尾气的扩散。因此，在采取适当的抑尘措施后，施工期带来的大气污染影响可以降低到较小程度，不会对周围环境空气敏感点造成较大的污染影响。</w:t>
      </w:r>
    </w:p>
    <w:p w14:paraId="241839F2">
      <w:pPr>
        <w:pStyle w:val="11"/>
        <w:keepNext/>
        <w:keepLines/>
        <w:pageBreakBefore w:val="0"/>
        <w:widowControl w:val="0"/>
        <w:kinsoku/>
        <w:wordWrap/>
        <w:overflowPunct/>
        <w:topLinePunct w:val="0"/>
        <w:autoSpaceDE/>
        <w:autoSpaceDN/>
        <w:bidi w:val="0"/>
        <w:adjustRightInd/>
        <w:snapToGrid/>
        <w:ind w:left="0"/>
        <w:textAlignment w:val="auto"/>
        <w:outlineLvl w:val="2"/>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bookmarkStart w:id="399" w:name="_Toc6662"/>
      <w:bookmarkStart w:id="400" w:name="_Toc391021370"/>
      <w:bookmarkStart w:id="401" w:name="_Toc16170"/>
      <w:bookmarkStart w:id="402" w:name="_Toc340737577"/>
      <w:bookmarkStart w:id="403" w:name="_Toc313005962"/>
      <w:bookmarkStart w:id="404" w:name="_Toc3110"/>
      <w:bookmarkStart w:id="405" w:name="_Toc2793"/>
      <w:bookmarkStart w:id="406" w:name="_Toc391021202"/>
      <w:bookmarkStart w:id="407" w:name="_Toc19129"/>
      <w:bookmarkStart w:id="408" w:name="_Toc18240"/>
      <w:bookmarkStart w:id="409" w:name="_Toc391020977"/>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5.1.2 施工期水环境影响分析</w:t>
      </w:r>
      <w:bookmarkEnd w:id="399"/>
      <w:bookmarkEnd w:id="400"/>
      <w:bookmarkEnd w:id="401"/>
      <w:bookmarkEnd w:id="402"/>
      <w:bookmarkEnd w:id="403"/>
      <w:bookmarkEnd w:id="404"/>
      <w:bookmarkEnd w:id="405"/>
      <w:bookmarkEnd w:id="406"/>
      <w:bookmarkEnd w:id="407"/>
      <w:bookmarkEnd w:id="408"/>
      <w:bookmarkEnd w:id="409"/>
    </w:p>
    <w:p w14:paraId="018EA7D4">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bookmarkStart w:id="410" w:name="_Toc18129"/>
      <w:bookmarkStart w:id="411" w:name="_Toc31411"/>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(1)施工废水</w:t>
      </w:r>
    </w:p>
    <w:p w14:paraId="16D7A3CC">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本项目施工场地内不设置机械修配，施工机械修理维护依托</w:t>
      </w:r>
      <w:r>
        <w:rPr>
          <w:rFonts w:hint="eastAsia" w:cs="Times New Roman" w:eastAsiaTheme="minorEastAsia"/>
          <w:snapToGrid w:val="0"/>
          <w:color w:val="000000" w:themeColor="text1"/>
          <w:sz w:val="24"/>
          <w:highlight w:val="none"/>
          <w:lang w:val="en-US" w:eastAsia="zh-CN"/>
          <w14:textFill>
            <w14:solidFill>
              <w14:schemeClr w14:val="tx1"/>
            </w14:solidFill>
          </w14:textFill>
        </w:rPr>
        <w:t>附近</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商业机修站维修。混凝土将依托乌鲁木齐现有的商品混凝土，施工场地内不设置修理厂及混凝土拌合站。因此没有机修废水、砂石冲洗废水产生。</w:t>
      </w:r>
    </w:p>
    <w:p w14:paraId="358DB5E0">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施工场地需车辆冲洗平台产生少量车辆冲洗废水，风电场区施工临建区域设置1座50m</w:t>
      </w:r>
      <w:r>
        <w:rPr>
          <w:rFonts w:hint="default" w:ascii="Times New Roman" w:hAnsi="Times New Roman" w:cs="Times New Roman" w:eastAsiaTheme="minorEastAsia"/>
          <w:snapToGrid w:val="0"/>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沉淀池，车辆冲洗废水经沉淀池集中收集处理后，循环使用，不外排。</w:t>
      </w:r>
    </w:p>
    <w:p w14:paraId="3BE9A363">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本项目位于北部山区山前倾斜平原地带，地下水埋深较深，根据调查周边风电场风机基础施工均未揭露地下水水位。本项目风机、箱变等基础采用混凝土直接浇筑的方式施工，浇筑前基础底部铺设防渗膜，可有效防止混凝土养护废水入渗，浇筑后表面洒水润湿进行养护，养护方法为先用吸水材料覆盖混凝土，再在吸水材料上洒水，根据吸收和蒸发情况，适时补充。在养护过程中，养护水被混凝土吸收或自然蒸发，不会因养护水漫流对区域地下水造成影响。</w:t>
      </w:r>
    </w:p>
    <w:p w14:paraId="42549FB8">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本项目采取吸水材料覆盖，雨天停止施工，材料合理堆放，堆存表土进行遮盖等措施后，对周围水环境影响很小。</w:t>
      </w:r>
    </w:p>
    <w:p w14:paraId="12DF279C">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②施工生活区生活污水</w:t>
      </w:r>
    </w:p>
    <w:p w14:paraId="2B04F4D3">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本项目每日平均施工人员约</w:t>
      </w:r>
      <w:r>
        <w:rPr>
          <w:rFonts w:hint="eastAsia" w:cs="Times New Roman" w:eastAsiaTheme="minorEastAsia"/>
          <w:snapToGrid w:val="0"/>
          <w:color w:val="000000" w:themeColor="text1"/>
          <w:sz w:val="24"/>
          <w:highlight w:val="none"/>
          <w:lang w:val="en-US" w:eastAsia="zh-CN"/>
          <w14:textFill>
            <w14:solidFill>
              <w14:schemeClr w14:val="tx1"/>
            </w14:solidFill>
          </w14:textFill>
        </w:rPr>
        <w:t>1</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00人，根据建设单位提供资料，拟建项目施工期按</w:t>
      </w:r>
      <w:r>
        <w:rPr>
          <w:rFonts w:hint="eastAsia" w:cs="Times New Roman" w:eastAsiaTheme="minorEastAsia"/>
          <w:snapToGrid w:val="0"/>
          <w:color w:val="000000" w:themeColor="text1"/>
          <w:sz w:val="24"/>
          <w:highlight w:val="none"/>
          <w:lang w:val="en-US" w:eastAsia="zh-CN"/>
          <w14:textFill>
            <w14:solidFill>
              <w14:schemeClr w14:val="tx1"/>
            </w14:solidFill>
          </w14:textFill>
        </w:rPr>
        <w:t>12</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个月计算，施工期施工人员生活用水按1m³/人·月计算，生活用水总量为</w:t>
      </w:r>
      <w:r>
        <w:rPr>
          <w:rFonts w:hint="eastAsia" w:cs="Times New Roman" w:eastAsiaTheme="minorEastAsia"/>
          <w:snapToGrid w:val="0"/>
          <w:color w:val="000000" w:themeColor="text1"/>
          <w:sz w:val="24"/>
          <w:highlight w:val="none"/>
          <w:lang w:val="en-US" w:eastAsia="zh-CN"/>
          <w14:textFill>
            <w14:solidFill>
              <w14:schemeClr w14:val="tx1"/>
            </w14:solidFill>
          </w14:textFill>
        </w:rPr>
        <w:t>12</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00m³，生活污水排放系数按照0.8计算，则废水排放量约为</w:t>
      </w:r>
      <w:r>
        <w:rPr>
          <w:rFonts w:hint="eastAsia" w:cs="Times New Roman" w:eastAsiaTheme="minorEastAsia"/>
          <w:snapToGrid w:val="0"/>
          <w:color w:val="000000" w:themeColor="text1"/>
          <w:sz w:val="24"/>
          <w:highlight w:val="none"/>
          <w:lang w:val="en-US" w:eastAsia="zh-CN"/>
          <w14:textFill>
            <w14:solidFill>
              <w14:schemeClr w14:val="tx1"/>
            </w14:solidFill>
          </w14:textFill>
        </w:rPr>
        <w:t>960</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m</w:t>
      </w:r>
      <w:r>
        <w:rPr>
          <w:rFonts w:hint="default" w:ascii="Times New Roman" w:hAnsi="Times New Roman" w:cs="Times New Roman" w:eastAsiaTheme="minorEastAsia"/>
          <w:snapToGrid w:val="0"/>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。施工营地生活区设置移动环保厕所及1座100m</w:t>
      </w:r>
      <w:r>
        <w:rPr>
          <w:rFonts w:hint="default" w:ascii="Times New Roman" w:hAnsi="Times New Roman" w:cs="Times New Roman" w:eastAsiaTheme="minorEastAsia"/>
          <w:snapToGrid w:val="0"/>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防渗污水收集池，营地食堂及洗漱废水排入防渗污水收集池；粪便污水排入环保厕所；生活污水及粪便污水定期拉运至污水处理厂处理。施工期结束后将临时废水处理设施拆除并进行相应的土地恢复和平整。</w:t>
      </w:r>
    </w:p>
    <w:p w14:paraId="68782CC4">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综上，本项目施工期废水不外排，施工期做好环境保护管理，在采取以上措施后，施工期对区域水环境影响较小。</w:t>
      </w:r>
    </w:p>
    <w:p w14:paraId="7FDCCDD2">
      <w:pPr>
        <w:pStyle w:val="11"/>
        <w:keepNext/>
        <w:keepLines/>
        <w:pageBreakBefore w:val="0"/>
        <w:widowControl w:val="0"/>
        <w:kinsoku/>
        <w:wordWrap/>
        <w:overflowPunct/>
        <w:topLinePunct w:val="0"/>
        <w:autoSpaceDE/>
        <w:autoSpaceDN/>
        <w:bidi w:val="0"/>
        <w:adjustRightInd/>
        <w:snapToGrid/>
        <w:ind w:left="0"/>
        <w:textAlignment w:val="auto"/>
        <w:outlineLvl w:val="2"/>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bookmarkStart w:id="412" w:name="_Toc340737576"/>
      <w:bookmarkStart w:id="413" w:name="_Toc25272"/>
      <w:bookmarkStart w:id="414" w:name="_Toc18635"/>
      <w:bookmarkStart w:id="415" w:name="_Toc313005961"/>
      <w:bookmarkStart w:id="416" w:name="_Toc391020976"/>
      <w:bookmarkStart w:id="417" w:name="_Toc18380"/>
      <w:bookmarkStart w:id="418" w:name="_Toc25950"/>
      <w:bookmarkStart w:id="419" w:name="_Toc19802"/>
      <w:bookmarkStart w:id="420" w:name="_Toc12778"/>
      <w:bookmarkStart w:id="421" w:name="_Toc391021201"/>
      <w:bookmarkStart w:id="422" w:name="_Toc391021369"/>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5.1.3 施工期声环境影响分析</w:t>
      </w:r>
      <w:bookmarkEnd w:id="412"/>
      <w:bookmarkEnd w:id="413"/>
      <w:bookmarkEnd w:id="414"/>
      <w:bookmarkEnd w:id="415"/>
      <w:bookmarkEnd w:id="416"/>
      <w:bookmarkEnd w:id="417"/>
      <w:bookmarkEnd w:id="418"/>
      <w:bookmarkEnd w:id="419"/>
      <w:bookmarkEnd w:id="420"/>
      <w:bookmarkEnd w:id="421"/>
      <w:bookmarkEnd w:id="422"/>
    </w:p>
    <w:p w14:paraId="0426004E">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施工期噪声主要为施工机械设备所产生的作业噪声，施工机械如推土机、载重汽车、挖掘机等。根据类比调查和有关资料：这些建筑施工机械的声源噪声强度大多在85～105dB(A)左右。主要施工机具噪声水平见表5.1-3。</w:t>
      </w:r>
    </w:p>
    <w:p w14:paraId="7241078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b/>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b/>
          <w:color w:val="000000" w:themeColor="text1"/>
          <w:sz w:val="24"/>
          <w:highlight w:val="none"/>
          <w:lang w:val="en-US" w:eastAsia="zh-CN"/>
          <w14:textFill>
            <w14:solidFill>
              <w14:schemeClr w14:val="tx1"/>
            </w14:solidFill>
          </w14:textFill>
        </w:rPr>
        <w:t>表5.1-3    施工机械噪声源强</w:t>
      </w:r>
    </w:p>
    <w:tbl>
      <w:tblPr>
        <w:tblStyle w:val="75"/>
        <w:tblW w:w="9126" w:type="dxa"/>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28" w:type="dxa"/>
          <w:bottom w:w="0" w:type="dxa"/>
          <w:right w:w="28" w:type="dxa"/>
        </w:tblCellMar>
      </w:tblPr>
      <w:tblGrid>
        <w:gridCol w:w="2281"/>
        <w:gridCol w:w="2281"/>
        <w:gridCol w:w="2282"/>
        <w:gridCol w:w="2282"/>
      </w:tblGrid>
      <w:tr w14:paraId="54DDD070">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281" w:type="dxa"/>
            <w:tcBorders>
              <w:top w:val="single" w:color="auto" w:sz="12" w:space="0"/>
              <w:left w:val="single" w:color="auto" w:sz="12" w:space="0"/>
              <w:bottom w:val="single" w:color="auto" w:sz="6" w:space="0"/>
            </w:tcBorders>
            <w:vAlign w:val="center"/>
          </w:tcPr>
          <w:p w14:paraId="5952A599">
            <w:pPr>
              <w:keepNext w:val="0"/>
              <w:keepLines w:val="0"/>
              <w:pageBreakBefore w:val="0"/>
              <w:widowControl w:val="0"/>
              <w:kinsoku/>
              <w:wordWrap/>
              <w:overflowPunct/>
              <w:topLinePunct w:val="0"/>
              <w:autoSpaceDE/>
              <w:autoSpaceDN/>
              <w:bidi w:val="0"/>
              <w:adjustRightInd/>
              <w:snapToGrid/>
              <w:spacing w:line="220" w:lineRule="exact"/>
              <w:ind w:left="0" w:leftChars="0" w:right="0" w:firstLine="0" w:firstLineChars="0"/>
              <w:jc w:val="center"/>
              <w:textAlignment w:val="auto"/>
              <w:outlineLvl w:val="9"/>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t>声源名称</w:t>
            </w:r>
          </w:p>
        </w:tc>
        <w:tc>
          <w:tcPr>
            <w:tcW w:w="2281" w:type="dxa"/>
            <w:tcBorders>
              <w:top w:val="single" w:color="auto" w:sz="12" w:space="0"/>
              <w:bottom w:val="single" w:color="auto" w:sz="6" w:space="0"/>
              <w:right w:val="single" w:color="auto" w:sz="4" w:space="0"/>
            </w:tcBorders>
            <w:vAlign w:val="center"/>
          </w:tcPr>
          <w:p w14:paraId="51713D23">
            <w:pPr>
              <w:keepNext w:val="0"/>
              <w:keepLines w:val="0"/>
              <w:pageBreakBefore w:val="0"/>
              <w:widowControl w:val="0"/>
              <w:kinsoku/>
              <w:wordWrap/>
              <w:overflowPunct/>
              <w:topLinePunct w:val="0"/>
              <w:autoSpaceDE/>
              <w:autoSpaceDN/>
              <w:bidi w:val="0"/>
              <w:adjustRightInd/>
              <w:snapToGrid/>
              <w:spacing w:line="220" w:lineRule="exact"/>
              <w:ind w:left="0" w:leftChars="0" w:right="0" w:firstLine="0" w:firstLineChars="0"/>
              <w:jc w:val="center"/>
              <w:textAlignment w:val="auto"/>
              <w:outlineLvl w:val="9"/>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t>噪声级dB(A)</w:t>
            </w:r>
          </w:p>
        </w:tc>
        <w:tc>
          <w:tcPr>
            <w:tcW w:w="2282" w:type="dxa"/>
            <w:tcBorders>
              <w:top w:val="single" w:color="auto" w:sz="12" w:space="0"/>
              <w:left w:val="single" w:color="auto" w:sz="4" w:space="0"/>
              <w:bottom w:val="single" w:color="auto" w:sz="6" w:space="0"/>
              <w:right w:val="single" w:color="auto" w:sz="4" w:space="0"/>
            </w:tcBorders>
            <w:vAlign w:val="center"/>
          </w:tcPr>
          <w:p w14:paraId="751FA444">
            <w:pPr>
              <w:keepNext w:val="0"/>
              <w:keepLines w:val="0"/>
              <w:pageBreakBefore w:val="0"/>
              <w:widowControl w:val="0"/>
              <w:kinsoku/>
              <w:wordWrap/>
              <w:overflowPunct/>
              <w:topLinePunct w:val="0"/>
              <w:autoSpaceDE/>
              <w:autoSpaceDN/>
              <w:bidi w:val="0"/>
              <w:adjustRightInd/>
              <w:snapToGrid/>
              <w:spacing w:line="220" w:lineRule="exact"/>
              <w:ind w:left="0" w:leftChars="0" w:right="0" w:firstLine="0" w:firstLineChars="0"/>
              <w:jc w:val="center"/>
              <w:textAlignment w:val="auto"/>
              <w:outlineLvl w:val="9"/>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t>声源名称</w:t>
            </w:r>
          </w:p>
        </w:tc>
        <w:tc>
          <w:tcPr>
            <w:tcW w:w="2282" w:type="dxa"/>
            <w:tcBorders>
              <w:top w:val="single" w:color="auto" w:sz="12" w:space="0"/>
              <w:left w:val="single" w:color="auto" w:sz="4" w:space="0"/>
              <w:bottom w:val="single" w:color="auto" w:sz="6" w:space="0"/>
              <w:right w:val="single" w:color="auto" w:sz="12" w:space="0"/>
            </w:tcBorders>
            <w:vAlign w:val="center"/>
          </w:tcPr>
          <w:p w14:paraId="621CCB09">
            <w:pPr>
              <w:keepNext w:val="0"/>
              <w:keepLines w:val="0"/>
              <w:pageBreakBefore w:val="0"/>
              <w:widowControl w:val="0"/>
              <w:kinsoku/>
              <w:wordWrap/>
              <w:overflowPunct/>
              <w:topLinePunct w:val="0"/>
              <w:autoSpaceDE/>
              <w:autoSpaceDN/>
              <w:bidi w:val="0"/>
              <w:adjustRightInd/>
              <w:snapToGrid/>
              <w:spacing w:line="220" w:lineRule="exact"/>
              <w:ind w:left="0" w:leftChars="0" w:right="0" w:firstLine="0" w:firstLineChars="0"/>
              <w:jc w:val="center"/>
              <w:textAlignment w:val="auto"/>
              <w:outlineLvl w:val="9"/>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t>噪声级dB(A)</w:t>
            </w:r>
          </w:p>
        </w:tc>
      </w:tr>
      <w:tr w14:paraId="6C86C712">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281" w:type="dxa"/>
            <w:tcBorders>
              <w:top w:val="single" w:color="auto" w:sz="6" w:space="0"/>
              <w:left w:val="single" w:color="auto" w:sz="12" w:space="0"/>
              <w:bottom w:val="single" w:color="auto" w:sz="6" w:space="0"/>
            </w:tcBorders>
            <w:vAlign w:val="center"/>
          </w:tcPr>
          <w:p w14:paraId="63529CD4">
            <w:pPr>
              <w:keepNext w:val="0"/>
              <w:keepLines w:val="0"/>
              <w:pageBreakBefore w:val="0"/>
              <w:widowControl w:val="0"/>
              <w:kinsoku/>
              <w:wordWrap/>
              <w:overflowPunct/>
              <w:topLinePunct w:val="0"/>
              <w:autoSpaceDE/>
              <w:autoSpaceDN/>
              <w:bidi w:val="0"/>
              <w:adjustRightInd/>
              <w:snapToGrid/>
              <w:spacing w:line="220" w:lineRule="exact"/>
              <w:ind w:left="0" w:leftChars="0" w:right="0" w:firstLine="0" w:firstLineChars="0"/>
              <w:jc w:val="center"/>
              <w:textAlignment w:val="auto"/>
              <w:outlineLvl w:val="9"/>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t>推土机</w:t>
            </w:r>
          </w:p>
        </w:tc>
        <w:tc>
          <w:tcPr>
            <w:tcW w:w="2281" w:type="dxa"/>
            <w:tcBorders>
              <w:top w:val="single" w:color="auto" w:sz="6" w:space="0"/>
              <w:bottom w:val="single" w:color="auto" w:sz="6" w:space="0"/>
              <w:right w:val="single" w:color="auto" w:sz="4" w:space="0"/>
            </w:tcBorders>
            <w:vAlign w:val="center"/>
          </w:tcPr>
          <w:p w14:paraId="21705E7D">
            <w:pPr>
              <w:keepNext w:val="0"/>
              <w:keepLines w:val="0"/>
              <w:pageBreakBefore w:val="0"/>
              <w:widowControl w:val="0"/>
              <w:kinsoku/>
              <w:wordWrap/>
              <w:overflowPunct/>
              <w:topLinePunct w:val="0"/>
              <w:autoSpaceDE/>
              <w:autoSpaceDN/>
              <w:bidi w:val="0"/>
              <w:adjustRightInd/>
              <w:snapToGrid/>
              <w:spacing w:line="220" w:lineRule="exact"/>
              <w:ind w:left="0" w:leftChars="0" w:right="0" w:firstLine="0" w:firstLineChars="0"/>
              <w:jc w:val="center"/>
              <w:textAlignment w:val="auto"/>
              <w:outlineLvl w:val="9"/>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t>105</w:t>
            </w:r>
          </w:p>
        </w:tc>
        <w:tc>
          <w:tcPr>
            <w:tcW w:w="2282" w:type="dxa"/>
            <w:tcBorders>
              <w:top w:val="single" w:color="auto" w:sz="6" w:space="0"/>
              <w:left w:val="single" w:color="auto" w:sz="4" w:space="0"/>
              <w:bottom w:val="single" w:color="auto" w:sz="6" w:space="0"/>
              <w:right w:val="single" w:color="auto" w:sz="4" w:space="0"/>
            </w:tcBorders>
            <w:vAlign w:val="center"/>
          </w:tcPr>
          <w:p w14:paraId="4F9B219A">
            <w:pPr>
              <w:keepNext w:val="0"/>
              <w:keepLines w:val="0"/>
              <w:pageBreakBefore w:val="0"/>
              <w:widowControl w:val="0"/>
              <w:kinsoku/>
              <w:wordWrap/>
              <w:overflowPunct/>
              <w:topLinePunct w:val="0"/>
              <w:autoSpaceDE/>
              <w:autoSpaceDN/>
              <w:bidi w:val="0"/>
              <w:adjustRightInd/>
              <w:snapToGrid/>
              <w:spacing w:line="220" w:lineRule="exact"/>
              <w:ind w:left="0" w:leftChars="0" w:right="0" w:firstLine="0" w:firstLineChars="0"/>
              <w:jc w:val="center"/>
              <w:textAlignment w:val="auto"/>
              <w:outlineLvl w:val="9"/>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t>起重机</w:t>
            </w:r>
          </w:p>
        </w:tc>
        <w:tc>
          <w:tcPr>
            <w:tcW w:w="2282" w:type="dxa"/>
            <w:tcBorders>
              <w:top w:val="single" w:color="auto" w:sz="6" w:space="0"/>
              <w:left w:val="single" w:color="auto" w:sz="4" w:space="0"/>
              <w:bottom w:val="single" w:color="auto" w:sz="6" w:space="0"/>
              <w:right w:val="single" w:color="auto" w:sz="12" w:space="0"/>
            </w:tcBorders>
            <w:vAlign w:val="center"/>
          </w:tcPr>
          <w:p w14:paraId="576AEB5A">
            <w:pPr>
              <w:keepNext w:val="0"/>
              <w:keepLines w:val="0"/>
              <w:pageBreakBefore w:val="0"/>
              <w:widowControl w:val="0"/>
              <w:kinsoku/>
              <w:wordWrap/>
              <w:overflowPunct/>
              <w:topLinePunct w:val="0"/>
              <w:autoSpaceDE/>
              <w:autoSpaceDN/>
              <w:bidi w:val="0"/>
              <w:adjustRightInd/>
              <w:snapToGrid/>
              <w:spacing w:line="220" w:lineRule="exact"/>
              <w:ind w:left="0" w:leftChars="0" w:right="0" w:firstLine="0" w:firstLineChars="0"/>
              <w:jc w:val="center"/>
              <w:textAlignment w:val="auto"/>
              <w:outlineLvl w:val="9"/>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t>105</w:t>
            </w:r>
          </w:p>
        </w:tc>
      </w:tr>
      <w:tr w14:paraId="2F9C5CAF">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281" w:type="dxa"/>
            <w:tcBorders>
              <w:top w:val="single" w:color="auto" w:sz="6" w:space="0"/>
              <w:left w:val="single" w:color="auto" w:sz="12" w:space="0"/>
              <w:bottom w:val="single" w:color="auto" w:sz="6" w:space="0"/>
            </w:tcBorders>
            <w:vAlign w:val="center"/>
          </w:tcPr>
          <w:p w14:paraId="22AA28FE">
            <w:pPr>
              <w:keepNext w:val="0"/>
              <w:keepLines w:val="0"/>
              <w:pageBreakBefore w:val="0"/>
              <w:widowControl w:val="0"/>
              <w:kinsoku/>
              <w:wordWrap/>
              <w:overflowPunct/>
              <w:topLinePunct w:val="0"/>
              <w:autoSpaceDE/>
              <w:autoSpaceDN/>
              <w:bidi w:val="0"/>
              <w:adjustRightInd/>
              <w:snapToGrid/>
              <w:spacing w:line="220" w:lineRule="exact"/>
              <w:ind w:left="0" w:leftChars="0" w:right="0" w:firstLine="0" w:firstLineChars="0"/>
              <w:jc w:val="center"/>
              <w:textAlignment w:val="auto"/>
              <w:outlineLvl w:val="9"/>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t>挖掘机</w:t>
            </w:r>
          </w:p>
        </w:tc>
        <w:tc>
          <w:tcPr>
            <w:tcW w:w="2281" w:type="dxa"/>
            <w:tcBorders>
              <w:top w:val="single" w:color="auto" w:sz="6" w:space="0"/>
              <w:bottom w:val="single" w:color="auto" w:sz="6" w:space="0"/>
              <w:right w:val="single" w:color="auto" w:sz="4" w:space="0"/>
            </w:tcBorders>
            <w:vAlign w:val="center"/>
          </w:tcPr>
          <w:p w14:paraId="62E8ADF7">
            <w:pPr>
              <w:keepNext w:val="0"/>
              <w:keepLines w:val="0"/>
              <w:pageBreakBefore w:val="0"/>
              <w:widowControl w:val="0"/>
              <w:kinsoku/>
              <w:wordWrap/>
              <w:overflowPunct/>
              <w:topLinePunct w:val="0"/>
              <w:autoSpaceDE/>
              <w:autoSpaceDN/>
              <w:bidi w:val="0"/>
              <w:adjustRightInd/>
              <w:snapToGrid/>
              <w:spacing w:line="220" w:lineRule="exact"/>
              <w:ind w:left="0" w:leftChars="0" w:right="0" w:firstLine="0" w:firstLineChars="0"/>
              <w:jc w:val="center"/>
              <w:textAlignment w:val="auto"/>
              <w:outlineLvl w:val="9"/>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t>105</w:t>
            </w:r>
          </w:p>
        </w:tc>
        <w:tc>
          <w:tcPr>
            <w:tcW w:w="2282" w:type="dxa"/>
            <w:tcBorders>
              <w:top w:val="single" w:color="auto" w:sz="6" w:space="0"/>
              <w:left w:val="single" w:color="auto" w:sz="4" w:space="0"/>
              <w:bottom w:val="single" w:color="auto" w:sz="6" w:space="0"/>
              <w:right w:val="single" w:color="auto" w:sz="4" w:space="0"/>
            </w:tcBorders>
            <w:vAlign w:val="center"/>
          </w:tcPr>
          <w:p w14:paraId="5F173220">
            <w:pPr>
              <w:keepNext w:val="0"/>
              <w:keepLines w:val="0"/>
              <w:pageBreakBefore w:val="0"/>
              <w:widowControl w:val="0"/>
              <w:kinsoku/>
              <w:wordWrap/>
              <w:overflowPunct/>
              <w:topLinePunct w:val="0"/>
              <w:autoSpaceDE/>
              <w:autoSpaceDN/>
              <w:bidi w:val="0"/>
              <w:adjustRightInd/>
              <w:snapToGrid/>
              <w:spacing w:line="220" w:lineRule="exact"/>
              <w:ind w:left="0" w:leftChars="0" w:right="0" w:firstLine="0" w:firstLineChars="0"/>
              <w:jc w:val="center"/>
              <w:textAlignment w:val="auto"/>
              <w:outlineLvl w:val="9"/>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t>空压机</w:t>
            </w:r>
          </w:p>
        </w:tc>
        <w:tc>
          <w:tcPr>
            <w:tcW w:w="2282" w:type="dxa"/>
            <w:tcBorders>
              <w:top w:val="single" w:color="auto" w:sz="6" w:space="0"/>
              <w:left w:val="single" w:color="auto" w:sz="4" w:space="0"/>
              <w:bottom w:val="single" w:color="auto" w:sz="6" w:space="0"/>
              <w:right w:val="single" w:color="auto" w:sz="12" w:space="0"/>
            </w:tcBorders>
            <w:vAlign w:val="center"/>
          </w:tcPr>
          <w:p w14:paraId="69BBC18D">
            <w:pPr>
              <w:keepNext w:val="0"/>
              <w:keepLines w:val="0"/>
              <w:pageBreakBefore w:val="0"/>
              <w:widowControl w:val="0"/>
              <w:kinsoku/>
              <w:wordWrap/>
              <w:overflowPunct/>
              <w:topLinePunct w:val="0"/>
              <w:autoSpaceDE/>
              <w:autoSpaceDN/>
              <w:bidi w:val="0"/>
              <w:adjustRightInd/>
              <w:snapToGrid/>
              <w:spacing w:line="220" w:lineRule="exact"/>
              <w:ind w:left="0" w:leftChars="0" w:right="0" w:firstLine="0" w:firstLineChars="0"/>
              <w:jc w:val="center"/>
              <w:textAlignment w:val="auto"/>
              <w:outlineLvl w:val="9"/>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t>102</w:t>
            </w:r>
          </w:p>
        </w:tc>
      </w:tr>
      <w:tr w14:paraId="1D77DD02">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281" w:type="dxa"/>
            <w:tcBorders>
              <w:top w:val="single" w:color="auto" w:sz="6" w:space="0"/>
              <w:left w:val="single" w:color="auto" w:sz="12" w:space="0"/>
              <w:bottom w:val="single" w:color="auto" w:sz="6" w:space="0"/>
            </w:tcBorders>
            <w:vAlign w:val="center"/>
          </w:tcPr>
          <w:p w14:paraId="6D17968F">
            <w:pPr>
              <w:keepNext w:val="0"/>
              <w:keepLines w:val="0"/>
              <w:pageBreakBefore w:val="0"/>
              <w:widowControl w:val="0"/>
              <w:kinsoku/>
              <w:wordWrap/>
              <w:overflowPunct/>
              <w:topLinePunct w:val="0"/>
              <w:autoSpaceDE/>
              <w:autoSpaceDN/>
              <w:bidi w:val="0"/>
              <w:adjustRightInd/>
              <w:snapToGrid/>
              <w:spacing w:line="220" w:lineRule="exact"/>
              <w:ind w:left="0" w:leftChars="0" w:right="0" w:firstLine="0" w:firstLineChars="0"/>
              <w:jc w:val="center"/>
              <w:textAlignment w:val="auto"/>
              <w:outlineLvl w:val="9"/>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t>装载机</w:t>
            </w:r>
          </w:p>
        </w:tc>
        <w:tc>
          <w:tcPr>
            <w:tcW w:w="2281" w:type="dxa"/>
            <w:tcBorders>
              <w:top w:val="single" w:color="auto" w:sz="6" w:space="0"/>
              <w:bottom w:val="single" w:color="auto" w:sz="6" w:space="0"/>
              <w:right w:val="single" w:color="auto" w:sz="4" w:space="0"/>
            </w:tcBorders>
            <w:vAlign w:val="center"/>
          </w:tcPr>
          <w:p w14:paraId="6ADE7A25">
            <w:pPr>
              <w:keepNext w:val="0"/>
              <w:keepLines w:val="0"/>
              <w:pageBreakBefore w:val="0"/>
              <w:widowControl w:val="0"/>
              <w:kinsoku/>
              <w:wordWrap/>
              <w:overflowPunct/>
              <w:topLinePunct w:val="0"/>
              <w:autoSpaceDE/>
              <w:autoSpaceDN/>
              <w:bidi w:val="0"/>
              <w:adjustRightInd/>
              <w:snapToGrid/>
              <w:spacing w:line="220" w:lineRule="exact"/>
              <w:ind w:left="0" w:leftChars="0" w:right="0" w:firstLine="0" w:firstLineChars="0"/>
              <w:jc w:val="center"/>
              <w:textAlignment w:val="auto"/>
              <w:outlineLvl w:val="9"/>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t>90</w:t>
            </w:r>
          </w:p>
        </w:tc>
        <w:tc>
          <w:tcPr>
            <w:tcW w:w="2282" w:type="dxa"/>
            <w:tcBorders>
              <w:top w:val="single" w:color="auto" w:sz="6" w:space="0"/>
              <w:left w:val="single" w:color="auto" w:sz="4" w:space="0"/>
              <w:bottom w:val="single" w:color="auto" w:sz="6" w:space="0"/>
              <w:right w:val="single" w:color="auto" w:sz="4" w:space="0"/>
            </w:tcBorders>
            <w:vAlign w:val="center"/>
          </w:tcPr>
          <w:p w14:paraId="4ECE259C">
            <w:pPr>
              <w:keepNext w:val="0"/>
              <w:keepLines w:val="0"/>
              <w:pageBreakBefore w:val="0"/>
              <w:widowControl w:val="0"/>
              <w:kinsoku/>
              <w:wordWrap/>
              <w:overflowPunct/>
              <w:topLinePunct w:val="0"/>
              <w:autoSpaceDE/>
              <w:autoSpaceDN/>
              <w:bidi w:val="0"/>
              <w:adjustRightInd/>
              <w:snapToGrid/>
              <w:spacing w:line="220" w:lineRule="exact"/>
              <w:ind w:left="0" w:leftChars="0" w:right="0" w:firstLine="0" w:firstLineChars="0"/>
              <w:jc w:val="center"/>
              <w:textAlignment w:val="auto"/>
              <w:outlineLvl w:val="9"/>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t>振捣器</w:t>
            </w:r>
          </w:p>
        </w:tc>
        <w:tc>
          <w:tcPr>
            <w:tcW w:w="2282" w:type="dxa"/>
            <w:tcBorders>
              <w:top w:val="single" w:color="auto" w:sz="6" w:space="0"/>
              <w:left w:val="single" w:color="auto" w:sz="4" w:space="0"/>
              <w:bottom w:val="single" w:color="auto" w:sz="6" w:space="0"/>
              <w:right w:val="single" w:color="auto" w:sz="12" w:space="0"/>
            </w:tcBorders>
            <w:vAlign w:val="center"/>
          </w:tcPr>
          <w:p w14:paraId="38DA598E">
            <w:pPr>
              <w:keepNext w:val="0"/>
              <w:keepLines w:val="0"/>
              <w:pageBreakBefore w:val="0"/>
              <w:widowControl w:val="0"/>
              <w:kinsoku/>
              <w:wordWrap/>
              <w:overflowPunct/>
              <w:topLinePunct w:val="0"/>
              <w:autoSpaceDE/>
              <w:autoSpaceDN/>
              <w:bidi w:val="0"/>
              <w:adjustRightInd/>
              <w:snapToGrid/>
              <w:spacing w:line="220" w:lineRule="exact"/>
              <w:ind w:left="0" w:leftChars="0" w:right="0" w:firstLine="0" w:firstLineChars="0"/>
              <w:jc w:val="center"/>
              <w:textAlignment w:val="auto"/>
              <w:outlineLvl w:val="9"/>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t>90</w:t>
            </w:r>
          </w:p>
        </w:tc>
      </w:tr>
      <w:tr w14:paraId="42838125">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281" w:type="dxa"/>
            <w:tcBorders>
              <w:top w:val="single" w:color="auto" w:sz="6" w:space="0"/>
              <w:left w:val="single" w:color="auto" w:sz="12" w:space="0"/>
              <w:bottom w:val="single" w:color="auto" w:sz="6" w:space="0"/>
            </w:tcBorders>
            <w:vAlign w:val="center"/>
          </w:tcPr>
          <w:p w14:paraId="40F60D63">
            <w:pPr>
              <w:keepNext w:val="0"/>
              <w:keepLines w:val="0"/>
              <w:pageBreakBefore w:val="0"/>
              <w:widowControl w:val="0"/>
              <w:kinsoku/>
              <w:wordWrap/>
              <w:overflowPunct/>
              <w:topLinePunct w:val="0"/>
              <w:autoSpaceDE/>
              <w:autoSpaceDN/>
              <w:bidi w:val="0"/>
              <w:adjustRightInd/>
              <w:snapToGrid/>
              <w:spacing w:line="220" w:lineRule="exact"/>
              <w:ind w:left="0" w:leftChars="0" w:right="0" w:firstLine="0" w:firstLineChars="0"/>
              <w:jc w:val="center"/>
              <w:textAlignment w:val="auto"/>
              <w:outlineLvl w:val="9"/>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t>运输车辆</w:t>
            </w:r>
          </w:p>
        </w:tc>
        <w:tc>
          <w:tcPr>
            <w:tcW w:w="2281" w:type="dxa"/>
            <w:tcBorders>
              <w:top w:val="single" w:color="auto" w:sz="6" w:space="0"/>
              <w:bottom w:val="single" w:color="auto" w:sz="6" w:space="0"/>
              <w:right w:val="single" w:color="auto" w:sz="4" w:space="0"/>
            </w:tcBorders>
            <w:vAlign w:val="center"/>
          </w:tcPr>
          <w:p w14:paraId="205F23FB">
            <w:pPr>
              <w:keepNext w:val="0"/>
              <w:keepLines w:val="0"/>
              <w:pageBreakBefore w:val="0"/>
              <w:widowControl w:val="0"/>
              <w:kinsoku/>
              <w:wordWrap/>
              <w:overflowPunct/>
              <w:topLinePunct w:val="0"/>
              <w:autoSpaceDE/>
              <w:autoSpaceDN/>
              <w:bidi w:val="0"/>
              <w:adjustRightInd/>
              <w:snapToGrid/>
              <w:spacing w:line="220" w:lineRule="exact"/>
              <w:ind w:left="0" w:leftChars="0" w:right="0" w:firstLine="0" w:firstLineChars="0"/>
              <w:jc w:val="center"/>
              <w:textAlignment w:val="auto"/>
              <w:outlineLvl w:val="9"/>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t>85</w:t>
            </w:r>
          </w:p>
        </w:tc>
        <w:tc>
          <w:tcPr>
            <w:tcW w:w="2282" w:type="dxa"/>
            <w:tcBorders>
              <w:top w:val="single" w:color="auto" w:sz="6" w:space="0"/>
              <w:left w:val="single" w:color="auto" w:sz="4" w:space="0"/>
              <w:bottom w:val="single" w:color="auto" w:sz="6" w:space="0"/>
              <w:right w:val="single" w:color="auto" w:sz="4" w:space="0"/>
            </w:tcBorders>
            <w:vAlign w:val="center"/>
          </w:tcPr>
          <w:p w14:paraId="320A3BE3">
            <w:pPr>
              <w:keepNext w:val="0"/>
              <w:keepLines w:val="0"/>
              <w:pageBreakBefore w:val="0"/>
              <w:widowControl w:val="0"/>
              <w:kinsoku/>
              <w:wordWrap/>
              <w:overflowPunct/>
              <w:topLinePunct w:val="0"/>
              <w:autoSpaceDE/>
              <w:autoSpaceDN/>
              <w:bidi w:val="0"/>
              <w:adjustRightInd/>
              <w:snapToGrid/>
              <w:spacing w:line="220" w:lineRule="exact"/>
              <w:ind w:left="0" w:leftChars="0" w:right="0" w:firstLine="0" w:firstLineChars="0"/>
              <w:jc w:val="center"/>
              <w:textAlignment w:val="auto"/>
              <w:outlineLvl w:val="9"/>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t>钢筋弯曲机</w:t>
            </w:r>
          </w:p>
        </w:tc>
        <w:tc>
          <w:tcPr>
            <w:tcW w:w="2282" w:type="dxa"/>
            <w:tcBorders>
              <w:top w:val="single" w:color="auto" w:sz="6" w:space="0"/>
              <w:left w:val="single" w:color="auto" w:sz="4" w:space="0"/>
              <w:bottom w:val="single" w:color="auto" w:sz="6" w:space="0"/>
              <w:right w:val="single" w:color="auto" w:sz="12" w:space="0"/>
            </w:tcBorders>
            <w:vAlign w:val="center"/>
          </w:tcPr>
          <w:p w14:paraId="20F0626E">
            <w:pPr>
              <w:keepNext w:val="0"/>
              <w:keepLines w:val="0"/>
              <w:pageBreakBefore w:val="0"/>
              <w:widowControl w:val="0"/>
              <w:kinsoku/>
              <w:wordWrap/>
              <w:overflowPunct/>
              <w:topLinePunct w:val="0"/>
              <w:autoSpaceDE/>
              <w:autoSpaceDN/>
              <w:bidi w:val="0"/>
              <w:adjustRightInd/>
              <w:snapToGrid/>
              <w:spacing w:line="220" w:lineRule="exact"/>
              <w:ind w:left="0" w:leftChars="0" w:right="0" w:firstLine="0" w:firstLineChars="0"/>
              <w:jc w:val="center"/>
              <w:textAlignment w:val="auto"/>
              <w:outlineLvl w:val="9"/>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t>85</w:t>
            </w:r>
          </w:p>
        </w:tc>
      </w:tr>
      <w:tr w14:paraId="1259A116">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281" w:type="dxa"/>
            <w:tcBorders>
              <w:top w:val="single" w:color="auto" w:sz="6" w:space="0"/>
              <w:left w:val="single" w:color="auto" w:sz="12" w:space="0"/>
              <w:bottom w:val="single" w:color="auto" w:sz="6" w:space="0"/>
            </w:tcBorders>
            <w:vAlign w:val="center"/>
          </w:tcPr>
          <w:p w14:paraId="07A3680A">
            <w:pPr>
              <w:keepNext w:val="0"/>
              <w:keepLines w:val="0"/>
              <w:pageBreakBefore w:val="0"/>
              <w:widowControl w:val="0"/>
              <w:kinsoku/>
              <w:wordWrap/>
              <w:overflowPunct/>
              <w:topLinePunct w:val="0"/>
              <w:autoSpaceDE/>
              <w:autoSpaceDN/>
              <w:bidi w:val="0"/>
              <w:adjustRightInd/>
              <w:snapToGrid/>
              <w:spacing w:line="220" w:lineRule="exact"/>
              <w:ind w:left="0" w:leftChars="0" w:right="0" w:firstLine="0" w:firstLineChars="0"/>
              <w:jc w:val="center"/>
              <w:textAlignment w:val="auto"/>
              <w:outlineLvl w:val="9"/>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t>平地机</w:t>
            </w:r>
          </w:p>
        </w:tc>
        <w:tc>
          <w:tcPr>
            <w:tcW w:w="2281" w:type="dxa"/>
            <w:tcBorders>
              <w:top w:val="single" w:color="auto" w:sz="6" w:space="0"/>
              <w:bottom w:val="single" w:color="auto" w:sz="6" w:space="0"/>
              <w:right w:val="single" w:color="auto" w:sz="4" w:space="0"/>
            </w:tcBorders>
            <w:vAlign w:val="center"/>
          </w:tcPr>
          <w:p w14:paraId="4977086B">
            <w:pPr>
              <w:keepNext w:val="0"/>
              <w:keepLines w:val="0"/>
              <w:pageBreakBefore w:val="0"/>
              <w:widowControl w:val="0"/>
              <w:kinsoku/>
              <w:wordWrap/>
              <w:overflowPunct/>
              <w:topLinePunct w:val="0"/>
              <w:autoSpaceDE/>
              <w:autoSpaceDN/>
              <w:bidi w:val="0"/>
              <w:adjustRightInd/>
              <w:snapToGrid/>
              <w:spacing w:line="220" w:lineRule="exact"/>
              <w:ind w:left="0" w:leftChars="0" w:right="0" w:firstLine="0" w:firstLineChars="0"/>
              <w:jc w:val="center"/>
              <w:textAlignment w:val="auto"/>
              <w:outlineLvl w:val="9"/>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t>90</w:t>
            </w:r>
          </w:p>
        </w:tc>
        <w:tc>
          <w:tcPr>
            <w:tcW w:w="2282" w:type="dxa"/>
            <w:tcBorders>
              <w:top w:val="single" w:color="auto" w:sz="6" w:space="0"/>
              <w:left w:val="single" w:color="auto" w:sz="4" w:space="0"/>
              <w:bottom w:val="single" w:color="auto" w:sz="6" w:space="0"/>
              <w:right w:val="single" w:color="auto" w:sz="4" w:space="0"/>
            </w:tcBorders>
            <w:shd w:val="clear" w:color="auto" w:fill="auto"/>
            <w:vAlign w:val="center"/>
          </w:tcPr>
          <w:p w14:paraId="3730FF3D">
            <w:pPr>
              <w:keepNext w:val="0"/>
              <w:keepLines w:val="0"/>
              <w:pageBreakBefore w:val="0"/>
              <w:widowControl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t>卷扬机</w:t>
            </w:r>
          </w:p>
        </w:tc>
        <w:tc>
          <w:tcPr>
            <w:tcW w:w="2282" w:type="dxa"/>
            <w:tcBorders>
              <w:top w:val="single" w:color="auto" w:sz="6" w:space="0"/>
              <w:left w:val="single" w:color="auto" w:sz="4" w:space="0"/>
              <w:bottom w:val="single" w:color="auto" w:sz="6" w:space="0"/>
              <w:right w:val="single" w:color="auto" w:sz="12" w:space="0"/>
            </w:tcBorders>
            <w:shd w:val="clear" w:color="auto" w:fill="auto"/>
            <w:vAlign w:val="center"/>
          </w:tcPr>
          <w:p w14:paraId="488302A7">
            <w:pPr>
              <w:keepNext w:val="0"/>
              <w:keepLines w:val="0"/>
              <w:pageBreakBefore w:val="0"/>
              <w:widowControl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t>85</w:t>
            </w:r>
          </w:p>
        </w:tc>
      </w:tr>
      <w:tr w14:paraId="29CF8586">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281" w:type="dxa"/>
            <w:tcBorders>
              <w:top w:val="single" w:color="auto" w:sz="6" w:space="0"/>
              <w:left w:val="single" w:color="auto" w:sz="12" w:space="0"/>
              <w:bottom w:val="single" w:color="auto" w:sz="6" w:space="0"/>
            </w:tcBorders>
            <w:vAlign w:val="center"/>
          </w:tcPr>
          <w:p w14:paraId="4358ACE6">
            <w:pPr>
              <w:keepNext w:val="0"/>
              <w:keepLines w:val="0"/>
              <w:pageBreakBefore w:val="0"/>
              <w:widowControl w:val="0"/>
              <w:kinsoku/>
              <w:wordWrap/>
              <w:overflowPunct/>
              <w:topLinePunct w:val="0"/>
              <w:autoSpaceDE/>
              <w:autoSpaceDN/>
              <w:bidi w:val="0"/>
              <w:adjustRightInd/>
              <w:snapToGrid/>
              <w:spacing w:line="220" w:lineRule="exact"/>
              <w:ind w:left="0" w:leftChars="0" w:right="0" w:firstLine="0" w:firstLineChars="0"/>
              <w:jc w:val="center"/>
              <w:textAlignment w:val="auto"/>
              <w:outlineLvl w:val="9"/>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t>混凝土搅拌车</w:t>
            </w:r>
          </w:p>
        </w:tc>
        <w:tc>
          <w:tcPr>
            <w:tcW w:w="2281" w:type="dxa"/>
            <w:tcBorders>
              <w:top w:val="single" w:color="auto" w:sz="6" w:space="0"/>
              <w:bottom w:val="single" w:color="auto" w:sz="6" w:space="0"/>
              <w:right w:val="single" w:color="auto" w:sz="4" w:space="0"/>
            </w:tcBorders>
            <w:vAlign w:val="center"/>
          </w:tcPr>
          <w:p w14:paraId="4B9A7419">
            <w:pPr>
              <w:keepNext w:val="0"/>
              <w:keepLines w:val="0"/>
              <w:pageBreakBefore w:val="0"/>
              <w:widowControl w:val="0"/>
              <w:kinsoku/>
              <w:wordWrap/>
              <w:overflowPunct/>
              <w:topLinePunct w:val="0"/>
              <w:autoSpaceDE/>
              <w:autoSpaceDN/>
              <w:bidi w:val="0"/>
              <w:adjustRightInd/>
              <w:snapToGrid/>
              <w:spacing w:line="220" w:lineRule="exact"/>
              <w:ind w:left="0" w:leftChars="0" w:right="0" w:firstLine="0" w:firstLineChars="0"/>
              <w:jc w:val="center"/>
              <w:textAlignment w:val="auto"/>
              <w:outlineLvl w:val="9"/>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t>90</w:t>
            </w:r>
          </w:p>
        </w:tc>
        <w:tc>
          <w:tcPr>
            <w:tcW w:w="2282" w:type="dxa"/>
            <w:tcBorders>
              <w:top w:val="single" w:color="auto" w:sz="6" w:space="0"/>
              <w:left w:val="single" w:color="auto" w:sz="4" w:space="0"/>
              <w:bottom w:val="single" w:color="auto" w:sz="6" w:space="0"/>
              <w:right w:val="single" w:color="auto" w:sz="4" w:space="0"/>
            </w:tcBorders>
            <w:shd w:val="clear" w:color="auto" w:fill="auto"/>
            <w:vAlign w:val="center"/>
          </w:tcPr>
          <w:p w14:paraId="665A199C">
            <w:pPr>
              <w:keepNext w:val="0"/>
              <w:keepLines w:val="0"/>
              <w:pageBreakBefore w:val="0"/>
              <w:widowControl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t>电锯</w:t>
            </w:r>
          </w:p>
        </w:tc>
        <w:tc>
          <w:tcPr>
            <w:tcW w:w="2282" w:type="dxa"/>
            <w:tcBorders>
              <w:top w:val="single" w:color="auto" w:sz="6" w:space="0"/>
              <w:left w:val="single" w:color="auto" w:sz="4" w:space="0"/>
              <w:bottom w:val="single" w:color="auto" w:sz="6" w:space="0"/>
              <w:right w:val="single" w:color="auto" w:sz="12" w:space="0"/>
            </w:tcBorders>
            <w:shd w:val="clear" w:color="auto" w:fill="auto"/>
            <w:vAlign w:val="center"/>
          </w:tcPr>
          <w:p w14:paraId="09CACAEC">
            <w:pPr>
              <w:keepNext w:val="0"/>
              <w:keepLines w:val="0"/>
              <w:pageBreakBefore w:val="0"/>
              <w:widowControl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t>105</w:t>
            </w:r>
          </w:p>
        </w:tc>
      </w:tr>
      <w:tr w14:paraId="3A731461">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281" w:type="dxa"/>
            <w:tcBorders>
              <w:top w:val="single" w:color="auto" w:sz="6" w:space="0"/>
              <w:left w:val="single" w:color="auto" w:sz="12" w:space="0"/>
              <w:bottom w:val="single" w:color="auto" w:sz="12" w:space="0"/>
            </w:tcBorders>
            <w:vAlign w:val="center"/>
          </w:tcPr>
          <w:p w14:paraId="32D9DF6B">
            <w:pPr>
              <w:keepNext w:val="0"/>
              <w:keepLines w:val="0"/>
              <w:pageBreakBefore w:val="0"/>
              <w:widowControl w:val="0"/>
              <w:kinsoku/>
              <w:wordWrap/>
              <w:overflowPunct/>
              <w:topLinePunct w:val="0"/>
              <w:autoSpaceDE/>
              <w:autoSpaceDN/>
              <w:bidi w:val="0"/>
              <w:adjustRightInd/>
              <w:snapToGrid/>
              <w:spacing w:line="220" w:lineRule="exact"/>
              <w:ind w:left="0" w:leftChars="0" w:right="0" w:firstLine="0" w:firstLineChars="0"/>
              <w:jc w:val="center"/>
              <w:textAlignment w:val="auto"/>
              <w:outlineLvl w:val="9"/>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t>切割机</w:t>
            </w:r>
          </w:p>
        </w:tc>
        <w:tc>
          <w:tcPr>
            <w:tcW w:w="2281" w:type="dxa"/>
            <w:tcBorders>
              <w:top w:val="single" w:color="auto" w:sz="6" w:space="0"/>
              <w:bottom w:val="single" w:color="auto" w:sz="12" w:space="0"/>
              <w:right w:val="single" w:color="auto" w:sz="4" w:space="0"/>
            </w:tcBorders>
            <w:vAlign w:val="center"/>
          </w:tcPr>
          <w:p w14:paraId="5E56984F">
            <w:pPr>
              <w:keepNext w:val="0"/>
              <w:keepLines w:val="0"/>
              <w:pageBreakBefore w:val="0"/>
              <w:widowControl w:val="0"/>
              <w:kinsoku/>
              <w:wordWrap/>
              <w:overflowPunct/>
              <w:topLinePunct w:val="0"/>
              <w:autoSpaceDE/>
              <w:autoSpaceDN/>
              <w:bidi w:val="0"/>
              <w:adjustRightInd/>
              <w:snapToGrid/>
              <w:spacing w:line="220" w:lineRule="exact"/>
              <w:ind w:left="0" w:leftChars="0" w:right="0" w:firstLine="0" w:firstLineChars="0"/>
              <w:jc w:val="center"/>
              <w:textAlignment w:val="auto"/>
              <w:outlineLvl w:val="9"/>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t>90</w:t>
            </w:r>
          </w:p>
        </w:tc>
        <w:tc>
          <w:tcPr>
            <w:tcW w:w="2282" w:type="dxa"/>
            <w:tcBorders>
              <w:top w:val="single" w:color="auto" w:sz="6" w:space="0"/>
              <w:left w:val="single" w:color="auto" w:sz="4" w:space="0"/>
              <w:bottom w:val="single" w:color="auto" w:sz="12" w:space="0"/>
              <w:right w:val="single" w:color="auto" w:sz="4" w:space="0"/>
            </w:tcBorders>
            <w:vAlign w:val="center"/>
          </w:tcPr>
          <w:p w14:paraId="17572EF9">
            <w:pPr>
              <w:keepNext w:val="0"/>
              <w:keepLines w:val="0"/>
              <w:pageBreakBefore w:val="0"/>
              <w:widowControl w:val="0"/>
              <w:kinsoku/>
              <w:wordWrap/>
              <w:overflowPunct/>
              <w:topLinePunct w:val="0"/>
              <w:autoSpaceDE/>
              <w:autoSpaceDN/>
              <w:bidi w:val="0"/>
              <w:adjustRightInd/>
              <w:snapToGrid/>
              <w:spacing w:line="220" w:lineRule="exact"/>
              <w:ind w:left="0" w:leftChars="0" w:right="0" w:firstLine="0" w:firstLineChars="0"/>
              <w:jc w:val="center"/>
              <w:textAlignment w:val="auto"/>
              <w:outlineLvl w:val="9"/>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t>履带吊</w:t>
            </w:r>
          </w:p>
        </w:tc>
        <w:tc>
          <w:tcPr>
            <w:tcW w:w="2282" w:type="dxa"/>
            <w:tcBorders>
              <w:top w:val="single" w:color="auto" w:sz="6" w:space="0"/>
              <w:left w:val="single" w:color="auto" w:sz="4" w:space="0"/>
              <w:bottom w:val="single" w:color="auto" w:sz="12" w:space="0"/>
              <w:right w:val="single" w:color="auto" w:sz="12" w:space="0"/>
            </w:tcBorders>
            <w:vAlign w:val="center"/>
          </w:tcPr>
          <w:p w14:paraId="6D6B1FAD">
            <w:pPr>
              <w:keepNext w:val="0"/>
              <w:keepLines w:val="0"/>
              <w:pageBreakBefore w:val="0"/>
              <w:widowControl w:val="0"/>
              <w:kinsoku/>
              <w:wordWrap/>
              <w:overflowPunct/>
              <w:topLinePunct w:val="0"/>
              <w:autoSpaceDE/>
              <w:autoSpaceDN/>
              <w:bidi w:val="0"/>
              <w:adjustRightInd/>
              <w:snapToGrid/>
              <w:spacing w:line="220" w:lineRule="exact"/>
              <w:ind w:left="0" w:leftChars="0" w:right="0" w:firstLine="0" w:firstLineChars="0"/>
              <w:jc w:val="center"/>
              <w:textAlignment w:val="auto"/>
              <w:outlineLvl w:val="9"/>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t>105</w:t>
            </w:r>
          </w:p>
        </w:tc>
      </w:tr>
    </w:tbl>
    <w:p w14:paraId="106CC076">
      <w:pPr>
        <w:keepNext w:val="0"/>
        <w:keepLines w:val="0"/>
        <w:pageBreakBefore w:val="0"/>
        <w:widowControl w:val="0"/>
        <w:kinsoku/>
        <w:wordWrap/>
        <w:overflowPunct/>
        <w:topLinePunct w:val="0"/>
        <w:autoSpaceDE/>
        <w:autoSpaceDN/>
        <w:bidi w:val="0"/>
        <w:adjustRightInd/>
        <w:snapToGrid/>
        <w:spacing w:line="24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p>
    <w:p w14:paraId="2FCEDF53">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施工期声环境影响预测计算公式如下：</w:t>
      </w:r>
    </w:p>
    <w:p w14:paraId="3C33B073">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center"/>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L</w:t>
      </w:r>
      <w:r>
        <w:rPr>
          <w:rFonts w:hint="default" w:ascii="Times New Roman" w:hAnsi="Times New Roman" w:cs="Times New Roman" w:eastAsiaTheme="minorEastAsia"/>
          <w:snapToGrid w:val="0"/>
          <w:color w:val="000000" w:themeColor="text1"/>
          <w:sz w:val="24"/>
          <w:highlight w:val="none"/>
          <w:vertAlign w:val="subscript"/>
          <w:lang w:val="en-US" w:eastAsia="zh-CN"/>
          <w14:textFill>
            <w14:solidFill>
              <w14:schemeClr w14:val="tx1"/>
            </w14:solidFill>
          </w14:textFill>
        </w:rPr>
        <w:t>P</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(r)=LP(r</w:t>
      </w:r>
      <w:r>
        <w:rPr>
          <w:rFonts w:hint="default" w:ascii="Times New Roman" w:hAnsi="Times New Roman" w:cs="Times New Roman" w:eastAsiaTheme="minorEastAsia"/>
          <w:snapToGrid w:val="0"/>
          <w:color w:val="000000" w:themeColor="text1"/>
          <w:sz w:val="24"/>
          <w:highlight w:val="none"/>
          <w:vertAlign w:val="subscript"/>
          <w:lang w:val="en-US" w:eastAsia="zh-CN"/>
          <w14:textFill>
            <w14:solidFill>
              <w14:schemeClr w14:val="tx1"/>
            </w14:solidFill>
          </w14:textFill>
        </w:rPr>
        <w:t>0</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)-20lg(r/r</w:t>
      </w:r>
      <w:r>
        <w:rPr>
          <w:rFonts w:hint="default" w:ascii="Times New Roman" w:hAnsi="Times New Roman" w:cs="Times New Roman" w:eastAsiaTheme="minorEastAsia"/>
          <w:snapToGrid w:val="0"/>
          <w:color w:val="000000" w:themeColor="text1"/>
          <w:sz w:val="24"/>
          <w:highlight w:val="none"/>
          <w:vertAlign w:val="subscript"/>
          <w:lang w:val="en-US" w:eastAsia="zh-CN"/>
          <w14:textFill>
            <w14:solidFill>
              <w14:schemeClr w14:val="tx1"/>
            </w14:solidFill>
          </w14:textFill>
        </w:rPr>
        <w:t>0</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w:t>
      </w:r>
    </w:p>
    <w:p w14:paraId="417900C9">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式中：L</w:t>
      </w:r>
      <w:r>
        <w:rPr>
          <w:rFonts w:hint="default" w:ascii="Times New Roman" w:hAnsi="Times New Roman" w:cs="Times New Roman" w:eastAsiaTheme="minorEastAsia"/>
          <w:snapToGrid w:val="0"/>
          <w:color w:val="000000" w:themeColor="text1"/>
          <w:sz w:val="24"/>
          <w:highlight w:val="none"/>
          <w:vertAlign w:val="subscript"/>
          <w:lang w:val="en-US" w:eastAsia="zh-CN"/>
          <w14:textFill>
            <w14:solidFill>
              <w14:schemeClr w14:val="tx1"/>
            </w14:solidFill>
          </w14:textFill>
        </w:rPr>
        <w:t>P</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(r)——距离声源r处的声级dB(A)；</w:t>
      </w:r>
    </w:p>
    <w:p w14:paraId="339ADEE9">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L</w:t>
      </w:r>
      <w:r>
        <w:rPr>
          <w:rFonts w:hint="default" w:ascii="Times New Roman" w:hAnsi="Times New Roman" w:cs="Times New Roman" w:eastAsiaTheme="minorEastAsia"/>
          <w:snapToGrid w:val="0"/>
          <w:color w:val="000000" w:themeColor="text1"/>
          <w:sz w:val="24"/>
          <w:highlight w:val="none"/>
          <w:vertAlign w:val="subscript"/>
          <w:lang w:val="en-US" w:eastAsia="zh-CN"/>
          <w14:textFill>
            <w14:solidFill>
              <w14:schemeClr w14:val="tx1"/>
            </w14:solidFill>
          </w14:textFill>
        </w:rPr>
        <w:t>P</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(r</w:t>
      </w:r>
      <w:r>
        <w:rPr>
          <w:rFonts w:hint="default" w:ascii="Times New Roman" w:hAnsi="Times New Roman" w:cs="Times New Roman" w:eastAsiaTheme="minorEastAsia"/>
          <w:snapToGrid w:val="0"/>
          <w:color w:val="000000" w:themeColor="text1"/>
          <w:sz w:val="24"/>
          <w:highlight w:val="none"/>
          <w:vertAlign w:val="subscript"/>
          <w:lang w:val="en-US" w:eastAsia="zh-CN"/>
          <w14:textFill>
            <w14:solidFill>
              <w14:schemeClr w14:val="tx1"/>
            </w14:solidFill>
          </w14:textFill>
        </w:rPr>
        <w:t>0</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)——距离声源r</w:t>
      </w:r>
      <w:r>
        <w:rPr>
          <w:rFonts w:hint="default" w:ascii="Times New Roman" w:hAnsi="Times New Roman" w:cs="Times New Roman" w:eastAsiaTheme="minorEastAsia"/>
          <w:snapToGrid w:val="0"/>
          <w:color w:val="000000" w:themeColor="text1"/>
          <w:sz w:val="24"/>
          <w:highlight w:val="none"/>
          <w:vertAlign w:val="subscript"/>
          <w:lang w:val="en-US" w:eastAsia="zh-CN"/>
          <w14:textFill>
            <w14:solidFill>
              <w14:schemeClr w14:val="tx1"/>
            </w14:solidFill>
          </w14:textFill>
        </w:rPr>
        <w:t>0</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处的声级dB(A)；</w:t>
      </w:r>
    </w:p>
    <w:p w14:paraId="281E1AFE">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r——预测点与声源之间的距离，m；</w:t>
      </w:r>
    </w:p>
    <w:p w14:paraId="4DE92884">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r</w:t>
      </w:r>
      <w:r>
        <w:rPr>
          <w:rFonts w:hint="default" w:ascii="Times New Roman" w:hAnsi="Times New Roman" w:cs="Times New Roman" w:eastAsiaTheme="minorEastAsia"/>
          <w:snapToGrid w:val="0"/>
          <w:color w:val="000000" w:themeColor="text1"/>
          <w:sz w:val="24"/>
          <w:highlight w:val="none"/>
          <w:vertAlign w:val="subscript"/>
          <w:lang w:val="en-US" w:eastAsia="zh-CN"/>
          <w14:textFill>
            <w14:solidFill>
              <w14:schemeClr w14:val="tx1"/>
            </w14:solidFill>
          </w14:textFill>
        </w:rPr>
        <w:t>0</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——监测点与声源之间的距离，m；</w:t>
      </w:r>
    </w:p>
    <w:p w14:paraId="201CE884">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由此公式计算各类建筑施工机械在不同距离处的噪声预测值见表5.1-4。</w:t>
      </w:r>
    </w:p>
    <w:p w14:paraId="297EEFFC">
      <w:pPr>
        <w:keepNext w:val="0"/>
        <w:keepLines w:val="0"/>
        <w:pageBreakBefore w:val="0"/>
        <w:widowControl w:val="0"/>
        <w:kinsoku/>
        <w:wordWrap/>
        <w:overflowPunct/>
        <w:topLinePunct w:val="0"/>
        <w:autoSpaceDE/>
        <w:autoSpaceDN/>
        <w:bidi w:val="0"/>
        <w:adjustRightInd w:val="0"/>
        <w:snapToGrid w:val="0"/>
        <w:spacing w:line="240" w:lineRule="auto"/>
        <w:ind w:left="480" w:firstLine="482" w:firstLineChars="200"/>
        <w:textAlignment w:val="auto"/>
        <w:rPr>
          <w:rFonts w:hint="default" w:ascii="Times New Roman" w:hAnsi="Times New Roman" w:cs="Times New Roman" w:eastAsiaTheme="minorEastAsia"/>
          <w:b/>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b/>
          <w:color w:val="000000" w:themeColor="text1"/>
          <w:sz w:val="24"/>
          <w:highlight w:val="none"/>
          <w:lang w:val="en-US" w:eastAsia="zh-CN"/>
          <w14:textFill>
            <w14:solidFill>
              <w14:schemeClr w14:val="tx1"/>
            </w14:solidFill>
          </w14:textFill>
        </w:rPr>
        <w:t>表5.1-4       各类建筑施工机械在不同距离处的噪声预测值表</w:t>
      </w:r>
    </w:p>
    <w:tbl>
      <w:tblPr>
        <w:tblStyle w:val="75"/>
        <w:tblW w:w="916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101"/>
        <w:gridCol w:w="912"/>
        <w:gridCol w:w="1086"/>
        <w:gridCol w:w="679"/>
        <w:gridCol w:w="853"/>
        <w:gridCol w:w="785"/>
        <w:gridCol w:w="892"/>
        <w:gridCol w:w="930"/>
        <w:gridCol w:w="930"/>
      </w:tblGrid>
      <w:tr w14:paraId="32BCC6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2101" w:type="dxa"/>
            <w:vMerge w:val="restart"/>
            <w:tcBorders>
              <w:tl2br w:val="nil"/>
              <w:tr2bl w:val="nil"/>
            </w:tcBorders>
            <w:vAlign w:val="center"/>
          </w:tcPr>
          <w:p w14:paraId="1785AF4C">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b w:val="0"/>
                <w:bCs w:val="0"/>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highlight w:val="none"/>
                <w:lang w:bidi="ar-SA"/>
                <w14:textFill>
                  <w14:solidFill>
                    <w14:schemeClr w14:val="tx1"/>
                  </w14:solidFill>
                </w14:textFill>
              </w:rPr>
              <w:t>距离</w:t>
            </w:r>
            <w:r>
              <w:rPr>
                <w:rFonts w:hint="default" w:ascii="Times New Roman" w:hAnsi="Times New Roman" w:cs="Times New Roman" w:eastAsiaTheme="minorEastAsia"/>
                <w:b w:val="0"/>
                <w:bCs w:val="0"/>
                <w:color w:val="000000" w:themeColor="text1"/>
                <w:kern w:val="2"/>
                <w:sz w:val="21"/>
                <w:szCs w:val="21"/>
                <w:highlight w:val="none"/>
                <w:lang w:eastAsia="zh-CN" w:bidi="ar-SA"/>
                <w14:textFill>
                  <w14:solidFill>
                    <w14:schemeClr w14:val="tx1"/>
                  </w14:solidFill>
                </w14:textFill>
              </w:rPr>
              <w:t>(</w:t>
            </w:r>
            <w:r>
              <w:rPr>
                <w:rFonts w:hint="default" w:ascii="Times New Roman" w:hAnsi="Times New Roman" w:cs="Times New Roman" w:eastAsiaTheme="minorEastAsia"/>
                <w:b w:val="0"/>
                <w:bCs w:val="0"/>
                <w:color w:val="000000" w:themeColor="text1"/>
                <w:kern w:val="2"/>
                <w:sz w:val="21"/>
                <w:szCs w:val="21"/>
                <w:highlight w:val="none"/>
                <w:lang w:bidi="ar-SA"/>
                <w14:textFill>
                  <w14:solidFill>
                    <w14:schemeClr w14:val="tx1"/>
                  </w14:solidFill>
                </w14:textFill>
              </w:rPr>
              <w:t>m</w:t>
            </w:r>
            <w:r>
              <w:rPr>
                <w:rFonts w:hint="default" w:ascii="Times New Roman" w:hAnsi="Times New Roman" w:cs="Times New Roman" w:eastAsiaTheme="minorEastAsia"/>
                <w:b w:val="0"/>
                <w:bCs w:val="0"/>
                <w:color w:val="000000" w:themeColor="text1"/>
                <w:kern w:val="2"/>
                <w:sz w:val="21"/>
                <w:szCs w:val="21"/>
                <w:highlight w:val="none"/>
                <w:lang w:eastAsia="zh-CN" w:bidi="ar-SA"/>
                <w14:textFill>
                  <w14:solidFill>
                    <w14:schemeClr w14:val="tx1"/>
                  </w14:solidFill>
                </w14:textFill>
              </w:rPr>
              <w:t>)</w:t>
            </w:r>
            <w:r>
              <w:rPr>
                <w:rFonts w:hint="default" w:ascii="Times New Roman" w:hAnsi="Times New Roman" w:cs="Times New Roman" w:eastAsiaTheme="minorEastAsia"/>
                <w:b w:val="0"/>
                <w:bCs w:val="0"/>
                <w:color w:val="000000" w:themeColor="text1"/>
                <w:kern w:val="2"/>
                <w:sz w:val="21"/>
                <w:szCs w:val="21"/>
                <w:highlight w:val="none"/>
                <w:lang w:bidi="ar-SA"/>
                <w14:textFill>
                  <w14:solidFill>
                    <w14:schemeClr w14:val="tx1"/>
                  </w14:solidFill>
                </w14:textFill>
              </w:rPr>
              <w:t>施工设备</w:t>
            </w:r>
          </w:p>
        </w:tc>
        <w:tc>
          <w:tcPr>
            <w:tcW w:w="1998" w:type="dxa"/>
            <w:gridSpan w:val="2"/>
            <w:tcBorders>
              <w:tl2br w:val="nil"/>
              <w:tr2bl w:val="nil"/>
            </w:tcBorders>
            <w:vAlign w:val="center"/>
          </w:tcPr>
          <w:p w14:paraId="663EB4B2">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b w:val="0"/>
                <w:bCs w:val="0"/>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highlight w:val="none"/>
                <w:lang w:bidi="ar-SA"/>
                <w14:textFill>
                  <w14:solidFill>
                    <w14:schemeClr w14:val="tx1"/>
                  </w14:solidFill>
                </w14:textFill>
              </w:rPr>
              <w:t>源强</w:t>
            </w:r>
          </w:p>
        </w:tc>
        <w:tc>
          <w:tcPr>
            <w:tcW w:w="679" w:type="dxa"/>
            <w:vMerge w:val="restart"/>
            <w:tcBorders>
              <w:tl2br w:val="nil"/>
              <w:tr2bl w:val="nil"/>
            </w:tcBorders>
            <w:vAlign w:val="center"/>
          </w:tcPr>
          <w:p w14:paraId="0E5383C7">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b w:val="0"/>
                <w:bCs w:val="0"/>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highlight w:val="none"/>
                <w:lang w:bidi="ar-SA"/>
                <w14:textFill>
                  <w14:solidFill>
                    <w14:schemeClr w14:val="tx1"/>
                  </w14:solidFill>
                </w14:textFill>
              </w:rPr>
              <w:t>10</w:t>
            </w:r>
          </w:p>
        </w:tc>
        <w:tc>
          <w:tcPr>
            <w:tcW w:w="853" w:type="dxa"/>
            <w:vMerge w:val="restart"/>
            <w:tcBorders>
              <w:tl2br w:val="nil"/>
              <w:tr2bl w:val="nil"/>
            </w:tcBorders>
            <w:vAlign w:val="center"/>
          </w:tcPr>
          <w:p w14:paraId="4A64FAB8">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b w:val="0"/>
                <w:bCs w:val="0"/>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highlight w:val="none"/>
                <w:lang w:bidi="ar-SA"/>
                <w14:textFill>
                  <w14:solidFill>
                    <w14:schemeClr w14:val="tx1"/>
                  </w14:solidFill>
                </w14:textFill>
              </w:rPr>
              <w:t>20</w:t>
            </w:r>
          </w:p>
        </w:tc>
        <w:tc>
          <w:tcPr>
            <w:tcW w:w="785" w:type="dxa"/>
            <w:vMerge w:val="restart"/>
            <w:tcBorders>
              <w:tl2br w:val="nil"/>
              <w:tr2bl w:val="nil"/>
            </w:tcBorders>
            <w:vAlign w:val="center"/>
          </w:tcPr>
          <w:p w14:paraId="3C2D50A7">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b w:val="0"/>
                <w:bCs w:val="0"/>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highlight w:val="none"/>
                <w:lang w:bidi="ar-SA"/>
                <w14:textFill>
                  <w14:solidFill>
                    <w14:schemeClr w14:val="tx1"/>
                  </w14:solidFill>
                </w14:textFill>
              </w:rPr>
              <w:t>40</w:t>
            </w:r>
          </w:p>
        </w:tc>
        <w:tc>
          <w:tcPr>
            <w:tcW w:w="892" w:type="dxa"/>
            <w:vMerge w:val="restart"/>
            <w:tcBorders>
              <w:tl2br w:val="nil"/>
              <w:tr2bl w:val="nil"/>
            </w:tcBorders>
            <w:vAlign w:val="center"/>
          </w:tcPr>
          <w:p w14:paraId="0A880BE2">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b w:val="0"/>
                <w:bCs w:val="0"/>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highlight w:val="none"/>
                <w:lang w:bidi="ar-SA"/>
                <w14:textFill>
                  <w14:solidFill>
                    <w14:schemeClr w14:val="tx1"/>
                  </w14:solidFill>
                </w14:textFill>
              </w:rPr>
              <w:t>80</w:t>
            </w:r>
          </w:p>
        </w:tc>
        <w:tc>
          <w:tcPr>
            <w:tcW w:w="930" w:type="dxa"/>
            <w:vMerge w:val="restart"/>
            <w:tcBorders>
              <w:tl2br w:val="nil"/>
              <w:tr2bl w:val="nil"/>
            </w:tcBorders>
            <w:vAlign w:val="center"/>
          </w:tcPr>
          <w:p w14:paraId="140899E7">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b w:val="0"/>
                <w:bCs w:val="0"/>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highlight w:val="none"/>
                <w:lang w:bidi="ar-SA"/>
                <w14:textFill>
                  <w14:solidFill>
                    <w14:schemeClr w14:val="tx1"/>
                  </w14:solidFill>
                </w14:textFill>
              </w:rPr>
              <w:t>160</w:t>
            </w:r>
          </w:p>
        </w:tc>
        <w:tc>
          <w:tcPr>
            <w:tcW w:w="930" w:type="dxa"/>
            <w:vMerge w:val="restart"/>
            <w:tcBorders>
              <w:tl2br w:val="nil"/>
              <w:tr2bl w:val="nil"/>
            </w:tcBorders>
            <w:vAlign w:val="center"/>
          </w:tcPr>
          <w:p w14:paraId="54120971">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b w:val="0"/>
                <w:bCs w:val="0"/>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highlight w:val="none"/>
                <w:lang w:bidi="ar-SA"/>
                <w14:textFill>
                  <w14:solidFill>
                    <w14:schemeClr w14:val="tx1"/>
                  </w14:solidFill>
                </w14:textFill>
              </w:rPr>
              <w:t>320</w:t>
            </w:r>
          </w:p>
        </w:tc>
      </w:tr>
      <w:tr w14:paraId="743871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2101" w:type="dxa"/>
            <w:vMerge w:val="continue"/>
            <w:tcBorders>
              <w:tl2br w:val="nil"/>
              <w:tr2bl w:val="nil"/>
            </w:tcBorders>
            <w:vAlign w:val="center"/>
          </w:tcPr>
          <w:p w14:paraId="61974053">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p>
        </w:tc>
        <w:tc>
          <w:tcPr>
            <w:tcW w:w="912" w:type="dxa"/>
            <w:tcBorders>
              <w:tl2br w:val="nil"/>
              <w:tr2bl w:val="nil"/>
            </w:tcBorders>
            <w:vAlign w:val="center"/>
          </w:tcPr>
          <w:p w14:paraId="22C6DFBD">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b w:val="0"/>
                <w:bCs w:val="0"/>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highlight w:val="none"/>
                <w:lang w:bidi="ar-SA"/>
                <w14:textFill>
                  <w14:solidFill>
                    <w14:schemeClr w14:val="tx1"/>
                  </w14:solidFill>
                </w14:textFill>
              </w:rPr>
              <w:t>距离</w:t>
            </w:r>
          </w:p>
        </w:tc>
        <w:tc>
          <w:tcPr>
            <w:tcW w:w="1086" w:type="dxa"/>
            <w:tcBorders>
              <w:tl2br w:val="nil"/>
              <w:tr2bl w:val="nil"/>
            </w:tcBorders>
            <w:vAlign w:val="center"/>
          </w:tcPr>
          <w:p w14:paraId="114B6B0B">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b w:val="0"/>
                <w:bCs w:val="0"/>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highlight w:val="none"/>
                <w:lang w:bidi="ar-SA"/>
                <w14:textFill>
                  <w14:solidFill>
                    <w14:schemeClr w14:val="tx1"/>
                  </w14:solidFill>
                </w14:textFill>
              </w:rPr>
              <w:t>噪声值</w:t>
            </w:r>
          </w:p>
        </w:tc>
        <w:tc>
          <w:tcPr>
            <w:tcW w:w="679" w:type="dxa"/>
            <w:vMerge w:val="continue"/>
            <w:tcBorders>
              <w:tl2br w:val="nil"/>
              <w:tr2bl w:val="nil"/>
            </w:tcBorders>
            <w:vAlign w:val="center"/>
          </w:tcPr>
          <w:p w14:paraId="3C7B9778">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b/>
                <w:bCs/>
                <w:color w:val="000000" w:themeColor="text1"/>
                <w:kern w:val="2"/>
                <w:sz w:val="21"/>
                <w:szCs w:val="21"/>
                <w:highlight w:val="none"/>
                <w:lang w:bidi="ar-SA"/>
                <w14:textFill>
                  <w14:solidFill>
                    <w14:schemeClr w14:val="tx1"/>
                  </w14:solidFill>
                </w14:textFill>
              </w:rPr>
            </w:pPr>
          </w:p>
        </w:tc>
        <w:tc>
          <w:tcPr>
            <w:tcW w:w="853" w:type="dxa"/>
            <w:vMerge w:val="continue"/>
            <w:tcBorders>
              <w:tl2br w:val="nil"/>
              <w:tr2bl w:val="nil"/>
            </w:tcBorders>
            <w:vAlign w:val="center"/>
          </w:tcPr>
          <w:p w14:paraId="4BF94644">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b/>
                <w:bCs/>
                <w:color w:val="000000" w:themeColor="text1"/>
                <w:kern w:val="2"/>
                <w:sz w:val="21"/>
                <w:szCs w:val="21"/>
                <w:highlight w:val="none"/>
                <w:lang w:bidi="ar-SA"/>
                <w14:textFill>
                  <w14:solidFill>
                    <w14:schemeClr w14:val="tx1"/>
                  </w14:solidFill>
                </w14:textFill>
              </w:rPr>
            </w:pPr>
          </w:p>
        </w:tc>
        <w:tc>
          <w:tcPr>
            <w:tcW w:w="785" w:type="dxa"/>
            <w:vMerge w:val="continue"/>
            <w:tcBorders>
              <w:tl2br w:val="nil"/>
              <w:tr2bl w:val="nil"/>
            </w:tcBorders>
            <w:vAlign w:val="center"/>
          </w:tcPr>
          <w:p w14:paraId="5934A10A">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b/>
                <w:bCs/>
                <w:color w:val="000000" w:themeColor="text1"/>
                <w:kern w:val="2"/>
                <w:sz w:val="21"/>
                <w:szCs w:val="21"/>
                <w:highlight w:val="none"/>
                <w:lang w:bidi="ar-SA"/>
                <w14:textFill>
                  <w14:solidFill>
                    <w14:schemeClr w14:val="tx1"/>
                  </w14:solidFill>
                </w14:textFill>
              </w:rPr>
            </w:pPr>
          </w:p>
        </w:tc>
        <w:tc>
          <w:tcPr>
            <w:tcW w:w="892" w:type="dxa"/>
            <w:vMerge w:val="continue"/>
            <w:tcBorders>
              <w:tl2br w:val="nil"/>
              <w:tr2bl w:val="nil"/>
            </w:tcBorders>
            <w:vAlign w:val="center"/>
          </w:tcPr>
          <w:p w14:paraId="2AE52658">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b/>
                <w:bCs/>
                <w:color w:val="000000" w:themeColor="text1"/>
                <w:kern w:val="2"/>
                <w:sz w:val="21"/>
                <w:szCs w:val="21"/>
                <w:highlight w:val="none"/>
                <w:lang w:bidi="ar-SA"/>
                <w14:textFill>
                  <w14:solidFill>
                    <w14:schemeClr w14:val="tx1"/>
                  </w14:solidFill>
                </w14:textFill>
              </w:rPr>
            </w:pPr>
          </w:p>
        </w:tc>
        <w:tc>
          <w:tcPr>
            <w:tcW w:w="930" w:type="dxa"/>
            <w:vMerge w:val="continue"/>
            <w:tcBorders>
              <w:tl2br w:val="nil"/>
              <w:tr2bl w:val="nil"/>
            </w:tcBorders>
            <w:vAlign w:val="center"/>
          </w:tcPr>
          <w:p w14:paraId="22242A39">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b/>
                <w:bCs/>
                <w:color w:val="000000" w:themeColor="text1"/>
                <w:kern w:val="2"/>
                <w:sz w:val="21"/>
                <w:szCs w:val="21"/>
                <w:highlight w:val="none"/>
                <w:lang w:bidi="ar-SA"/>
                <w14:textFill>
                  <w14:solidFill>
                    <w14:schemeClr w14:val="tx1"/>
                  </w14:solidFill>
                </w14:textFill>
              </w:rPr>
            </w:pPr>
          </w:p>
        </w:tc>
        <w:tc>
          <w:tcPr>
            <w:tcW w:w="930" w:type="dxa"/>
            <w:vMerge w:val="continue"/>
            <w:tcBorders>
              <w:tl2br w:val="nil"/>
              <w:tr2bl w:val="nil"/>
            </w:tcBorders>
            <w:vAlign w:val="center"/>
          </w:tcPr>
          <w:p w14:paraId="3567C682">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b/>
                <w:bCs/>
                <w:color w:val="000000" w:themeColor="text1"/>
                <w:kern w:val="2"/>
                <w:sz w:val="21"/>
                <w:szCs w:val="21"/>
                <w:highlight w:val="none"/>
                <w:lang w:bidi="ar-SA"/>
                <w14:textFill>
                  <w14:solidFill>
                    <w14:schemeClr w14:val="tx1"/>
                  </w14:solidFill>
                </w14:textFill>
              </w:rPr>
            </w:pPr>
          </w:p>
        </w:tc>
      </w:tr>
      <w:tr w14:paraId="02C766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2101" w:type="dxa"/>
            <w:tcBorders>
              <w:tl2br w:val="nil"/>
              <w:tr2bl w:val="nil"/>
            </w:tcBorders>
            <w:vAlign w:val="center"/>
          </w:tcPr>
          <w:p w14:paraId="63199C7C">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推土机</w:t>
            </w:r>
          </w:p>
        </w:tc>
        <w:tc>
          <w:tcPr>
            <w:tcW w:w="912" w:type="dxa"/>
            <w:tcBorders>
              <w:tl2br w:val="nil"/>
              <w:tr2bl w:val="nil"/>
            </w:tcBorders>
            <w:vAlign w:val="center"/>
          </w:tcPr>
          <w:p w14:paraId="103E9A54">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1</w:t>
            </w:r>
          </w:p>
        </w:tc>
        <w:tc>
          <w:tcPr>
            <w:tcW w:w="1086" w:type="dxa"/>
            <w:tcBorders>
              <w:tl2br w:val="nil"/>
              <w:tr2bl w:val="nil"/>
            </w:tcBorders>
            <w:vAlign w:val="center"/>
          </w:tcPr>
          <w:p w14:paraId="03018486">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105</w:t>
            </w:r>
          </w:p>
        </w:tc>
        <w:tc>
          <w:tcPr>
            <w:tcW w:w="679" w:type="dxa"/>
            <w:tcBorders>
              <w:tl2br w:val="nil"/>
              <w:tr2bl w:val="nil"/>
            </w:tcBorders>
            <w:vAlign w:val="center"/>
          </w:tcPr>
          <w:p w14:paraId="7E32F559">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85</w:t>
            </w:r>
          </w:p>
        </w:tc>
        <w:tc>
          <w:tcPr>
            <w:tcW w:w="853" w:type="dxa"/>
            <w:tcBorders>
              <w:tl2br w:val="nil"/>
              <w:tr2bl w:val="nil"/>
            </w:tcBorders>
            <w:vAlign w:val="center"/>
          </w:tcPr>
          <w:p w14:paraId="2653442B">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79</w:t>
            </w:r>
          </w:p>
        </w:tc>
        <w:tc>
          <w:tcPr>
            <w:tcW w:w="785" w:type="dxa"/>
            <w:tcBorders>
              <w:tl2br w:val="nil"/>
              <w:tr2bl w:val="nil"/>
            </w:tcBorders>
            <w:vAlign w:val="center"/>
          </w:tcPr>
          <w:p w14:paraId="06FCB37F">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73</w:t>
            </w:r>
          </w:p>
        </w:tc>
        <w:tc>
          <w:tcPr>
            <w:tcW w:w="892" w:type="dxa"/>
            <w:tcBorders>
              <w:tl2br w:val="nil"/>
              <w:tr2bl w:val="nil"/>
            </w:tcBorders>
            <w:vAlign w:val="center"/>
          </w:tcPr>
          <w:p w14:paraId="470B236F">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67</w:t>
            </w:r>
          </w:p>
        </w:tc>
        <w:tc>
          <w:tcPr>
            <w:tcW w:w="930" w:type="dxa"/>
            <w:tcBorders>
              <w:tl2br w:val="nil"/>
              <w:tr2bl w:val="nil"/>
            </w:tcBorders>
            <w:vAlign w:val="center"/>
          </w:tcPr>
          <w:p w14:paraId="2670B469">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61</w:t>
            </w:r>
          </w:p>
        </w:tc>
        <w:tc>
          <w:tcPr>
            <w:tcW w:w="930" w:type="dxa"/>
            <w:tcBorders>
              <w:tl2br w:val="nil"/>
              <w:tr2bl w:val="nil"/>
            </w:tcBorders>
            <w:vAlign w:val="center"/>
          </w:tcPr>
          <w:p w14:paraId="318318D5">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55</w:t>
            </w:r>
          </w:p>
        </w:tc>
      </w:tr>
      <w:tr w14:paraId="20B7AD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2101" w:type="dxa"/>
            <w:tcBorders>
              <w:tl2br w:val="nil"/>
              <w:tr2bl w:val="nil"/>
            </w:tcBorders>
            <w:vAlign w:val="center"/>
          </w:tcPr>
          <w:p w14:paraId="2E5251CB">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挖掘机</w:t>
            </w:r>
          </w:p>
        </w:tc>
        <w:tc>
          <w:tcPr>
            <w:tcW w:w="912" w:type="dxa"/>
            <w:tcBorders>
              <w:tl2br w:val="nil"/>
              <w:tr2bl w:val="nil"/>
            </w:tcBorders>
            <w:vAlign w:val="center"/>
          </w:tcPr>
          <w:p w14:paraId="2501A0A5">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1</w:t>
            </w:r>
          </w:p>
        </w:tc>
        <w:tc>
          <w:tcPr>
            <w:tcW w:w="1086" w:type="dxa"/>
            <w:tcBorders>
              <w:tl2br w:val="nil"/>
              <w:tr2bl w:val="nil"/>
            </w:tcBorders>
            <w:vAlign w:val="center"/>
          </w:tcPr>
          <w:p w14:paraId="638B9282">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105</w:t>
            </w:r>
          </w:p>
        </w:tc>
        <w:tc>
          <w:tcPr>
            <w:tcW w:w="679" w:type="dxa"/>
            <w:tcBorders>
              <w:tl2br w:val="nil"/>
              <w:tr2bl w:val="nil"/>
            </w:tcBorders>
            <w:vAlign w:val="center"/>
          </w:tcPr>
          <w:p w14:paraId="1C7E2FF3">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85</w:t>
            </w:r>
          </w:p>
        </w:tc>
        <w:tc>
          <w:tcPr>
            <w:tcW w:w="853" w:type="dxa"/>
            <w:tcBorders>
              <w:tl2br w:val="nil"/>
              <w:tr2bl w:val="nil"/>
            </w:tcBorders>
            <w:vAlign w:val="center"/>
          </w:tcPr>
          <w:p w14:paraId="01A26DED">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79</w:t>
            </w:r>
          </w:p>
        </w:tc>
        <w:tc>
          <w:tcPr>
            <w:tcW w:w="785" w:type="dxa"/>
            <w:tcBorders>
              <w:tl2br w:val="nil"/>
              <w:tr2bl w:val="nil"/>
            </w:tcBorders>
            <w:vAlign w:val="center"/>
          </w:tcPr>
          <w:p w14:paraId="5E172094">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73</w:t>
            </w:r>
          </w:p>
        </w:tc>
        <w:tc>
          <w:tcPr>
            <w:tcW w:w="892" w:type="dxa"/>
            <w:tcBorders>
              <w:tl2br w:val="nil"/>
              <w:tr2bl w:val="nil"/>
            </w:tcBorders>
            <w:vAlign w:val="center"/>
          </w:tcPr>
          <w:p w14:paraId="5D0665E9">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67</w:t>
            </w:r>
          </w:p>
        </w:tc>
        <w:tc>
          <w:tcPr>
            <w:tcW w:w="930" w:type="dxa"/>
            <w:tcBorders>
              <w:tl2br w:val="nil"/>
              <w:tr2bl w:val="nil"/>
            </w:tcBorders>
            <w:vAlign w:val="center"/>
          </w:tcPr>
          <w:p w14:paraId="6B3BA75C">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61</w:t>
            </w:r>
          </w:p>
        </w:tc>
        <w:tc>
          <w:tcPr>
            <w:tcW w:w="930" w:type="dxa"/>
            <w:tcBorders>
              <w:tl2br w:val="nil"/>
              <w:tr2bl w:val="nil"/>
            </w:tcBorders>
            <w:vAlign w:val="center"/>
          </w:tcPr>
          <w:p w14:paraId="0B7473DB">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55</w:t>
            </w:r>
          </w:p>
        </w:tc>
      </w:tr>
      <w:tr w14:paraId="0D45BB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2101" w:type="dxa"/>
            <w:tcBorders>
              <w:tl2br w:val="nil"/>
              <w:tr2bl w:val="nil"/>
            </w:tcBorders>
            <w:vAlign w:val="center"/>
          </w:tcPr>
          <w:p w14:paraId="49317234">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装载机</w:t>
            </w:r>
          </w:p>
        </w:tc>
        <w:tc>
          <w:tcPr>
            <w:tcW w:w="912" w:type="dxa"/>
            <w:tcBorders>
              <w:tl2br w:val="nil"/>
              <w:tr2bl w:val="nil"/>
            </w:tcBorders>
            <w:vAlign w:val="center"/>
          </w:tcPr>
          <w:p w14:paraId="3FB2F218">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1</w:t>
            </w:r>
          </w:p>
        </w:tc>
        <w:tc>
          <w:tcPr>
            <w:tcW w:w="1086" w:type="dxa"/>
            <w:tcBorders>
              <w:tl2br w:val="nil"/>
              <w:tr2bl w:val="nil"/>
            </w:tcBorders>
            <w:vAlign w:val="center"/>
          </w:tcPr>
          <w:p w14:paraId="335C71D6">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90</w:t>
            </w:r>
          </w:p>
        </w:tc>
        <w:tc>
          <w:tcPr>
            <w:tcW w:w="679" w:type="dxa"/>
            <w:tcBorders>
              <w:tl2br w:val="nil"/>
              <w:tr2bl w:val="nil"/>
            </w:tcBorders>
            <w:vAlign w:val="center"/>
          </w:tcPr>
          <w:p w14:paraId="08B398B0">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70</w:t>
            </w:r>
          </w:p>
        </w:tc>
        <w:tc>
          <w:tcPr>
            <w:tcW w:w="853" w:type="dxa"/>
            <w:tcBorders>
              <w:tl2br w:val="nil"/>
              <w:tr2bl w:val="nil"/>
            </w:tcBorders>
            <w:vAlign w:val="center"/>
          </w:tcPr>
          <w:p w14:paraId="1796742A">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64</w:t>
            </w:r>
          </w:p>
        </w:tc>
        <w:tc>
          <w:tcPr>
            <w:tcW w:w="785" w:type="dxa"/>
            <w:tcBorders>
              <w:tl2br w:val="nil"/>
              <w:tr2bl w:val="nil"/>
            </w:tcBorders>
            <w:vAlign w:val="center"/>
          </w:tcPr>
          <w:p w14:paraId="63930036">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58</w:t>
            </w:r>
          </w:p>
        </w:tc>
        <w:tc>
          <w:tcPr>
            <w:tcW w:w="892" w:type="dxa"/>
            <w:tcBorders>
              <w:tl2br w:val="nil"/>
              <w:tr2bl w:val="nil"/>
            </w:tcBorders>
            <w:vAlign w:val="center"/>
          </w:tcPr>
          <w:p w14:paraId="49582FB7">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52</w:t>
            </w:r>
          </w:p>
        </w:tc>
        <w:tc>
          <w:tcPr>
            <w:tcW w:w="930" w:type="dxa"/>
            <w:tcBorders>
              <w:tl2br w:val="nil"/>
              <w:tr2bl w:val="nil"/>
            </w:tcBorders>
            <w:vAlign w:val="center"/>
          </w:tcPr>
          <w:p w14:paraId="7B05A61A">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46</w:t>
            </w:r>
          </w:p>
        </w:tc>
        <w:tc>
          <w:tcPr>
            <w:tcW w:w="930" w:type="dxa"/>
            <w:tcBorders>
              <w:tl2br w:val="nil"/>
              <w:tr2bl w:val="nil"/>
            </w:tcBorders>
            <w:vAlign w:val="center"/>
          </w:tcPr>
          <w:p w14:paraId="51B6D280">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40</w:t>
            </w:r>
          </w:p>
        </w:tc>
      </w:tr>
      <w:tr w14:paraId="29D732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2101" w:type="dxa"/>
            <w:tcBorders>
              <w:tl2br w:val="nil"/>
              <w:tr2bl w:val="nil"/>
            </w:tcBorders>
            <w:vAlign w:val="center"/>
          </w:tcPr>
          <w:p w14:paraId="065BB563">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运输车辆</w:t>
            </w:r>
          </w:p>
        </w:tc>
        <w:tc>
          <w:tcPr>
            <w:tcW w:w="912" w:type="dxa"/>
            <w:tcBorders>
              <w:tl2br w:val="nil"/>
              <w:tr2bl w:val="nil"/>
            </w:tcBorders>
            <w:vAlign w:val="center"/>
          </w:tcPr>
          <w:p w14:paraId="57928D58">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1</w:t>
            </w:r>
          </w:p>
        </w:tc>
        <w:tc>
          <w:tcPr>
            <w:tcW w:w="1086" w:type="dxa"/>
            <w:tcBorders>
              <w:tl2br w:val="nil"/>
              <w:tr2bl w:val="nil"/>
            </w:tcBorders>
            <w:vAlign w:val="center"/>
          </w:tcPr>
          <w:p w14:paraId="7E9B44EE">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85</w:t>
            </w:r>
          </w:p>
        </w:tc>
        <w:tc>
          <w:tcPr>
            <w:tcW w:w="679" w:type="dxa"/>
            <w:tcBorders>
              <w:tl2br w:val="nil"/>
              <w:tr2bl w:val="nil"/>
            </w:tcBorders>
            <w:vAlign w:val="center"/>
          </w:tcPr>
          <w:p w14:paraId="1AA12338">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65</w:t>
            </w:r>
          </w:p>
        </w:tc>
        <w:tc>
          <w:tcPr>
            <w:tcW w:w="853" w:type="dxa"/>
            <w:tcBorders>
              <w:tl2br w:val="nil"/>
              <w:tr2bl w:val="nil"/>
            </w:tcBorders>
            <w:vAlign w:val="center"/>
          </w:tcPr>
          <w:p w14:paraId="2EAF17A3">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59</w:t>
            </w:r>
          </w:p>
        </w:tc>
        <w:tc>
          <w:tcPr>
            <w:tcW w:w="785" w:type="dxa"/>
            <w:tcBorders>
              <w:tl2br w:val="nil"/>
              <w:tr2bl w:val="nil"/>
            </w:tcBorders>
            <w:vAlign w:val="center"/>
          </w:tcPr>
          <w:p w14:paraId="0A0FAA3B">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53</w:t>
            </w:r>
          </w:p>
        </w:tc>
        <w:tc>
          <w:tcPr>
            <w:tcW w:w="892" w:type="dxa"/>
            <w:tcBorders>
              <w:tl2br w:val="nil"/>
              <w:tr2bl w:val="nil"/>
            </w:tcBorders>
            <w:vAlign w:val="center"/>
          </w:tcPr>
          <w:p w14:paraId="1F7A80BF">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47</w:t>
            </w:r>
          </w:p>
        </w:tc>
        <w:tc>
          <w:tcPr>
            <w:tcW w:w="930" w:type="dxa"/>
            <w:tcBorders>
              <w:tl2br w:val="nil"/>
              <w:tr2bl w:val="nil"/>
            </w:tcBorders>
            <w:vAlign w:val="center"/>
          </w:tcPr>
          <w:p w14:paraId="221DCACB">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41</w:t>
            </w:r>
          </w:p>
        </w:tc>
        <w:tc>
          <w:tcPr>
            <w:tcW w:w="930" w:type="dxa"/>
            <w:tcBorders>
              <w:tl2br w:val="nil"/>
              <w:tr2bl w:val="nil"/>
            </w:tcBorders>
            <w:vAlign w:val="center"/>
          </w:tcPr>
          <w:p w14:paraId="30139B96">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35</w:t>
            </w:r>
          </w:p>
        </w:tc>
      </w:tr>
      <w:tr w14:paraId="4E2366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2101" w:type="dxa"/>
            <w:tcBorders>
              <w:tl2br w:val="nil"/>
              <w:tr2bl w:val="nil"/>
            </w:tcBorders>
            <w:vAlign w:val="center"/>
          </w:tcPr>
          <w:p w14:paraId="4F8C2CB6">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起重机</w:t>
            </w:r>
          </w:p>
        </w:tc>
        <w:tc>
          <w:tcPr>
            <w:tcW w:w="912" w:type="dxa"/>
            <w:tcBorders>
              <w:tl2br w:val="nil"/>
              <w:tr2bl w:val="nil"/>
            </w:tcBorders>
            <w:vAlign w:val="center"/>
          </w:tcPr>
          <w:p w14:paraId="1E4958DD">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1</w:t>
            </w:r>
          </w:p>
        </w:tc>
        <w:tc>
          <w:tcPr>
            <w:tcW w:w="1086" w:type="dxa"/>
            <w:tcBorders>
              <w:tl2br w:val="nil"/>
              <w:tr2bl w:val="nil"/>
            </w:tcBorders>
            <w:vAlign w:val="center"/>
          </w:tcPr>
          <w:p w14:paraId="0475BEE9">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105</w:t>
            </w:r>
          </w:p>
        </w:tc>
        <w:tc>
          <w:tcPr>
            <w:tcW w:w="679" w:type="dxa"/>
            <w:tcBorders>
              <w:tl2br w:val="nil"/>
              <w:tr2bl w:val="nil"/>
            </w:tcBorders>
            <w:vAlign w:val="center"/>
          </w:tcPr>
          <w:p w14:paraId="05A2A12F">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85</w:t>
            </w:r>
          </w:p>
        </w:tc>
        <w:tc>
          <w:tcPr>
            <w:tcW w:w="853" w:type="dxa"/>
            <w:tcBorders>
              <w:tl2br w:val="nil"/>
              <w:tr2bl w:val="nil"/>
            </w:tcBorders>
            <w:vAlign w:val="center"/>
          </w:tcPr>
          <w:p w14:paraId="2A810945">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79</w:t>
            </w:r>
          </w:p>
        </w:tc>
        <w:tc>
          <w:tcPr>
            <w:tcW w:w="785" w:type="dxa"/>
            <w:tcBorders>
              <w:tl2br w:val="nil"/>
              <w:tr2bl w:val="nil"/>
            </w:tcBorders>
            <w:vAlign w:val="center"/>
          </w:tcPr>
          <w:p w14:paraId="2B55B1C7">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73</w:t>
            </w:r>
          </w:p>
        </w:tc>
        <w:tc>
          <w:tcPr>
            <w:tcW w:w="892" w:type="dxa"/>
            <w:tcBorders>
              <w:tl2br w:val="nil"/>
              <w:tr2bl w:val="nil"/>
            </w:tcBorders>
            <w:vAlign w:val="center"/>
          </w:tcPr>
          <w:p w14:paraId="61F45FD3">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67</w:t>
            </w:r>
          </w:p>
        </w:tc>
        <w:tc>
          <w:tcPr>
            <w:tcW w:w="930" w:type="dxa"/>
            <w:tcBorders>
              <w:tl2br w:val="nil"/>
              <w:tr2bl w:val="nil"/>
            </w:tcBorders>
            <w:vAlign w:val="center"/>
          </w:tcPr>
          <w:p w14:paraId="6DFFD34E">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61</w:t>
            </w:r>
          </w:p>
        </w:tc>
        <w:tc>
          <w:tcPr>
            <w:tcW w:w="930" w:type="dxa"/>
            <w:tcBorders>
              <w:tl2br w:val="nil"/>
              <w:tr2bl w:val="nil"/>
            </w:tcBorders>
            <w:vAlign w:val="center"/>
          </w:tcPr>
          <w:p w14:paraId="1BA37298">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55</w:t>
            </w:r>
          </w:p>
        </w:tc>
      </w:tr>
      <w:tr w14:paraId="274D3F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2101" w:type="dxa"/>
            <w:tcBorders>
              <w:tl2br w:val="nil"/>
              <w:tr2bl w:val="nil"/>
            </w:tcBorders>
            <w:vAlign w:val="center"/>
          </w:tcPr>
          <w:p w14:paraId="51C81033">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空压机</w:t>
            </w:r>
          </w:p>
        </w:tc>
        <w:tc>
          <w:tcPr>
            <w:tcW w:w="912" w:type="dxa"/>
            <w:tcBorders>
              <w:tl2br w:val="nil"/>
              <w:tr2bl w:val="nil"/>
            </w:tcBorders>
            <w:vAlign w:val="center"/>
          </w:tcPr>
          <w:p w14:paraId="39DCE161">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1</w:t>
            </w:r>
          </w:p>
        </w:tc>
        <w:tc>
          <w:tcPr>
            <w:tcW w:w="1086" w:type="dxa"/>
            <w:tcBorders>
              <w:tl2br w:val="nil"/>
              <w:tr2bl w:val="nil"/>
            </w:tcBorders>
            <w:vAlign w:val="center"/>
          </w:tcPr>
          <w:p w14:paraId="3177517E">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102</w:t>
            </w:r>
          </w:p>
        </w:tc>
        <w:tc>
          <w:tcPr>
            <w:tcW w:w="679" w:type="dxa"/>
            <w:tcBorders>
              <w:tl2br w:val="nil"/>
              <w:tr2bl w:val="nil"/>
            </w:tcBorders>
            <w:vAlign w:val="center"/>
          </w:tcPr>
          <w:p w14:paraId="2555030A">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82</w:t>
            </w:r>
          </w:p>
        </w:tc>
        <w:tc>
          <w:tcPr>
            <w:tcW w:w="853" w:type="dxa"/>
            <w:tcBorders>
              <w:tl2br w:val="nil"/>
              <w:tr2bl w:val="nil"/>
            </w:tcBorders>
            <w:vAlign w:val="center"/>
          </w:tcPr>
          <w:p w14:paraId="768E2124">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76</w:t>
            </w:r>
          </w:p>
        </w:tc>
        <w:tc>
          <w:tcPr>
            <w:tcW w:w="785" w:type="dxa"/>
            <w:tcBorders>
              <w:tl2br w:val="nil"/>
              <w:tr2bl w:val="nil"/>
            </w:tcBorders>
            <w:vAlign w:val="center"/>
          </w:tcPr>
          <w:p w14:paraId="77BFE74A">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70</w:t>
            </w:r>
          </w:p>
        </w:tc>
        <w:tc>
          <w:tcPr>
            <w:tcW w:w="892" w:type="dxa"/>
            <w:tcBorders>
              <w:tl2br w:val="nil"/>
              <w:tr2bl w:val="nil"/>
            </w:tcBorders>
            <w:vAlign w:val="center"/>
          </w:tcPr>
          <w:p w14:paraId="0CE0FEAD">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64</w:t>
            </w:r>
          </w:p>
        </w:tc>
        <w:tc>
          <w:tcPr>
            <w:tcW w:w="930" w:type="dxa"/>
            <w:tcBorders>
              <w:tl2br w:val="nil"/>
              <w:tr2bl w:val="nil"/>
            </w:tcBorders>
            <w:vAlign w:val="center"/>
          </w:tcPr>
          <w:p w14:paraId="48136BD1">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58</w:t>
            </w:r>
          </w:p>
        </w:tc>
        <w:tc>
          <w:tcPr>
            <w:tcW w:w="930" w:type="dxa"/>
            <w:tcBorders>
              <w:tl2br w:val="nil"/>
              <w:tr2bl w:val="nil"/>
            </w:tcBorders>
            <w:vAlign w:val="center"/>
          </w:tcPr>
          <w:p w14:paraId="6727B89D">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52</w:t>
            </w:r>
          </w:p>
        </w:tc>
      </w:tr>
      <w:tr w14:paraId="7E3143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2101" w:type="dxa"/>
            <w:tcBorders>
              <w:tl2br w:val="nil"/>
              <w:tr2bl w:val="nil"/>
            </w:tcBorders>
            <w:vAlign w:val="center"/>
          </w:tcPr>
          <w:p w14:paraId="1C5EC369">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振捣器</w:t>
            </w:r>
          </w:p>
        </w:tc>
        <w:tc>
          <w:tcPr>
            <w:tcW w:w="912" w:type="dxa"/>
            <w:tcBorders>
              <w:tl2br w:val="nil"/>
              <w:tr2bl w:val="nil"/>
            </w:tcBorders>
            <w:vAlign w:val="center"/>
          </w:tcPr>
          <w:p w14:paraId="622A8515">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1</w:t>
            </w:r>
          </w:p>
        </w:tc>
        <w:tc>
          <w:tcPr>
            <w:tcW w:w="1086" w:type="dxa"/>
            <w:tcBorders>
              <w:tl2br w:val="nil"/>
              <w:tr2bl w:val="nil"/>
            </w:tcBorders>
            <w:vAlign w:val="center"/>
          </w:tcPr>
          <w:p w14:paraId="617326F7">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90</w:t>
            </w:r>
          </w:p>
        </w:tc>
        <w:tc>
          <w:tcPr>
            <w:tcW w:w="679" w:type="dxa"/>
            <w:tcBorders>
              <w:tl2br w:val="nil"/>
              <w:tr2bl w:val="nil"/>
            </w:tcBorders>
            <w:vAlign w:val="center"/>
          </w:tcPr>
          <w:p w14:paraId="7794BE19">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70</w:t>
            </w:r>
          </w:p>
        </w:tc>
        <w:tc>
          <w:tcPr>
            <w:tcW w:w="853" w:type="dxa"/>
            <w:tcBorders>
              <w:tl2br w:val="nil"/>
              <w:tr2bl w:val="nil"/>
            </w:tcBorders>
            <w:vAlign w:val="center"/>
          </w:tcPr>
          <w:p w14:paraId="0CBF5F44">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64</w:t>
            </w:r>
          </w:p>
        </w:tc>
        <w:tc>
          <w:tcPr>
            <w:tcW w:w="785" w:type="dxa"/>
            <w:tcBorders>
              <w:tl2br w:val="nil"/>
              <w:tr2bl w:val="nil"/>
            </w:tcBorders>
            <w:vAlign w:val="center"/>
          </w:tcPr>
          <w:p w14:paraId="50535F84">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58</w:t>
            </w:r>
          </w:p>
        </w:tc>
        <w:tc>
          <w:tcPr>
            <w:tcW w:w="892" w:type="dxa"/>
            <w:tcBorders>
              <w:tl2br w:val="nil"/>
              <w:tr2bl w:val="nil"/>
            </w:tcBorders>
            <w:vAlign w:val="center"/>
          </w:tcPr>
          <w:p w14:paraId="4FE63DF6">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52</w:t>
            </w:r>
          </w:p>
        </w:tc>
        <w:tc>
          <w:tcPr>
            <w:tcW w:w="930" w:type="dxa"/>
            <w:tcBorders>
              <w:tl2br w:val="nil"/>
              <w:tr2bl w:val="nil"/>
            </w:tcBorders>
            <w:vAlign w:val="center"/>
          </w:tcPr>
          <w:p w14:paraId="036F03F5">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46</w:t>
            </w:r>
          </w:p>
        </w:tc>
        <w:tc>
          <w:tcPr>
            <w:tcW w:w="930" w:type="dxa"/>
            <w:tcBorders>
              <w:tl2br w:val="nil"/>
              <w:tr2bl w:val="nil"/>
            </w:tcBorders>
            <w:vAlign w:val="center"/>
          </w:tcPr>
          <w:p w14:paraId="675EFAD8">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40</w:t>
            </w:r>
          </w:p>
        </w:tc>
      </w:tr>
      <w:tr w14:paraId="6B65E7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2101" w:type="dxa"/>
            <w:tcBorders>
              <w:tl2br w:val="nil"/>
              <w:tr2bl w:val="nil"/>
            </w:tcBorders>
            <w:vAlign w:val="center"/>
          </w:tcPr>
          <w:p w14:paraId="6DDEA27C">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t>钢筋弯曲机</w:t>
            </w:r>
          </w:p>
        </w:tc>
        <w:tc>
          <w:tcPr>
            <w:tcW w:w="912" w:type="dxa"/>
            <w:tcBorders>
              <w:tl2br w:val="nil"/>
              <w:tr2bl w:val="nil"/>
            </w:tcBorders>
            <w:vAlign w:val="center"/>
          </w:tcPr>
          <w:p w14:paraId="621391F9">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1</w:t>
            </w:r>
          </w:p>
        </w:tc>
        <w:tc>
          <w:tcPr>
            <w:tcW w:w="1086" w:type="dxa"/>
            <w:tcBorders>
              <w:tl2br w:val="nil"/>
              <w:tr2bl w:val="nil"/>
            </w:tcBorders>
            <w:vAlign w:val="center"/>
          </w:tcPr>
          <w:p w14:paraId="68242F4B">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85</w:t>
            </w:r>
          </w:p>
        </w:tc>
        <w:tc>
          <w:tcPr>
            <w:tcW w:w="679" w:type="dxa"/>
            <w:tcBorders>
              <w:tl2br w:val="nil"/>
              <w:tr2bl w:val="nil"/>
            </w:tcBorders>
            <w:vAlign w:val="center"/>
          </w:tcPr>
          <w:p w14:paraId="5C225626">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65</w:t>
            </w:r>
          </w:p>
        </w:tc>
        <w:tc>
          <w:tcPr>
            <w:tcW w:w="853" w:type="dxa"/>
            <w:tcBorders>
              <w:tl2br w:val="nil"/>
              <w:tr2bl w:val="nil"/>
            </w:tcBorders>
            <w:vAlign w:val="center"/>
          </w:tcPr>
          <w:p w14:paraId="49AC2A58">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59</w:t>
            </w:r>
          </w:p>
        </w:tc>
        <w:tc>
          <w:tcPr>
            <w:tcW w:w="785" w:type="dxa"/>
            <w:tcBorders>
              <w:tl2br w:val="nil"/>
              <w:tr2bl w:val="nil"/>
            </w:tcBorders>
            <w:vAlign w:val="center"/>
          </w:tcPr>
          <w:p w14:paraId="224CD11A">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53</w:t>
            </w:r>
          </w:p>
        </w:tc>
        <w:tc>
          <w:tcPr>
            <w:tcW w:w="892" w:type="dxa"/>
            <w:tcBorders>
              <w:tl2br w:val="nil"/>
              <w:tr2bl w:val="nil"/>
            </w:tcBorders>
            <w:vAlign w:val="center"/>
          </w:tcPr>
          <w:p w14:paraId="77E35EB6">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47</w:t>
            </w:r>
          </w:p>
        </w:tc>
        <w:tc>
          <w:tcPr>
            <w:tcW w:w="930" w:type="dxa"/>
            <w:tcBorders>
              <w:tl2br w:val="nil"/>
              <w:tr2bl w:val="nil"/>
            </w:tcBorders>
            <w:vAlign w:val="center"/>
          </w:tcPr>
          <w:p w14:paraId="1BF7A2F7">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41</w:t>
            </w:r>
          </w:p>
        </w:tc>
        <w:tc>
          <w:tcPr>
            <w:tcW w:w="930" w:type="dxa"/>
            <w:tcBorders>
              <w:tl2br w:val="nil"/>
              <w:tr2bl w:val="nil"/>
            </w:tcBorders>
            <w:vAlign w:val="center"/>
          </w:tcPr>
          <w:p w14:paraId="469C65F3">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35</w:t>
            </w:r>
          </w:p>
        </w:tc>
      </w:tr>
      <w:tr w14:paraId="396472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2101" w:type="dxa"/>
            <w:tcBorders>
              <w:tl2br w:val="nil"/>
              <w:tr2bl w:val="nil"/>
            </w:tcBorders>
            <w:vAlign w:val="center"/>
          </w:tcPr>
          <w:p w14:paraId="7D820F52">
            <w:pPr>
              <w:keepNext w:val="0"/>
              <w:keepLines w:val="0"/>
              <w:pageBreakBefore w:val="0"/>
              <w:widowControl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t>平地机</w:t>
            </w:r>
          </w:p>
        </w:tc>
        <w:tc>
          <w:tcPr>
            <w:tcW w:w="912" w:type="dxa"/>
            <w:tcBorders>
              <w:tl2br w:val="nil"/>
              <w:tr2bl w:val="nil"/>
            </w:tcBorders>
            <w:vAlign w:val="center"/>
          </w:tcPr>
          <w:p w14:paraId="664F5385">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1</w:t>
            </w:r>
          </w:p>
        </w:tc>
        <w:tc>
          <w:tcPr>
            <w:tcW w:w="1086" w:type="dxa"/>
            <w:tcBorders>
              <w:tl2br w:val="nil"/>
              <w:tr2bl w:val="nil"/>
            </w:tcBorders>
            <w:vAlign w:val="center"/>
          </w:tcPr>
          <w:p w14:paraId="28D0DE0F">
            <w:pPr>
              <w:keepNext w:val="0"/>
              <w:keepLines w:val="0"/>
              <w:pageBreakBefore w:val="0"/>
              <w:widowControl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t>90</w:t>
            </w:r>
          </w:p>
        </w:tc>
        <w:tc>
          <w:tcPr>
            <w:tcW w:w="679" w:type="dxa"/>
            <w:tcBorders>
              <w:tl2br w:val="nil"/>
              <w:tr2bl w:val="nil"/>
            </w:tcBorders>
            <w:vAlign w:val="center"/>
          </w:tcPr>
          <w:p w14:paraId="26632ECE">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70</w:t>
            </w:r>
          </w:p>
        </w:tc>
        <w:tc>
          <w:tcPr>
            <w:tcW w:w="853" w:type="dxa"/>
            <w:tcBorders>
              <w:tl2br w:val="nil"/>
              <w:tr2bl w:val="nil"/>
            </w:tcBorders>
            <w:vAlign w:val="center"/>
          </w:tcPr>
          <w:p w14:paraId="47BA2631">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64</w:t>
            </w:r>
          </w:p>
        </w:tc>
        <w:tc>
          <w:tcPr>
            <w:tcW w:w="785" w:type="dxa"/>
            <w:tcBorders>
              <w:tl2br w:val="nil"/>
              <w:tr2bl w:val="nil"/>
            </w:tcBorders>
            <w:vAlign w:val="center"/>
          </w:tcPr>
          <w:p w14:paraId="4F6A6273">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58</w:t>
            </w:r>
          </w:p>
        </w:tc>
        <w:tc>
          <w:tcPr>
            <w:tcW w:w="892" w:type="dxa"/>
            <w:tcBorders>
              <w:tl2br w:val="nil"/>
              <w:tr2bl w:val="nil"/>
            </w:tcBorders>
            <w:vAlign w:val="center"/>
          </w:tcPr>
          <w:p w14:paraId="668A947D">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52</w:t>
            </w:r>
          </w:p>
        </w:tc>
        <w:tc>
          <w:tcPr>
            <w:tcW w:w="930" w:type="dxa"/>
            <w:tcBorders>
              <w:tl2br w:val="nil"/>
              <w:tr2bl w:val="nil"/>
            </w:tcBorders>
            <w:vAlign w:val="center"/>
          </w:tcPr>
          <w:p w14:paraId="6CDF20F5">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46</w:t>
            </w:r>
          </w:p>
        </w:tc>
        <w:tc>
          <w:tcPr>
            <w:tcW w:w="930" w:type="dxa"/>
            <w:tcBorders>
              <w:tl2br w:val="nil"/>
              <w:tr2bl w:val="nil"/>
            </w:tcBorders>
            <w:vAlign w:val="center"/>
          </w:tcPr>
          <w:p w14:paraId="726A4B96">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40</w:t>
            </w:r>
          </w:p>
        </w:tc>
      </w:tr>
      <w:tr w14:paraId="278AC0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2101" w:type="dxa"/>
            <w:tcBorders>
              <w:tl2br w:val="nil"/>
              <w:tr2bl w:val="nil"/>
            </w:tcBorders>
            <w:vAlign w:val="center"/>
          </w:tcPr>
          <w:p w14:paraId="288A2EAC">
            <w:pPr>
              <w:keepNext w:val="0"/>
              <w:keepLines w:val="0"/>
              <w:pageBreakBefore w:val="0"/>
              <w:widowControl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t>混凝土搅拌车</w:t>
            </w:r>
          </w:p>
        </w:tc>
        <w:tc>
          <w:tcPr>
            <w:tcW w:w="912" w:type="dxa"/>
            <w:tcBorders>
              <w:tl2br w:val="nil"/>
              <w:tr2bl w:val="nil"/>
            </w:tcBorders>
            <w:vAlign w:val="center"/>
          </w:tcPr>
          <w:p w14:paraId="63C2326A">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1</w:t>
            </w:r>
          </w:p>
        </w:tc>
        <w:tc>
          <w:tcPr>
            <w:tcW w:w="1086" w:type="dxa"/>
            <w:tcBorders>
              <w:tl2br w:val="nil"/>
              <w:tr2bl w:val="nil"/>
            </w:tcBorders>
            <w:vAlign w:val="center"/>
          </w:tcPr>
          <w:p w14:paraId="3DBD439E">
            <w:pPr>
              <w:keepNext w:val="0"/>
              <w:keepLines w:val="0"/>
              <w:pageBreakBefore w:val="0"/>
              <w:widowControl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t>90</w:t>
            </w:r>
          </w:p>
        </w:tc>
        <w:tc>
          <w:tcPr>
            <w:tcW w:w="679" w:type="dxa"/>
            <w:tcBorders>
              <w:tl2br w:val="nil"/>
              <w:tr2bl w:val="nil"/>
            </w:tcBorders>
            <w:vAlign w:val="center"/>
          </w:tcPr>
          <w:p w14:paraId="5AC68366">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70</w:t>
            </w:r>
          </w:p>
        </w:tc>
        <w:tc>
          <w:tcPr>
            <w:tcW w:w="853" w:type="dxa"/>
            <w:tcBorders>
              <w:tl2br w:val="nil"/>
              <w:tr2bl w:val="nil"/>
            </w:tcBorders>
            <w:vAlign w:val="center"/>
          </w:tcPr>
          <w:p w14:paraId="2A556085">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64</w:t>
            </w:r>
          </w:p>
        </w:tc>
        <w:tc>
          <w:tcPr>
            <w:tcW w:w="785" w:type="dxa"/>
            <w:tcBorders>
              <w:tl2br w:val="nil"/>
              <w:tr2bl w:val="nil"/>
            </w:tcBorders>
            <w:vAlign w:val="center"/>
          </w:tcPr>
          <w:p w14:paraId="6BF74305">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58</w:t>
            </w:r>
          </w:p>
        </w:tc>
        <w:tc>
          <w:tcPr>
            <w:tcW w:w="892" w:type="dxa"/>
            <w:tcBorders>
              <w:tl2br w:val="nil"/>
              <w:tr2bl w:val="nil"/>
            </w:tcBorders>
            <w:vAlign w:val="center"/>
          </w:tcPr>
          <w:p w14:paraId="030EF0BF">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52</w:t>
            </w:r>
          </w:p>
        </w:tc>
        <w:tc>
          <w:tcPr>
            <w:tcW w:w="930" w:type="dxa"/>
            <w:tcBorders>
              <w:tl2br w:val="nil"/>
              <w:tr2bl w:val="nil"/>
            </w:tcBorders>
            <w:vAlign w:val="center"/>
          </w:tcPr>
          <w:p w14:paraId="41348CE3">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46</w:t>
            </w:r>
          </w:p>
        </w:tc>
        <w:tc>
          <w:tcPr>
            <w:tcW w:w="930" w:type="dxa"/>
            <w:tcBorders>
              <w:tl2br w:val="nil"/>
              <w:tr2bl w:val="nil"/>
            </w:tcBorders>
            <w:vAlign w:val="center"/>
          </w:tcPr>
          <w:p w14:paraId="792FACE0">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40</w:t>
            </w:r>
          </w:p>
        </w:tc>
      </w:tr>
      <w:tr w14:paraId="7A9135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2101" w:type="dxa"/>
            <w:tcBorders>
              <w:tl2br w:val="nil"/>
              <w:tr2bl w:val="nil"/>
            </w:tcBorders>
            <w:vAlign w:val="center"/>
          </w:tcPr>
          <w:p w14:paraId="1D4DA04B">
            <w:pPr>
              <w:keepNext w:val="0"/>
              <w:keepLines w:val="0"/>
              <w:pageBreakBefore w:val="0"/>
              <w:widowControl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t>切割机</w:t>
            </w:r>
          </w:p>
        </w:tc>
        <w:tc>
          <w:tcPr>
            <w:tcW w:w="912" w:type="dxa"/>
            <w:tcBorders>
              <w:tl2br w:val="nil"/>
              <w:tr2bl w:val="nil"/>
            </w:tcBorders>
            <w:vAlign w:val="center"/>
          </w:tcPr>
          <w:p w14:paraId="0E87BFDE">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1</w:t>
            </w:r>
          </w:p>
        </w:tc>
        <w:tc>
          <w:tcPr>
            <w:tcW w:w="1086" w:type="dxa"/>
            <w:tcBorders>
              <w:tl2br w:val="nil"/>
              <w:tr2bl w:val="nil"/>
            </w:tcBorders>
            <w:vAlign w:val="center"/>
          </w:tcPr>
          <w:p w14:paraId="630E480A">
            <w:pPr>
              <w:keepNext w:val="0"/>
              <w:keepLines w:val="0"/>
              <w:pageBreakBefore w:val="0"/>
              <w:widowControl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t>90</w:t>
            </w:r>
          </w:p>
        </w:tc>
        <w:tc>
          <w:tcPr>
            <w:tcW w:w="679" w:type="dxa"/>
            <w:tcBorders>
              <w:tl2br w:val="nil"/>
              <w:tr2bl w:val="nil"/>
            </w:tcBorders>
            <w:vAlign w:val="center"/>
          </w:tcPr>
          <w:p w14:paraId="40AFB7B1">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70</w:t>
            </w:r>
          </w:p>
        </w:tc>
        <w:tc>
          <w:tcPr>
            <w:tcW w:w="853" w:type="dxa"/>
            <w:tcBorders>
              <w:tl2br w:val="nil"/>
              <w:tr2bl w:val="nil"/>
            </w:tcBorders>
            <w:vAlign w:val="center"/>
          </w:tcPr>
          <w:p w14:paraId="1BBAE325">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64</w:t>
            </w:r>
          </w:p>
        </w:tc>
        <w:tc>
          <w:tcPr>
            <w:tcW w:w="785" w:type="dxa"/>
            <w:tcBorders>
              <w:tl2br w:val="nil"/>
              <w:tr2bl w:val="nil"/>
            </w:tcBorders>
            <w:vAlign w:val="center"/>
          </w:tcPr>
          <w:p w14:paraId="78EC1663">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58</w:t>
            </w:r>
          </w:p>
        </w:tc>
        <w:tc>
          <w:tcPr>
            <w:tcW w:w="892" w:type="dxa"/>
            <w:tcBorders>
              <w:tl2br w:val="nil"/>
              <w:tr2bl w:val="nil"/>
            </w:tcBorders>
            <w:vAlign w:val="center"/>
          </w:tcPr>
          <w:p w14:paraId="5A991DCB">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52</w:t>
            </w:r>
          </w:p>
        </w:tc>
        <w:tc>
          <w:tcPr>
            <w:tcW w:w="930" w:type="dxa"/>
            <w:tcBorders>
              <w:tl2br w:val="nil"/>
              <w:tr2bl w:val="nil"/>
            </w:tcBorders>
            <w:vAlign w:val="center"/>
          </w:tcPr>
          <w:p w14:paraId="47DAC172">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46</w:t>
            </w:r>
          </w:p>
        </w:tc>
        <w:tc>
          <w:tcPr>
            <w:tcW w:w="930" w:type="dxa"/>
            <w:tcBorders>
              <w:tl2br w:val="nil"/>
              <w:tr2bl w:val="nil"/>
            </w:tcBorders>
            <w:vAlign w:val="center"/>
          </w:tcPr>
          <w:p w14:paraId="064656A5">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40</w:t>
            </w:r>
          </w:p>
        </w:tc>
      </w:tr>
      <w:tr w14:paraId="6E9D61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2101" w:type="dxa"/>
            <w:tcBorders>
              <w:tl2br w:val="nil"/>
              <w:tr2bl w:val="nil"/>
            </w:tcBorders>
            <w:vAlign w:val="center"/>
          </w:tcPr>
          <w:p w14:paraId="216C73FA">
            <w:pPr>
              <w:keepNext w:val="0"/>
              <w:keepLines w:val="0"/>
              <w:pageBreakBefore w:val="0"/>
              <w:widowControl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t>卷扬机</w:t>
            </w:r>
          </w:p>
        </w:tc>
        <w:tc>
          <w:tcPr>
            <w:tcW w:w="912" w:type="dxa"/>
            <w:tcBorders>
              <w:tl2br w:val="nil"/>
              <w:tr2bl w:val="nil"/>
            </w:tcBorders>
            <w:vAlign w:val="center"/>
          </w:tcPr>
          <w:p w14:paraId="2B63F999">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1</w:t>
            </w:r>
          </w:p>
        </w:tc>
        <w:tc>
          <w:tcPr>
            <w:tcW w:w="1086" w:type="dxa"/>
            <w:tcBorders>
              <w:tl2br w:val="nil"/>
              <w:tr2bl w:val="nil"/>
            </w:tcBorders>
            <w:vAlign w:val="center"/>
          </w:tcPr>
          <w:p w14:paraId="7142BFC5">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85</w:t>
            </w:r>
          </w:p>
        </w:tc>
        <w:tc>
          <w:tcPr>
            <w:tcW w:w="679" w:type="dxa"/>
            <w:tcBorders>
              <w:tl2br w:val="nil"/>
              <w:tr2bl w:val="nil"/>
            </w:tcBorders>
            <w:vAlign w:val="center"/>
          </w:tcPr>
          <w:p w14:paraId="27671D1C">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65</w:t>
            </w:r>
          </w:p>
        </w:tc>
        <w:tc>
          <w:tcPr>
            <w:tcW w:w="853" w:type="dxa"/>
            <w:tcBorders>
              <w:tl2br w:val="nil"/>
              <w:tr2bl w:val="nil"/>
            </w:tcBorders>
            <w:vAlign w:val="center"/>
          </w:tcPr>
          <w:p w14:paraId="2A1089F8">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59</w:t>
            </w:r>
          </w:p>
        </w:tc>
        <w:tc>
          <w:tcPr>
            <w:tcW w:w="785" w:type="dxa"/>
            <w:tcBorders>
              <w:tl2br w:val="nil"/>
              <w:tr2bl w:val="nil"/>
            </w:tcBorders>
            <w:vAlign w:val="center"/>
          </w:tcPr>
          <w:p w14:paraId="0180F56B">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53</w:t>
            </w:r>
          </w:p>
        </w:tc>
        <w:tc>
          <w:tcPr>
            <w:tcW w:w="892" w:type="dxa"/>
            <w:tcBorders>
              <w:tl2br w:val="nil"/>
              <w:tr2bl w:val="nil"/>
            </w:tcBorders>
            <w:vAlign w:val="center"/>
          </w:tcPr>
          <w:p w14:paraId="6BB1A36C">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47</w:t>
            </w:r>
          </w:p>
        </w:tc>
        <w:tc>
          <w:tcPr>
            <w:tcW w:w="930" w:type="dxa"/>
            <w:tcBorders>
              <w:tl2br w:val="nil"/>
              <w:tr2bl w:val="nil"/>
            </w:tcBorders>
            <w:vAlign w:val="center"/>
          </w:tcPr>
          <w:p w14:paraId="33EE213B">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41</w:t>
            </w:r>
          </w:p>
        </w:tc>
        <w:tc>
          <w:tcPr>
            <w:tcW w:w="930" w:type="dxa"/>
            <w:tcBorders>
              <w:tl2br w:val="nil"/>
              <w:tr2bl w:val="nil"/>
            </w:tcBorders>
            <w:vAlign w:val="center"/>
          </w:tcPr>
          <w:p w14:paraId="0CEF729C">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35</w:t>
            </w:r>
          </w:p>
        </w:tc>
      </w:tr>
      <w:tr w14:paraId="2D1B42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2101" w:type="dxa"/>
            <w:tcBorders>
              <w:tl2br w:val="nil"/>
              <w:tr2bl w:val="nil"/>
            </w:tcBorders>
            <w:vAlign w:val="center"/>
          </w:tcPr>
          <w:p w14:paraId="29295DAC">
            <w:pPr>
              <w:keepNext w:val="0"/>
              <w:keepLines w:val="0"/>
              <w:pageBreakBefore w:val="0"/>
              <w:widowControl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t>电锯</w:t>
            </w:r>
          </w:p>
        </w:tc>
        <w:tc>
          <w:tcPr>
            <w:tcW w:w="912" w:type="dxa"/>
            <w:tcBorders>
              <w:tl2br w:val="nil"/>
              <w:tr2bl w:val="nil"/>
            </w:tcBorders>
            <w:vAlign w:val="center"/>
          </w:tcPr>
          <w:p w14:paraId="3B8ED636">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1</w:t>
            </w:r>
          </w:p>
        </w:tc>
        <w:tc>
          <w:tcPr>
            <w:tcW w:w="1086" w:type="dxa"/>
            <w:tcBorders>
              <w:tl2br w:val="nil"/>
              <w:tr2bl w:val="nil"/>
            </w:tcBorders>
            <w:vAlign w:val="center"/>
          </w:tcPr>
          <w:p w14:paraId="7C9A97E7">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105</w:t>
            </w:r>
          </w:p>
        </w:tc>
        <w:tc>
          <w:tcPr>
            <w:tcW w:w="679" w:type="dxa"/>
            <w:tcBorders>
              <w:tl2br w:val="nil"/>
              <w:tr2bl w:val="nil"/>
            </w:tcBorders>
            <w:vAlign w:val="center"/>
          </w:tcPr>
          <w:p w14:paraId="5EA38A0F">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85</w:t>
            </w:r>
          </w:p>
        </w:tc>
        <w:tc>
          <w:tcPr>
            <w:tcW w:w="853" w:type="dxa"/>
            <w:tcBorders>
              <w:tl2br w:val="nil"/>
              <w:tr2bl w:val="nil"/>
            </w:tcBorders>
            <w:vAlign w:val="center"/>
          </w:tcPr>
          <w:p w14:paraId="57C6B2F6">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79</w:t>
            </w:r>
          </w:p>
        </w:tc>
        <w:tc>
          <w:tcPr>
            <w:tcW w:w="785" w:type="dxa"/>
            <w:tcBorders>
              <w:tl2br w:val="nil"/>
              <w:tr2bl w:val="nil"/>
            </w:tcBorders>
            <w:vAlign w:val="center"/>
          </w:tcPr>
          <w:p w14:paraId="2B8AC225">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73</w:t>
            </w:r>
          </w:p>
        </w:tc>
        <w:tc>
          <w:tcPr>
            <w:tcW w:w="892" w:type="dxa"/>
            <w:tcBorders>
              <w:tl2br w:val="nil"/>
              <w:tr2bl w:val="nil"/>
            </w:tcBorders>
            <w:vAlign w:val="center"/>
          </w:tcPr>
          <w:p w14:paraId="1677BF5E">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67</w:t>
            </w:r>
          </w:p>
        </w:tc>
        <w:tc>
          <w:tcPr>
            <w:tcW w:w="930" w:type="dxa"/>
            <w:tcBorders>
              <w:tl2br w:val="nil"/>
              <w:tr2bl w:val="nil"/>
            </w:tcBorders>
            <w:vAlign w:val="center"/>
          </w:tcPr>
          <w:p w14:paraId="16F3A752">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61</w:t>
            </w:r>
          </w:p>
        </w:tc>
        <w:tc>
          <w:tcPr>
            <w:tcW w:w="930" w:type="dxa"/>
            <w:tcBorders>
              <w:tl2br w:val="nil"/>
              <w:tr2bl w:val="nil"/>
            </w:tcBorders>
            <w:vAlign w:val="center"/>
          </w:tcPr>
          <w:p w14:paraId="342C3DFC">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55</w:t>
            </w:r>
          </w:p>
        </w:tc>
      </w:tr>
      <w:tr w14:paraId="019876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2101" w:type="dxa"/>
            <w:tcBorders>
              <w:tl2br w:val="nil"/>
              <w:tr2bl w:val="nil"/>
            </w:tcBorders>
            <w:vAlign w:val="center"/>
          </w:tcPr>
          <w:p w14:paraId="118BC1BE">
            <w:pPr>
              <w:keepNext w:val="0"/>
              <w:keepLines w:val="0"/>
              <w:pageBreakBefore w:val="0"/>
              <w:widowControl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t>履带吊</w:t>
            </w:r>
          </w:p>
        </w:tc>
        <w:tc>
          <w:tcPr>
            <w:tcW w:w="912" w:type="dxa"/>
            <w:tcBorders>
              <w:tl2br w:val="nil"/>
              <w:tr2bl w:val="nil"/>
            </w:tcBorders>
            <w:vAlign w:val="center"/>
          </w:tcPr>
          <w:p w14:paraId="34C6C437">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1</w:t>
            </w:r>
          </w:p>
        </w:tc>
        <w:tc>
          <w:tcPr>
            <w:tcW w:w="1086" w:type="dxa"/>
            <w:tcBorders>
              <w:tl2br w:val="nil"/>
              <w:tr2bl w:val="nil"/>
            </w:tcBorders>
            <w:vAlign w:val="center"/>
          </w:tcPr>
          <w:p w14:paraId="7BD62D1C">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105</w:t>
            </w:r>
          </w:p>
        </w:tc>
        <w:tc>
          <w:tcPr>
            <w:tcW w:w="679" w:type="dxa"/>
            <w:tcBorders>
              <w:tl2br w:val="nil"/>
              <w:tr2bl w:val="nil"/>
            </w:tcBorders>
            <w:vAlign w:val="center"/>
          </w:tcPr>
          <w:p w14:paraId="62F3CF9C">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85</w:t>
            </w:r>
          </w:p>
        </w:tc>
        <w:tc>
          <w:tcPr>
            <w:tcW w:w="853" w:type="dxa"/>
            <w:tcBorders>
              <w:tl2br w:val="nil"/>
              <w:tr2bl w:val="nil"/>
            </w:tcBorders>
            <w:vAlign w:val="center"/>
          </w:tcPr>
          <w:p w14:paraId="79778C18">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79</w:t>
            </w:r>
          </w:p>
        </w:tc>
        <w:tc>
          <w:tcPr>
            <w:tcW w:w="785" w:type="dxa"/>
            <w:tcBorders>
              <w:tl2br w:val="nil"/>
              <w:tr2bl w:val="nil"/>
            </w:tcBorders>
            <w:vAlign w:val="center"/>
          </w:tcPr>
          <w:p w14:paraId="1BB137F1">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73</w:t>
            </w:r>
          </w:p>
        </w:tc>
        <w:tc>
          <w:tcPr>
            <w:tcW w:w="892" w:type="dxa"/>
            <w:tcBorders>
              <w:tl2br w:val="nil"/>
              <w:tr2bl w:val="nil"/>
            </w:tcBorders>
            <w:vAlign w:val="center"/>
          </w:tcPr>
          <w:p w14:paraId="6559D9A1">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67</w:t>
            </w:r>
          </w:p>
        </w:tc>
        <w:tc>
          <w:tcPr>
            <w:tcW w:w="930" w:type="dxa"/>
            <w:tcBorders>
              <w:tl2br w:val="nil"/>
              <w:tr2bl w:val="nil"/>
            </w:tcBorders>
            <w:vAlign w:val="center"/>
          </w:tcPr>
          <w:p w14:paraId="647FFBA7">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61</w:t>
            </w:r>
          </w:p>
        </w:tc>
        <w:tc>
          <w:tcPr>
            <w:tcW w:w="930" w:type="dxa"/>
            <w:tcBorders>
              <w:tl2br w:val="nil"/>
              <w:tr2bl w:val="nil"/>
            </w:tcBorders>
            <w:vAlign w:val="center"/>
          </w:tcPr>
          <w:p w14:paraId="4C90408D">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55</w:t>
            </w:r>
          </w:p>
        </w:tc>
      </w:tr>
    </w:tbl>
    <w:p w14:paraId="053E3B5A">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施工期噪声评价标准采用《建筑施工场界环境噪声排放标准》(GB12523-2011)，具体标准限值，见下表5.1-5。</w:t>
      </w:r>
    </w:p>
    <w:p w14:paraId="093592DE">
      <w:pPr>
        <w:keepNext w:val="0"/>
        <w:keepLines w:val="0"/>
        <w:pageBreakBefore w:val="0"/>
        <w:widowControl w:val="0"/>
        <w:kinsoku/>
        <w:wordWrap/>
        <w:overflowPunct/>
        <w:topLinePunct w:val="0"/>
        <w:autoSpaceDE/>
        <w:autoSpaceDN/>
        <w:bidi w:val="0"/>
        <w:adjustRightInd w:val="0"/>
        <w:snapToGrid w:val="0"/>
        <w:spacing w:line="240" w:lineRule="auto"/>
        <w:ind w:left="480" w:firstLine="482" w:firstLineChars="200"/>
        <w:textAlignment w:val="auto"/>
        <w:rPr>
          <w:rFonts w:hint="default" w:ascii="Times New Roman" w:hAnsi="Times New Roman" w:cs="Times New Roman" w:eastAsiaTheme="minorEastAsia"/>
          <w:b/>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b/>
          <w:color w:val="000000" w:themeColor="text1"/>
          <w:sz w:val="24"/>
          <w:highlight w:val="none"/>
          <w:lang w:val="en-US" w:eastAsia="zh-CN"/>
          <w14:textFill>
            <w14:solidFill>
              <w14:schemeClr w14:val="tx1"/>
            </w14:solidFill>
          </w14:textFill>
        </w:rPr>
        <w:t>表5.1-5    建筑施工场界环境噪声排放标准(GB12523-2011)   单位：dB(A)</w:t>
      </w:r>
    </w:p>
    <w:tbl>
      <w:tblPr>
        <w:tblStyle w:val="75"/>
        <w:tblW w:w="917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Layout w:type="fixed"/>
        <w:tblCellMar>
          <w:top w:w="0" w:type="dxa"/>
          <w:left w:w="108" w:type="dxa"/>
          <w:bottom w:w="0" w:type="dxa"/>
          <w:right w:w="108" w:type="dxa"/>
        </w:tblCellMar>
      </w:tblPr>
      <w:tblGrid>
        <w:gridCol w:w="4585"/>
        <w:gridCol w:w="4587"/>
      </w:tblGrid>
      <w:tr w14:paraId="7AA005B0">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207" w:hRule="atLeast"/>
        </w:trPr>
        <w:tc>
          <w:tcPr>
            <w:tcW w:w="4585" w:type="dxa"/>
            <w:tcBorders>
              <w:tl2br w:val="nil"/>
              <w:tr2bl w:val="nil"/>
            </w:tcBorders>
            <w:vAlign w:val="top"/>
          </w:tcPr>
          <w:p w14:paraId="366821D9">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val="0"/>
                <w:bCs w:val="0"/>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highlight w:val="none"/>
                <w:lang w:bidi="ar-SA"/>
                <w14:textFill>
                  <w14:solidFill>
                    <w14:schemeClr w14:val="tx1"/>
                  </w14:solidFill>
                </w14:textFill>
              </w:rPr>
              <w:t>昼间</w:t>
            </w:r>
          </w:p>
        </w:tc>
        <w:tc>
          <w:tcPr>
            <w:tcW w:w="4587" w:type="dxa"/>
            <w:tcBorders>
              <w:tl2br w:val="nil"/>
              <w:tr2bl w:val="nil"/>
            </w:tcBorders>
            <w:vAlign w:val="top"/>
          </w:tcPr>
          <w:p w14:paraId="3450215C">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val="0"/>
                <w:bCs w:val="0"/>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highlight w:val="none"/>
                <w:lang w:bidi="ar-SA"/>
                <w14:textFill>
                  <w14:solidFill>
                    <w14:schemeClr w14:val="tx1"/>
                  </w14:solidFill>
                </w14:textFill>
              </w:rPr>
              <w:t>夜间</w:t>
            </w:r>
          </w:p>
        </w:tc>
      </w:tr>
      <w:tr w14:paraId="75BE2A40">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127" w:hRule="atLeast"/>
        </w:trPr>
        <w:tc>
          <w:tcPr>
            <w:tcW w:w="4585" w:type="dxa"/>
            <w:tcBorders>
              <w:tl2br w:val="nil"/>
              <w:tr2bl w:val="nil"/>
            </w:tcBorders>
            <w:vAlign w:val="top"/>
          </w:tcPr>
          <w:p w14:paraId="1970FB85">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70</w:t>
            </w:r>
          </w:p>
        </w:tc>
        <w:tc>
          <w:tcPr>
            <w:tcW w:w="4587" w:type="dxa"/>
            <w:tcBorders>
              <w:tl2br w:val="nil"/>
              <w:tr2bl w:val="nil"/>
            </w:tcBorders>
            <w:vAlign w:val="top"/>
          </w:tcPr>
          <w:p w14:paraId="1B3F8412">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55</w:t>
            </w:r>
          </w:p>
        </w:tc>
      </w:tr>
    </w:tbl>
    <w:p w14:paraId="4C3701A8">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上述主要典型施工设备达标距离见表5.1-6。</w:t>
      </w:r>
    </w:p>
    <w:p w14:paraId="41BFB636">
      <w:pPr>
        <w:keepNext w:val="0"/>
        <w:keepLines w:val="0"/>
        <w:pageBreakBefore w:val="0"/>
        <w:widowControl w:val="0"/>
        <w:kinsoku/>
        <w:wordWrap/>
        <w:overflowPunct/>
        <w:topLinePunct w:val="0"/>
        <w:autoSpaceDE/>
        <w:autoSpaceDN/>
        <w:bidi w:val="0"/>
        <w:adjustRightInd/>
        <w:snapToGrid w:val="0"/>
        <w:spacing w:line="240" w:lineRule="auto"/>
        <w:ind w:firstLine="482" w:firstLineChars="200"/>
        <w:jc w:val="both"/>
        <w:textAlignment w:val="auto"/>
        <w:rPr>
          <w:rFonts w:hint="default" w:ascii="Times New Roman" w:hAnsi="Times New Roman" w:cs="Times New Roman" w:eastAsiaTheme="minorEastAsia"/>
          <w:b/>
          <w:bCs/>
          <w:color w:val="000000" w:themeColor="text1"/>
          <w:kern w:val="2"/>
          <w:sz w:val="24"/>
          <w:szCs w:val="24"/>
          <w:highlight w:val="none"/>
          <w:lang w:bidi="ar-SA"/>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highlight w:val="none"/>
          <w:lang w:bidi="ar-SA"/>
          <w14:textFill>
            <w14:solidFill>
              <w14:schemeClr w14:val="tx1"/>
            </w14:solidFill>
          </w14:textFill>
        </w:rPr>
        <w:t>表</w:t>
      </w:r>
      <w:r>
        <w:rPr>
          <w:rFonts w:hint="default" w:ascii="Times New Roman" w:hAnsi="Times New Roman" w:cs="Times New Roman" w:eastAsiaTheme="minorEastAsia"/>
          <w:b/>
          <w:bCs/>
          <w:color w:val="000000" w:themeColor="text1"/>
          <w:kern w:val="2"/>
          <w:sz w:val="24"/>
          <w:szCs w:val="24"/>
          <w:highlight w:val="none"/>
          <w:lang w:val="en-US" w:eastAsia="zh-CN" w:bidi="ar-SA"/>
          <w14:textFill>
            <w14:solidFill>
              <w14:schemeClr w14:val="tx1"/>
            </w14:solidFill>
          </w14:textFill>
        </w:rPr>
        <w:t>5.1-6</w:t>
      </w:r>
      <w:r>
        <w:rPr>
          <w:rFonts w:hint="default" w:ascii="Times New Roman" w:hAnsi="Times New Roman" w:cs="Times New Roman" w:eastAsiaTheme="minorEastAsia"/>
          <w:b/>
          <w:bCs/>
          <w:color w:val="000000" w:themeColor="text1"/>
          <w:kern w:val="2"/>
          <w:sz w:val="24"/>
          <w:szCs w:val="24"/>
          <w:highlight w:val="none"/>
          <w:lang w:bidi="ar-SA"/>
          <w14:textFill>
            <w14:solidFill>
              <w14:schemeClr w14:val="tx1"/>
            </w14:solidFill>
          </w14:textFill>
        </w:rPr>
        <w:t xml:space="preserve">   </w:t>
      </w:r>
      <w:r>
        <w:rPr>
          <w:rFonts w:hint="default" w:ascii="Times New Roman" w:hAnsi="Times New Roman" w:cs="Times New Roman" w:eastAsiaTheme="minorEastAsia"/>
          <w:b/>
          <w:bCs/>
          <w:color w:val="000000" w:themeColor="text1"/>
          <w:kern w:val="2"/>
          <w:sz w:val="24"/>
          <w:szCs w:val="24"/>
          <w:highlight w:val="none"/>
          <w:lang w:val="en-US" w:eastAsia="zh-CN" w:bidi="ar-SA"/>
          <w14:textFill>
            <w14:solidFill>
              <w14:schemeClr w14:val="tx1"/>
            </w14:solidFill>
          </w14:textFill>
        </w:rPr>
        <w:t xml:space="preserve">        </w:t>
      </w:r>
      <w:r>
        <w:rPr>
          <w:rFonts w:hint="default" w:ascii="Times New Roman" w:hAnsi="Times New Roman" w:cs="Times New Roman" w:eastAsiaTheme="minorEastAsia"/>
          <w:b/>
          <w:bCs/>
          <w:color w:val="000000" w:themeColor="text1"/>
          <w:kern w:val="2"/>
          <w:sz w:val="24"/>
          <w:szCs w:val="24"/>
          <w:highlight w:val="none"/>
          <w:lang w:bidi="ar-SA"/>
          <w14:textFill>
            <w14:solidFill>
              <w14:schemeClr w14:val="tx1"/>
            </w14:solidFill>
          </w14:textFill>
        </w:rPr>
        <w:t xml:space="preserve"> 典型设备达标距离一览表              单位：m</w:t>
      </w:r>
    </w:p>
    <w:tbl>
      <w:tblPr>
        <w:tblStyle w:val="75"/>
        <w:tblW w:w="917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63"/>
        <w:gridCol w:w="3433"/>
        <w:gridCol w:w="2112"/>
        <w:gridCol w:w="2262"/>
      </w:tblGrid>
      <w:tr w14:paraId="1A8F4A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63" w:type="dxa"/>
            <w:tcBorders>
              <w:tl2br w:val="nil"/>
              <w:tr2bl w:val="nil"/>
            </w:tcBorders>
            <w:vAlign w:val="center"/>
          </w:tcPr>
          <w:p w14:paraId="0DFB8728">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val="0"/>
                <w:bCs w:val="0"/>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highlight w:val="none"/>
                <w:lang w:bidi="ar-SA"/>
                <w14:textFill>
                  <w14:solidFill>
                    <w14:schemeClr w14:val="tx1"/>
                  </w14:solidFill>
                </w14:textFill>
              </w:rPr>
              <w:t>设备名称</w:t>
            </w:r>
          </w:p>
        </w:tc>
        <w:tc>
          <w:tcPr>
            <w:tcW w:w="3433" w:type="dxa"/>
            <w:tcBorders>
              <w:tl2br w:val="nil"/>
              <w:tr2bl w:val="nil"/>
            </w:tcBorders>
            <w:vAlign w:val="center"/>
          </w:tcPr>
          <w:p w14:paraId="4523D6C8">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val="0"/>
                <w:bCs w:val="0"/>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highlight w:val="none"/>
                <w:lang w:bidi="ar-SA"/>
                <w14:textFill>
                  <w14:solidFill>
                    <w14:schemeClr w14:val="tx1"/>
                  </w14:solidFill>
                </w14:textFill>
              </w:rPr>
              <w:t>设备状况</w:t>
            </w:r>
          </w:p>
        </w:tc>
        <w:tc>
          <w:tcPr>
            <w:tcW w:w="2112" w:type="dxa"/>
            <w:tcBorders>
              <w:tl2br w:val="nil"/>
              <w:tr2bl w:val="nil"/>
            </w:tcBorders>
            <w:vAlign w:val="center"/>
          </w:tcPr>
          <w:p w14:paraId="4B44BF41">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val="0"/>
                <w:bCs w:val="0"/>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highlight w:val="none"/>
                <w:lang w:bidi="ar-SA"/>
                <w14:textFill>
                  <w14:solidFill>
                    <w14:schemeClr w14:val="tx1"/>
                  </w14:solidFill>
                </w14:textFill>
              </w:rPr>
              <w:t>昼间达标距离</w:t>
            </w:r>
          </w:p>
        </w:tc>
        <w:tc>
          <w:tcPr>
            <w:tcW w:w="2262" w:type="dxa"/>
            <w:tcBorders>
              <w:tl2br w:val="nil"/>
              <w:tr2bl w:val="nil"/>
            </w:tcBorders>
            <w:vAlign w:val="center"/>
          </w:tcPr>
          <w:p w14:paraId="5A029674">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val="0"/>
                <w:bCs w:val="0"/>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highlight w:val="none"/>
                <w:lang w:bidi="ar-SA"/>
                <w14:textFill>
                  <w14:solidFill>
                    <w14:schemeClr w14:val="tx1"/>
                  </w14:solidFill>
                </w14:textFill>
              </w:rPr>
              <w:t>夜间达标距离</w:t>
            </w:r>
          </w:p>
        </w:tc>
      </w:tr>
      <w:tr w14:paraId="2AC8F2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63" w:type="dxa"/>
            <w:tcBorders>
              <w:tl2br w:val="nil"/>
              <w:tr2bl w:val="nil"/>
            </w:tcBorders>
            <w:vAlign w:val="center"/>
          </w:tcPr>
          <w:p w14:paraId="56F9C3C3">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推土机</w:t>
            </w:r>
          </w:p>
        </w:tc>
        <w:tc>
          <w:tcPr>
            <w:tcW w:w="3433" w:type="dxa"/>
            <w:tcBorders>
              <w:tl2br w:val="nil"/>
              <w:tr2bl w:val="nil"/>
            </w:tcBorders>
            <w:vAlign w:val="center"/>
          </w:tcPr>
          <w:p w14:paraId="3C559628">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噪声源强最大施工设备</w:t>
            </w:r>
          </w:p>
        </w:tc>
        <w:tc>
          <w:tcPr>
            <w:tcW w:w="2112" w:type="dxa"/>
            <w:tcBorders>
              <w:tl2br w:val="nil"/>
              <w:tr2bl w:val="nil"/>
            </w:tcBorders>
            <w:vAlign w:val="center"/>
          </w:tcPr>
          <w:p w14:paraId="0BE4F2E1">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80</w:t>
            </w:r>
          </w:p>
        </w:tc>
        <w:tc>
          <w:tcPr>
            <w:tcW w:w="2262" w:type="dxa"/>
            <w:tcBorders>
              <w:tl2br w:val="nil"/>
              <w:tr2bl w:val="nil"/>
            </w:tcBorders>
            <w:vAlign w:val="center"/>
          </w:tcPr>
          <w:p w14:paraId="6FE65A26">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320</w:t>
            </w:r>
          </w:p>
        </w:tc>
      </w:tr>
      <w:tr w14:paraId="7296E5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63" w:type="dxa"/>
            <w:tcBorders>
              <w:tl2br w:val="nil"/>
              <w:tr2bl w:val="nil"/>
            </w:tcBorders>
            <w:vAlign w:val="center"/>
          </w:tcPr>
          <w:p w14:paraId="55CF8822">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装载机</w:t>
            </w:r>
          </w:p>
        </w:tc>
        <w:tc>
          <w:tcPr>
            <w:tcW w:w="3433" w:type="dxa"/>
            <w:tcBorders>
              <w:tl2br w:val="nil"/>
              <w:tr2bl w:val="nil"/>
            </w:tcBorders>
            <w:vAlign w:val="center"/>
          </w:tcPr>
          <w:p w14:paraId="1EF1D4CF">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噪声源强较大典型施工设备</w:t>
            </w:r>
          </w:p>
        </w:tc>
        <w:tc>
          <w:tcPr>
            <w:tcW w:w="2112" w:type="dxa"/>
            <w:tcBorders>
              <w:tl2br w:val="nil"/>
              <w:tr2bl w:val="nil"/>
            </w:tcBorders>
            <w:vAlign w:val="center"/>
          </w:tcPr>
          <w:p w14:paraId="2FC8F354">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10</w:t>
            </w:r>
          </w:p>
        </w:tc>
        <w:tc>
          <w:tcPr>
            <w:tcW w:w="2262" w:type="dxa"/>
            <w:tcBorders>
              <w:tl2br w:val="nil"/>
              <w:tr2bl w:val="nil"/>
            </w:tcBorders>
            <w:vAlign w:val="center"/>
          </w:tcPr>
          <w:p w14:paraId="38E96E08">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80</w:t>
            </w:r>
          </w:p>
        </w:tc>
      </w:tr>
      <w:tr w14:paraId="49D112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63" w:type="dxa"/>
            <w:tcBorders>
              <w:tl2br w:val="nil"/>
              <w:tr2bl w:val="nil"/>
            </w:tcBorders>
            <w:vAlign w:val="center"/>
          </w:tcPr>
          <w:p w14:paraId="680C1D45">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运输车辆</w:t>
            </w:r>
          </w:p>
        </w:tc>
        <w:tc>
          <w:tcPr>
            <w:tcW w:w="3433" w:type="dxa"/>
            <w:tcBorders>
              <w:tl2br w:val="nil"/>
              <w:tr2bl w:val="nil"/>
            </w:tcBorders>
            <w:vAlign w:val="center"/>
          </w:tcPr>
          <w:p w14:paraId="56D9CF41">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噪声源强较小典型施工设备</w:t>
            </w:r>
          </w:p>
        </w:tc>
        <w:tc>
          <w:tcPr>
            <w:tcW w:w="2112" w:type="dxa"/>
            <w:tcBorders>
              <w:tl2br w:val="nil"/>
              <w:tr2bl w:val="nil"/>
            </w:tcBorders>
            <w:vAlign w:val="center"/>
          </w:tcPr>
          <w:p w14:paraId="3E307685">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10</w:t>
            </w:r>
          </w:p>
        </w:tc>
        <w:tc>
          <w:tcPr>
            <w:tcW w:w="2262" w:type="dxa"/>
            <w:tcBorders>
              <w:tl2br w:val="nil"/>
              <w:tr2bl w:val="nil"/>
            </w:tcBorders>
            <w:vAlign w:val="center"/>
          </w:tcPr>
          <w:p w14:paraId="33EB5E8F">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bidi="ar-SA"/>
                <w14:textFill>
                  <w14:solidFill>
                    <w14:schemeClr w14:val="tx1"/>
                  </w14:solidFill>
                </w14:textFill>
              </w:rPr>
              <w:t>40</w:t>
            </w:r>
          </w:p>
        </w:tc>
      </w:tr>
    </w:tbl>
    <w:p w14:paraId="460DCA1D">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p>
    <w:p w14:paraId="52945AFA">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由于以上预测结果是单一施工设备满负荷运作时的噪声预测结果，但在施工现场，存在多种施工设备共同作业，施工噪声影响是多种设备噪声共同造成的结果。本项目具有施工点多、分散的特点，因而一般情况下施工机械分布比较分散，多数情况下只有1～2台施工设备在同一作业点同时使用。</w:t>
      </w:r>
    </w:p>
    <w:p w14:paraId="20E5AD65">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由表5.1-4可知，噪声源强最大的施工设备(推土机)施工噪声值在距声源80m处即可满足《建筑施工场界环境噪声排放标准》(GB12523-2011)的昼间要求，其它设备在距声源80m处即可满足《建筑施工场界环境噪声排放标准》(GB12523-2011)昼间的要求，在320m处即可满足夜间的要求。</w:t>
      </w:r>
    </w:p>
    <w:p w14:paraId="4DD72A9F">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施工机械及车辆在局部地段的施工及工作时间较短，施工产生的噪声只是短时对局部环境造成影响；本项目施工区域周边无常住居民等噪声敏感点，且工程需动用上述施工设备的施工活动基本在白天进行，故施工期噪声对外环境基本无影响。</w:t>
      </w:r>
    </w:p>
    <w:bookmarkEnd w:id="410"/>
    <w:bookmarkEnd w:id="411"/>
    <w:p w14:paraId="52A2EDB6">
      <w:pPr>
        <w:pStyle w:val="11"/>
        <w:keepNext/>
        <w:keepLines/>
        <w:pageBreakBefore w:val="0"/>
        <w:widowControl w:val="0"/>
        <w:kinsoku/>
        <w:wordWrap/>
        <w:overflowPunct/>
        <w:topLinePunct w:val="0"/>
        <w:autoSpaceDE/>
        <w:autoSpaceDN/>
        <w:bidi w:val="0"/>
        <w:adjustRightInd/>
        <w:snapToGrid/>
        <w:ind w:left="0"/>
        <w:textAlignment w:val="auto"/>
        <w:outlineLvl w:val="2"/>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bookmarkStart w:id="423" w:name="_Toc391021371"/>
      <w:bookmarkStart w:id="424" w:name="_Toc19817"/>
      <w:bookmarkStart w:id="425" w:name="_Toc12645"/>
      <w:bookmarkStart w:id="426" w:name="_Toc313005963"/>
      <w:bookmarkStart w:id="427" w:name="_Toc18186"/>
      <w:bookmarkStart w:id="428" w:name="_Toc19776"/>
      <w:bookmarkStart w:id="429" w:name="_Toc21057"/>
      <w:bookmarkStart w:id="430" w:name="_Toc340737578"/>
      <w:bookmarkStart w:id="431" w:name="_Toc391020978"/>
      <w:bookmarkStart w:id="432" w:name="_Toc391021203"/>
      <w:bookmarkStart w:id="433" w:name="_Toc5367"/>
      <w:bookmarkStart w:id="434" w:name="_Toc391021373"/>
      <w:bookmarkStart w:id="435" w:name="_Toc391020980"/>
      <w:bookmarkStart w:id="436" w:name="_Toc32712"/>
      <w:bookmarkStart w:id="437" w:name="_Toc391021205"/>
      <w:bookmarkStart w:id="438" w:name="_Toc12934"/>
      <w:bookmarkStart w:id="439" w:name="_Toc21652"/>
      <w:bookmarkStart w:id="440" w:name="_Toc1512"/>
      <w:bookmarkStart w:id="441" w:name="_Toc23040"/>
      <w:bookmarkStart w:id="442" w:name="_Toc313005960"/>
      <w:bookmarkStart w:id="443" w:name="_Toc391021368"/>
      <w:bookmarkStart w:id="444" w:name="_Toc340737575"/>
      <w:bookmarkStart w:id="445" w:name="_Toc391021200"/>
      <w:bookmarkStart w:id="446" w:name="_Toc391020975"/>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5.1.4 施工期固体废物环境影响分析</w:t>
      </w:r>
      <w:bookmarkEnd w:id="423"/>
      <w:bookmarkEnd w:id="424"/>
      <w:bookmarkEnd w:id="425"/>
      <w:bookmarkEnd w:id="426"/>
      <w:bookmarkEnd w:id="427"/>
      <w:bookmarkEnd w:id="428"/>
      <w:bookmarkEnd w:id="429"/>
      <w:bookmarkEnd w:id="430"/>
      <w:bookmarkEnd w:id="431"/>
      <w:bookmarkEnd w:id="432"/>
      <w:bookmarkEnd w:id="433"/>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 xml:space="preserve"> </w:t>
      </w:r>
    </w:p>
    <w:p w14:paraId="0D9C2B8E">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bookmarkStart w:id="447" w:name="_Toc340737579"/>
      <w:bookmarkStart w:id="448" w:name="_Toc313005964"/>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施工期间将产生固体废物，主要包括施工土石方、生活垃圾、废包装材料、建筑垃圾等。</w:t>
      </w:r>
    </w:p>
    <w:p w14:paraId="2CD7B168">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(1)多余土石方</w:t>
      </w:r>
    </w:p>
    <w:p w14:paraId="624E7CA6">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eastAsia" w:cs="Times New Roman" w:eastAsiaTheme="minorEastAsia"/>
          <w:snapToGrid w:val="0"/>
          <w:color w:val="000000" w:themeColor="text1"/>
          <w:sz w:val="24"/>
          <w:szCs w:val="20"/>
          <w:highlight w:val="none"/>
          <w:lang w:val="en-US" w:eastAsia="zh-CN"/>
          <w14:textFill>
            <w14:solidFill>
              <w14:schemeClr w14:val="tx1"/>
            </w14:solidFill>
          </w14:textFill>
        </w:rPr>
        <w:t>本</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项目开挖土方</w:t>
      </w:r>
      <w:r>
        <w:rPr>
          <w:rFonts w:hint="eastAsia" w:cs="Times New Roman" w:eastAsiaTheme="minorEastAsia"/>
          <w:snapToGrid w:val="0"/>
          <w:color w:val="000000" w:themeColor="text1"/>
          <w:sz w:val="24"/>
          <w:highlight w:val="none"/>
          <w:lang w:val="en-US" w:eastAsia="zh-CN"/>
          <w14:textFill>
            <w14:solidFill>
              <w14:schemeClr w14:val="tx1"/>
            </w14:solidFill>
          </w14:textFill>
        </w:rPr>
        <w:t>21.1322</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万m</w:t>
      </w:r>
      <w:r>
        <w:rPr>
          <w:rFonts w:hint="default" w:ascii="Times New Roman" w:hAnsi="Times New Roman" w:cs="Times New Roman" w:eastAsiaTheme="minorEastAsia"/>
          <w:snapToGrid w:val="0"/>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，回填土方</w:t>
      </w:r>
      <w:r>
        <w:rPr>
          <w:rFonts w:hint="eastAsia" w:cs="Times New Roman" w:eastAsiaTheme="minorEastAsia"/>
          <w:snapToGrid w:val="0"/>
          <w:color w:val="000000" w:themeColor="text1"/>
          <w:sz w:val="24"/>
          <w:highlight w:val="none"/>
          <w:lang w:val="en-US" w:eastAsia="zh-CN"/>
          <w14:textFill>
            <w14:solidFill>
              <w14:schemeClr w14:val="tx1"/>
            </w14:solidFill>
          </w14:textFill>
        </w:rPr>
        <w:t>19.827</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万m</w:t>
      </w:r>
      <w:r>
        <w:rPr>
          <w:rFonts w:hint="default" w:ascii="Times New Roman" w:hAnsi="Times New Roman" w:cs="Times New Roman" w:eastAsiaTheme="minorEastAsia"/>
          <w:snapToGrid w:val="0"/>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w:t>
      </w:r>
      <w:r>
        <w:rPr>
          <w:rFonts w:hint="eastAsia" w:cs="Times New Roman" w:eastAsiaTheme="minorEastAsia"/>
          <w:snapToGrid w:val="0"/>
          <w:color w:val="000000" w:themeColor="text1"/>
          <w:sz w:val="24"/>
          <w:highlight w:val="none"/>
          <w:lang w:val="en-US" w:eastAsia="zh-CN"/>
          <w14:textFill>
            <w14:solidFill>
              <w14:schemeClr w14:val="tx1"/>
            </w14:solidFill>
          </w14:textFill>
        </w:rPr>
        <w:t>区间</w:t>
      </w:r>
      <w:r>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借方3.1437</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万m</w:t>
      </w:r>
      <w:r>
        <w:rPr>
          <w:rFonts w:hint="default" w:ascii="Times New Roman" w:hAnsi="Times New Roman" w:cs="Times New Roman" w:eastAsiaTheme="minorEastAsia"/>
          <w:snapToGrid w:val="0"/>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，借方</w:t>
      </w:r>
      <w:r>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1.3052</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万m</w:t>
      </w:r>
      <w:r>
        <w:rPr>
          <w:rFonts w:hint="default" w:ascii="Times New Roman" w:hAnsi="Times New Roman" w:cs="Times New Roman" w:eastAsiaTheme="minorEastAsia"/>
          <w:snapToGrid w:val="0"/>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w:t>
      </w:r>
      <w:r>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t>来源于外购，不产生弃方。</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施工过程中要求加强对废土石临时堆存的管理，不得随意堆放压占及破坏植被。</w:t>
      </w:r>
    </w:p>
    <w:p w14:paraId="48CCD13E">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(2)生活垃圾</w:t>
      </w:r>
    </w:p>
    <w:p w14:paraId="1E09661E">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本项目风电场区每日平均施工人员总计约</w:t>
      </w:r>
      <w:r>
        <w:rPr>
          <w:rFonts w:hint="eastAsia" w:cs="Times New Roman" w:eastAsiaTheme="minorEastAsia"/>
          <w:snapToGrid w:val="0"/>
          <w:color w:val="000000" w:themeColor="text1"/>
          <w:sz w:val="24"/>
          <w:highlight w:val="none"/>
          <w:lang w:val="en-US" w:eastAsia="zh-CN"/>
          <w14:textFill>
            <w14:solidFill>
              <w14:schemeClr w14:val="tx1"/>
            </w14:solidFill>
          </w14:textFill>
        </w:rPr>
        <w:t>1</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00人，施工期为</w:t>
      </w:r>
      <w:r>
        <w:rPr>
          <w:rFonts w:hint="eastAsia" w:cs="Times New Roman" w:eastAsiaTheme="minorEastAsia"/>
          <w:snapToGrid w:val="0"/>
          <w:color w:val="000000" w:themeColor="text1"/>
          <w:sz w:val="24"/>
          <w:highlight w:val="none"/>
          <w:lang w:val="en-US" w:eastAsia="zh-CN"/>
          <w14:textFill>
            <w14:solidFill>
              <w14:schemeClr w14:val="tx1"/>
            </w14:solidFill>
          </w14:textFill>
        </w:rPr>
        <w:t>12</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个月，生活垃圾按1kg/人·d计算，则施工期产生的垃圾总量约</w:t>
      </w:r>
      <w:r>
        <w:rPr>
          <w:rFonts w:hint="eastAsia" w:cs="Times New Roman" w:eastAsiaTheme="minorEastAsia"/>
          <w:snapToGrid w:val="0"/>
          <w:color w:val="000000" w:themeColor="text1"/>
          <w:sz w:val="24"/>
          <w:highlight w:val="none"/>
          <w:lang w:val="en-US" w:eastAsia="zh-CN"/>
          <w14:textFill>
            <w14:solidFill>
              <w14:schemeClr w14:val="tx1"/>
            </w14:solidFill>
          </w14:textFill>
        </w:rPr>
        <w:t>36.5</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t。生活垃圾除一部分本身就有异味或恶臭外，还有很大部分会在微生物的作用下发生腐烂，发出恶臭，成为蚊蝇滋生、病菌繁衍、鼠类肆虐的场所，是引发流行性疾病的重要发生源。因此，若对生活垃圾疏于管理或不及时收运，而任其随意丢弃或堆积，将对周围环境造成污染。本项目施工期产生的生活垃圾定期运送到周边生活垃圾转运站处置。</w:t>
      </w:r>
    </w:p>
    <w:p w14:paraId="18412212">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(3)废包装材料</w:t>
      </w:r>
    </w:p>
    <w:p w14:paraId="118F659F">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本项目施工期还会产生部分材料外包装垃圾，集中收集后，外售综合利用。</w:t>
      </w:r>
    </w:p>
    <w:p w14:paraId="445DBDB1">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(4)建筑垃圾</w:t>
      </w:r>
    </w:p>
    <w:p w14:paraId="4DCAC155">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施工期结束后，需拆除施工临建区域临时建筑，产生少量建筑垃圾，主要为办公宿舍区拆除彩钢板、钢筋等和防渗污水收集池拆除的废砖瓦混凝土砌块。建筑垃圾中可回收部</w:t>
      </w:r>
      <w:r>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分</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全部集中收集后，回收利用。不可回收的废砖瓦混凝土砌块拉运至乌鲁木齐市建筑垃圾填埋场处置。施工期建筑垃圾若处理不当，遇暴雨降水等会冲刷流失到环境中而造成环境污染。因此，应及时清运，不能随意丢弃，同时要求规范运输，不得随路洒落，不能随意倾倒堆放等。</w:t>
      </w:r>
    </w:p>
    <w:p w14:paraId="3F628203">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综上可知，项目施工期产生的施工垃圾均得到合理处理，影响较小。</w:t>
      </w:r>
    </w:p>
    <w:bookmarkEnd w:id="447"/>
    <w:bookmarkEnd w:id="448"/>
    <w:p w14:paraId="5918D900">
      <w:pPr>
        <w:pStyle w:val="11"/>
        <w:keepNext/>
        <w:keepLines/>
        <w:pageBreakBefore w:val="0"/>
        <w:widowControl w:val="0"/>
        <w:kinsoku/>
        <w:wordWrap/>
        <w:overflowPunct/>
        <w:topLinePunct w:val="0"/>
        <w:autoSpaceDE/>
        <w:autoSpaceDN/>
        <w:bidi w:val="0"/>
        <w:adjustRightInd/>
        <w:snapToGrid/>
        <w:ind w:left="0"/>
        <w:textAlignment w:val="auto"/>
        <w:outlineLvl w:val="2"/>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bookmarkStart w:id="449" w:name="_Toc2801"/>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5.1.5 施工期生态影响预测与</w:t>
      </w:r>
      <w:bookmarkEnd w:id="434"/>
      <w:bookmarkEnd w:id="435"/>
      <w:bookmarkEnd w:id="436"/>
      <w:bookmarkEnd w:id="437"/>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评价</w:t>
      </w:r>
      <w:bookmarkEnd w:id="438"/>
      <w:bookmarkEnd w:id="439"/>
      <w:bookmarkEnd w:id="440"/>
      <w:bookmarkEnd w:id="441"/>
      <w:bookmarkEnd w:id="449"/>
    </w:p>
    <w:p w14:paraId="038CCBAD">
      <w:pPr>
        <w:pStyle w:val="12"/>
        <w:pageBreakBefore w:val="0"/>
        <w:widowControl w:val="0"/>
        <w:numPr>
          <w:ilvl w:val="0"/>
          <w:numId w:val="0"/>
        </w:numPr>
        <w:tabs>
          <w:tab w:val="left" w:pos="1050"/>
        </w:tabs>
        <w:kinsoku/>
        <w:wordWrap/>
        <w:overflowPunct/>
        <w:topLinePunct w:val="0"/>
        <w:autoSpaceDE/>
        <w:autoSpaceDN/>
        <w:bidi w:val="0"/>
        <w:adjustRightInd/>
        <w:snapToGrid/>
        <w:spacing w:before="0" w:beforeLines="0" w:after="0" w:afterLines="0" w:line="360" w:lineRule="auto"/>
        <w:textAlignment w:val="auto"/>
        <w:outlineLvl w:val="9"/>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pPr>
      <w:bookmarkStart w:id="450" w:name="_Toc5937"/>
      <w:bookmarkStart w:id="451" w:name="_Toc28970"/>
      <w:bookmarkStart w:id="452" w:name="_Toc391020981"/>
      <w:bookmarkStart w:id="453" w:name="_Toc10447"/>
      <w:bookmarkStart w:id="454" w:name="_Toc391021206"/>
      <w:r>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t>5.1.5.1 对土地利用的影响分析</w:t>
      </w:r>
      <w:bookmarkEnd w:id="450"/>
      <w:bookmarkEnd w:id="451"/>
      <w:bookmarkEnd w:id="452"/>
      <w:bookmarkEnd w:id="453"/>
      <w:bookmarkEnd w:id="454"/>
    </w:p>
    <w:p w14:paraId="3F2CE829">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本项目为风力发电项目，项目建设永久和临时占用一定面积的土地，使评价范围内现状的各类土地面积发生变化，对区域内土地利用结构产生一定影响。永久占地包括风机、箱变、</w:t>
      </w:r>
      <w:r>
        <w:rPr>
          <w:rFonts w:hint="eastAsia" w:cs="Times New Roman" w:eastAsiaTheme="minorEastAsia"/>
          <w:snapToGrid w:val="0"/>
          <w:color w:val="000000" w:themeColor="text1"/>
          <w:sz w:val="24"/>
          <w:highlight w:val="none"/>
          <w:lang w:val="en-US" w:eastAsia="zh-CN"/>
          <w14:textFill>
            <w14:solidFill>
              <w14:schemeClr w14:val="tx1"/>
            </w14:solidFill>
          </w14:textFill>
        </w:rPr>
        <w:t>检修道路</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等，临时占地包括施工道路、</w:t>
      </w:r>
      <w:r>
        <w:rPr>
          <w:rFonts w:hint="eastAsia" w:cs="Times New Roman" w:eastAsiaTheme="minorEastAsia"/>
          <w:snapToGrid w:val="0"/>
          <w:color w:val="000000" w:themeColor="text1"/>
          <w:sz w:val="24"/>
          <w:highlight w:val="none"/>
          <w:lang w:val="en-US" w:eastAsia="zh-CN"/>
          <w14:textFill>
            <w14:solidFill>
              <w14:schemeClr w14:val="tx1"/>
            </w14:solidFill>
          </w14:textFill>
        </w:rPr>
        <w:t>吊装平台</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等区域</w:t>
      </w:r>
      <w:r>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的临时施工场地占地</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w:t>
      </w:r>
    </w:p>
    <w:p w14:paraId="5B1BF5F4">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(1)永久占地对土地利用的影响</w:t>
      </w:r>
    </w:p>
    <w:p w14:paraId="14250B71">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永久占用土地对土地利用的影响是永久性的，主要为风机、箱变、</w:t>
      </w:r>
      <w:r>
        <w:rPr>
          <w:rFonts w:hint="eastAsia" w:cs="Times New Roman" w:eastAsiaTheme="minorEastAsia"/>
          <w:snapToGrid w:val="0"/>
          <w:color w:val="000000" w:themeColor="text1"/>
          <w:sz w:val="24"/>
          <w:highlight w:val="none"/>
          <w:lang w:val="en-US" w:eastAsia="zh-CN"/>
          <w14:textFill>
            <w14:solidFill>
              <w14:schemeClr w14:val="tx1"/>
            </w14:solidFill>
          </w14:textFill>
        </w:rPr>
        <w:t>集电线路</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塔基</w:t>
      </w:r>
      <w:r>
        <w:rPr>
          <w:rFonts w:hint="eastAsia" w:cs="Times New Roman" w:eastAsiaTheme="minorEastAsia"/>
          <w:snapToGrid w:val="0"/>
          <w:color w:val="000000" w:themeColor="text1"/>
          <w:sz w:val="24"/>
          <w:highlight w:val="none"/>
          <w:lang w:val="en-US" w:eastAsia="zh-CN"/>
          <w14:textFill>
            <w14:solidFill>
              <w14:schemeClr w14:val="tx1"/>
            </w14:solidFill>
          </w14:textFill>
        </w:rPr>
        <w:t>、检修道路</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等，本项目永久占地面积为</w:t>
      </w:r>
      <w:r>
        <w:rPr>
          <w:rFonts w:hint="default" w:ascii="Times New Roman" w:hAnsi="Times New Roman" w:eastAsia="宋体" w:cs="Times New Roman"/>
          <w:color w:val="000000" w:themeColor="text1"/>
          <w:spacing w:val="0"/>
          <w:sz w:val="24"/>
          <w:szCs w:val="24"/>
          <w14:textFill>
            <w14:solidFill>
              <w14:schemeClr w14:val="tx1"/>
            </w14:solidFill>
          </w14:textFill>
        </w:rPr>
        <w:t xml:space="preserve"> </w:t>
      </w:r>
      <w:r>
        <w:rPr>
          <w:rFonts w:hint="eastAsia" w:eastAsia="宋体" w:cs="Times New Roman"/>
          <w:color w:val="000000" w:themeColor="text1"/>
          <w:spacing w:val="0"/>
          <w:sz w:val="24"/>
          <w:szCs w:val="24"/>
          <w:lang w:val="en-US" w:eastAsia="zh-CN"/>
          <w14:textFill>
            <w14:solidFill>
              <w14:schemeClr w14:val="tx1"/>
            </w14:solidFill>
          </w14:textFill>
        </w:rPr>
        <w:t>150955</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m</w:t>
      </w:r>
      <w:r>
        <w:rPr>
          <w:rFonts w:hint="default" w:ascii="Times New Roman" w:hAnsi="Times New Roman" w:cs="Times New Roman" w:eastAsiaTheme="minorEastAsia"/>
          <w:snapToGrid w:val="0"/>
          <w:color w:val="000000" w:themeColor="text1"/>
          <w:sz w:val="24"/>
          <w:highlight w:val="none"/>
          <w:vertAlign w:val="superscript"/>
          <w:lang w:val="en-US" w:eastAsia="zh-CN"/>
          <w14:textFill>
            <w14:solidFill>
              <w14:schemeClr w14:val="tx1"/>
            </w14:solidFill>
          </w14:textFill>
        </w:rPr>
        <w:t>2</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，占用类型为</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天然牧草地</w:t>
      </w:r>
      <w:r>
        <w:rPr>
          <w:rFonts w:hint="eastAsia" w:cs="Times New Roman" w:eastAsiaTheme="minorEastAsia"/>
          <w:color w:val="000000" w:themeColor="text1"/>
          <w:sz w:val="24"/>
          <w:highlight w:val="none"/>
          <w:lang w:val="en-US" w:eastAsia="zh-CN"/>
          <w14:textFill>
            <w14:solidFill>
              <w14:schemeClr w14:val="tx1"/>
            </w14:solidFill>
          </w14:textFill>
        </w:rPr>
        <w:t>、其他草地、水浇地、其他林地、采矿用地</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。其中风机、箱变及塔基占地属于点位间隔式占地，并非大面积的开挖，局部占面积相对较小，故对当地的生态环境影响程度较小。</w:t>
      </w:r>
    </w:p>
    <w:p w14:paraId="08655AB9">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(2)临时占地对土地利用的影响</w:t>
      </w:r>
    </w:p>
    <w:p w14:paraId="12279632">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本项目临时占地面积合计为</w:t>
      </w:r>
      <w:r>
        <w:rPr>
          <w:rFonts w:hint="eastAsia" w:cs="Times New Roman" w:eastAsiaTheme="minorEastAsia"/>
          <w:snapToGrid w:val="0"/>
          <w:color w:val="000000" w:themeColor="text1"/>
          <w:sz w:val="24"/>
          <w:highlight w:val="none"/>
          <w:lang w:val="en-US" w:eastAsia="zh-CN"/>
          <w14:textFill>
            <w14:solidFill>
              <w14:schemeClr w14:val="tx1"/>
            </w14:solidFill>
          </w14:textFill>
        </w:rPr>
        <w:t>182900</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m</w:t>
      </w:r>
      <w:r>
        <w:rPr>
          <w:rFonts w:hint="default" w:ascii="Times New Roman" w:hAnsi="Times New Roman" w:cs="Times New Roman" w:eastAsiaTheme="minorEastAsia"/>
          <w:snapToGrid w:val="0"/>
          <w:color w:val="000000" w:themeColor="text1"/>
          <w:sz w:val="24"/>
          <w:highlight w:val="none"/>
          <w:vertAlign w:val="superscript"/>
          <w:lang w:val="en-US" w:eastAsia="zh-CN"/>
          <w14:textFill>
            <w14:solidFill>
              <w14:schemeClr w14:val="tx1"/>
            </w14:solidFill>
          </w14:textFill>
        </w:rPr>
        <w:t>2</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，项目建设期间，施工道路、</w:t>
      </w:r>
      <w:r>
        <w:rPr>
          <w:rFonts w:hint="eastAsia" w:cs="Times New Roman" w:eastAsiaTheme="minorEastAsia"/>
          <w:snapToGrid w:val="0"/>
          <w:color w:val="000000" w:themeColor="text1"/>
          <w:sz w:val="24"/>
          <w:highlight w:val="none"/>
          <w:lang w:val="en-US" w:eastAsia="zh-CN"/>
          <w14:textFill>
            <w14:solidFill>
              <w14:schemeClr w14:val="tx1"/>
            </w14:solidFill>
          </w14:textFill>
        </w:rPr>
        <w:t>直埋电缆</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w:t>
      </w:r>
      <w:r>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施工场地</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等区域的土地利用格局也会发生变化，但施工结束后，施工道路、</w:t>
      </w:r>
      <w:r>
        <w:rPr>
          <w:rFonts w:hint="eastAsia" w:cs="Times New Roman" w:eastAsiaTheme="minorEastAsia"/>
          <w:snapToGrid w:val="0"/>
          <w:color w:val="000000" w:themeColor="text1"/>
          <w:sz w:val="24"/>
          <w:highlight w:val="none"/>
          <w:lang w:val="en-US" w:eastAsia="zh-CN"/>
          <w14:textFill>
            <w14:solidFill>
              <w14:schemeClr w14:val="tx1"/>
            </w14:solidFill>
          </w14:textFill>
        </w:rPr>
        <w:t>直埋电缆、</w:t>
      </w:r>
      <w:r>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施工场地</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等临时占地大部分进行生态恢复，临时占用的土地均可恢复原状。因此，临时占地区的土地利用类型不会改变。因此，本项目施工期对土地利用功能影响不大。</w:t>
      </w:r>
    </w:p>
    <w:p w14:paraId="7ACC740A">
      <w:pPr>
        <w:pStyle w:val="12"/>
        <w:pageBreakBefore w:val="0"/>
        <w:widowControl w:val="0"/>
        <w:numPr>
          <w:ilvl w:val="0"/>
          <w:numId w:val="0"/>
        </w:numPr>
        <w:tabs>
          <w:tab w:val="left" w:pos="1050"/>
        </w:tabs>
        <w:kinsoku/>
        <w:wordWrap/>
        <w:overflowPunct/>
        <w:topLinePunct w:val="0"/>
        <w:autoSpaceDE/>
        <w:autoSpaceDN/>
        <w:bidi w:val="0"/>
        <w:adjustRightInd/>
        <w:snapToGrid/>
        <w:spacing w:before="0" w:beforeLines="0" w:after="0" w:afterLines="0" w:line="360" w:lineRule="auto"/>
        <w:textAlignment w:val="auto"/>
        <w:outlineLvl w:val="9"/>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pPr>
      <w:bookmarkStart w:id="455" w:name="_Toc6720"/>
      <w:bookmarkStart w:id="456" w:name="_Toc391021207"/>
      <w:bookmarkStart w:id="457" w:name="_Toc13008"/>
      <w:bookmarkStart w:id="458" w:name="_Toc15364"/>
      <w:bookmarkStart w:id="459" w:name="_Toc391020982"/>
      <w:r>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t>5.1.5.2 对植被的影响分析</w:t>
      </w:r>
      <w:bookmarkEnd w:id="455"/>
      <w:bookmarkEnd w:id="456"/>
      <w:bookmarkEnd w:id="457"/>
      <w:bookmarkEnd w:id="458"/>
      <w:bookmarkEnd w:id="459"/>
    </w:p>
    <w:p w14:paraId="6AD6D59B">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(1)对陆生植物的影响</w:t>
      </w:r>
    </w:p>
    <w:p w14:paraId="20865B0C">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本项目占地主要包括风电机组区、道路区、临时施工生产生活区等部分。风机塔基施工、电缆沟开挖、场内道路建设、</w:t>
      </w:r>
      <w:r>
        <w:rPr>
          <w:rFonts w:hint="eastAsia" w:cs="Times New Roman" w:eastAsiaTheme="minorEastAsia"/>
          <w:snapToGrid w:val="0"/>
          <w:color w:val="000000" w:themeColor="text1"/>
          <w:sz w:val="24"/>
          <w:highlight w:val="none"/>
          <w:lang w:val="en-US" w:eastAsia="zh-CN"/>
          <w14:textFill>
            <w14:solidFill>
              <w14:schemeClr w14:val="tx1"/>
            </w14:solidFill>
          </w14:textFill>
        </w:rPr>
        <w:t>集电线路</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杆塔塔基开挖等施工建设，以及施工机械和车辆碾压等过程中会使施工范围内永久征地、临时占地区及周边的原有植被遭到破坏，施工范围内的土壤可能受到扰动，将使土壤的结构、组成及理化特性等发生变化，从而影响植被的恢复。</w:t>
      </w:r>
    </w:p>
    <w:p w14:paraId="6381EB50">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本项目占地为</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天然牧草地</w:t>
      </w:r>
      <w:r>
        <w:rPr>
          <w:rFonts w:hint="eastAsia" w:cs="Times New Roman" w:eastAsiaTheme="minorEastAsia"/>
          <w:color w:val="000000" w:themeColor="text1"/>
          <w:sz w:val="24"/>
          <w:highlight w:val="none"/>
          <w:lang w:val="en-US" w:eastAsia="zh-CN"/>
          <w14:textFill>
            <w14:solidFill>
              <w14:schemeClr w14:val="tx1"/>
            </w14:solidFill>
          </w14:textFill>
        </w:rPr>
        <w:t>、其他草地、水浇地、其他林地、采矿用地</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，植被类型主要为荒漠植被</w:t>
      </w:r>
      <w:r>
        <w:rPr>
          <w:rFonts w:hint="eastAsia" w:cs="Times New Roman" w:eastAsiaTheme="minorEastAsia"/>
          <w:snapToGrid w:val="0"/>
          <w:color w:val="000000" w:themeColor="text1"/>
          <w:sz w:val="24"/>
          <w:highlight w:val="none"/>
          <w:lang w:val="en-US" w:eastAsia="zh-CN"/>
          <w14:textFill>
            <w14:solidFill>
              <w14:schemeClr w14:val="tx1"/>
            </w14:solidFill>
          </w14:textFill>
        </w:rPr>
        <w:t>(小蓬荒漠、驼绒藜砾漠)</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，植被覆盖率10%。</w:t>
      </w:r>
    </w:p>
    <w:p w14:paraId="1716BFB3">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yellow"/>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施工临时占地尽量利用植被少的空旷地，少占有原始植被的土地，不得不占用时，应保存好表土层，以便施工后恢复。经过荒漠区时，所在的荒漠区大部分植被稀疏，施工临时占地尽量利用植被少的空旷地，少占有植被的土地。施工结束后，及时平整清理恢复临时占地，并覆盖砾石防止水土流失，临时占地区域自然恢复植被。</w:t>
      </w:r>
    </w:p>
    <w:p w14:paraId="0DFC9A2E">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采取一定保护措施后，施工过程中对植被损坏的数量有限，项目区范围内无珍稀濒危植物，因此施工对植被有一定影响，但影响有限。</w:t>
      </w:r>
    </w:p>
    <w:p w14:paraId="183220FF">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本项目对植被的影响采用生物量指标来评价。根据项目踏勘及现状资料结果表明，植被在荒漠区主要有灌丛、草丛等。项目导致的植被生物量损失按下式计算：</w:t>
      </w:r>
    </w:p>
    <w:p w14:paraId="26CCB3C1">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center"/>
        <w:textAlignment w:val="auto"/>
        <w:rPr>
          <w:rFonts w:hint="default" w:ascii="Times New Roman" w:hAnsi="Times New Roman" w:cs="Times New Roman" w:eastAsiaTheme="minorEastAsia"/>
          <w:snapToGrid w:val="0"/>
          <w:color w:val="FF0000"/>
          <w:sz w:val="24"/>
          <w:highlight w:val="none"/>
          <w:lang w:val="en-US" w:eastAsia="zh-CN"/>
        </w:rPr>
      </w:pPr>
      <w:r>
        <w:rPr>
          <w:rFonts w:hint="default" w:ascii="Times New Roman" w:hAnsi="Times New Roman" w:cs="Times New Roman" w:eastAsiaTheme="minorEastAsia"/>
          <w:snapToGrid w:val="0"/>
          <w:color w:val="FF0000"/>
          <w:sz w:val="24"/>
          <w:highlight w:val="none"/>
          <w:lang w:val="en-US" w:eastAsia="zh-CN"/>
        </w:rPr>
        <w:object>
          <v:shape id="_x0000_i1026" o:spt="75" type="#_x0000_t75" style="height:21pt;width:76pt;" o:ole="t" filled="f" o:preferrelative="t" stroked="f" coordsize="21600,21600">
            <v:path/>
            <v:fill on="f" focussize="0,0"/>
            <v:stroke on="f"/>
            <v:imagedata r:id="rId36" o:title=""/>
            <o:lock v:ext="edit" aspectratio="t"/>
            <w10:wrap type="none"/>
            <w10:anchorlock/>
          </v:shape>
          <o:OLEObject Type="Embed" ProgID="Equation.KSEE3" ShapeID="_x0000_i1026" DrawAspect="Content" ObjectID="_1468075726" r:id="rId35">
            <o:LockedField>false</o:LockedField>
          </o:OLEObject>
        </w:object>
      </w:r>
    </w:p>
    <w:p w14:paraId="010B9B1C">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式中：C</w:t>
      </w:r>
      <w:r>
        <w:rPr>
          <w:rFonts w:hint="default" w:ascii="Times New Roman" w:hAnsi="Times New Roman" w:cs="Times New Roman" w:eastAsiaTheme="minorEastAsia"/>
          <w:snapToGrid w:val="0"/>
          <w:color w:val="000000" w:themeColor="text1"/>
          <w:sz w:val="24"/>
          <w:highlight w:val="none"/>
          <w:vertAlign w:val="subscript"/>
          <w:lang w:val="en-US" w:eastAsia="zh-CN"/>
          <w14:textFill>
            <w14:solidFill>
              <w14:schemeClr w14:val="tx1"/>
            </w14:solidFill>
          </w14:textFill>
        </w:rPr>
        <w:t>损</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——总生物量损失值，t；</w:t>
      </w:r>
    </w:p>
    <w:p w14:paraId="27803B5D">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1200" w:firstLineChars="5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Q</w:t>
      </w:r>
      <w:r>
        <w:rPr>
          <w:rFonts w:hint="default" w:ascii="Times New Roman" w:hAnsi="Times New Roman" w:cs="Times New Roman" w:eastAsiaTheme="minorEastAsia"/>
          <w:snapToGrid w:val="0"/>
          <w:color w:val="000000" w:themeColor="text1"/>
          <w:sz w:val="24"/>
          <w:highlight w:val="none"/>
          <w:vertAlign w:val="subscript"/>
          <w:lang w:val="en-US" w:eastAsia="zh-CN"/>
          <w14:textFill>
            <w14:solidFill>
              <w14:schemeClr w14:val="tx1"/>
            </w14:solidFill>
          </w14:textFill>
        </w:rPr>
        <w:t>i</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——第i种植被生物生产量，t/hm</w:t>
      </w:r>
      <w:r>
        <w:rPr>
          <w:rFonts w:hint="default" w:ascii="Times New Roman" w:hAnsi="Times New Roman" w:cs="Times New Roman" w:eastAsiaTheme="minorEastAsia"/>
          <w:snapToGrid w:val="0"/>
          <w:color w:val="000000" w:themeColor="text1"/>
          <w:sz w:val="24"/>
          <w:highlight w:val="none"/>
          <w:vertAlign w:val="superscript"/>
          <w:lang w:val="en-US" w:eastAsia="zh-CN"/>
          <w14:textFill>
            <w14:solidFill>
              <w14:schemeClr w14:val="tx1"/>
            </w14:solidFill>
          </w14:textFill>
        </w:rPr>
        <w:t>2</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；根据《全国重点牧区草场资源调查大纲和技术规程》中的五等八级草场分级标准，本项目为荒漠植被区，植被覆盖率10%，按照五等八级草场进行估算，牧草产量为750kg/hm</w:t>
      </w:r>
      <w:r>
        <w:rPr>
          <w:rFonts w:hint="default" w:ascii="Times New Roman" w:hAnsi="Times New Roman" w:cs="Times New Roman" w:eastAsiaTheme="minorEastAsia"/>
          <w:snapToGrid w:val="0"/>
          <w:color w:val="000000" w:themeColor="text1"/>
          <w:sz w:val="24"/>
          <w:highlight w:val="none"/>
          <w:vertAlign w:val="superscript"/>
          <w:lang w:val="en-US" w:eastAsia="zh-CN"/>
          <w14:textFill>
            <w14:solidFill>
              <w14:schemeClr w14:val="tx1"/>
            </w14:solidFill>
          </w14:textFill>
        </w:rPr>
        <w:t>2</w:t>
      </w:r>
      <w:r>
        <w:rPr>
          <w:rFonts w:hint="default" w:ascii="Times New Roman" w:hAnsi="Times New Roman" w:cs="Times New Roman" w:eastAsiaTheme="minorEastAsia"/>
          <w:snapToGrid w:val="0"/>
          <w:color w:val="000000" w:themeColor="text1"/>
          <w:sz w:val="24"/>
          <w:highlight w:val="none"/>
          <w:vertAlign w:val="baseline"/>
          <w:lang w:val="en-US" w:eastAsia="zh-CN"/>
          <w14:textFill>
            <w14:solidFill>
              <w14:schemeClr w14:val="tx1"/>
            </w14:solidFill>
          </w14:textFill>
        </w:rPr>
        <w:t>；</w:t>
      </w:r>
    </w:p>
    <w:p w14:paraId="4F819421">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1200" w:firstLineChars="5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S</w:t>
      </w:r>
      <w:r>
        <w:rPr>
          <w:rFonts w:hint="default" w:ascii="Times New Roman" w:hAnsi="Times New Roman" w:cs="Times New Roman" w:eastAsiaTheme="minorEastAsia"/>
          <w:snapToGrid w:val="0"/>
          <w:color w:val="000000" w:themeColor="text1"/>
          <w:sz w:val="24"/>
          <w:highlight w:val="none"/>
          <w:vertAlign w:val="subscript"/>
          <w:lang w:val="en-US" w:eastAsia="zh-CN"/>
          <w14:textFill>
            <w14:solidFill>
              <w14:schemeClr w14:val="tx1"/>
            </w14:solidFill>
          </w14:textFill>
        </w:rPr>
        <w:t>i</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——占用第i种植被的土地面积，hm</w:t>
      </w:r>
      <w:r>
        <w:rPr>
          <w:rFonts w:hint="default" w:ascii="Times New Roman" w:hAnsi="Times New Roman" w:cs="Times New Roman" w:eastAsiaTheme="minorEastAsia"/>
          <w:snapToGrid w:val="0"/>
          <w:color w:val="000000" w:themeColor="text1"/>
          <w:sz w:val="24"/>
          <w:highlight w:val="none"/>
          <w:vertAlign w:val="superscript"/>
          <w:lang w:val="en-US" w:eastAsia="zh-CN"/>
          <w14:textFill>
            <w14:solidFill>
              <w14:schemeClr w14:val="tx1"/>
            </w14:solidFill>
          </w14:textFill>
        </w:rPr>
        <w:t>2</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w:t>
      </w:r>
    </w:p>
    <w:p w14:paraId="4BBD209B">
      <w:pPr>
        <w:keepNext/>
        <w:keepLines/>
        <w:pageBreakBefore w:val="0"/>
        <w:widowControl w:val="0"/>
        <w:numPr>
          <w:ilvl w:val="0"/>
          <w:numId w:val="0"/>
        </w:numPr>
        <w:tabs>
          <w:tab w:val="left" w:pos="1050"/>
        </w:tabs>
        <w:kinsoku/>
        <w:wordWrap/>
        <w:overflowPunct/>
        <w:topLinePunct w:val="0"/>
        <w:autoSpaceDE/>
        <w:autoSpaceDN/>
        <w:bidi w:val="0"/>
        <w:adjustRightInd/>
        <w:snapToGrid/>
        <w:spacing w:before="0" w:beforeLines="0" w:after="0" w:afterLines="0" w:line="360" w:lineRule="auto"/>
        <w:ind w:left="0"/>
        <w:textAlignment w:val="auto"/>
        <w:outlineLvl w:val="9"/>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pPr>
      <w:bookmarkStart w:id="460" w:name="_Toc9008"/>
      <w:r>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t>5.1.5.3 对野生动物影响分析</w:t>
      </w:r>
      <w:bookmarkEnd w:id="460"/>
    </w:p>
    <w:p w14:paraId="1617C73F">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本项目对野生动物的直接影响主要发生在施工期间，主要体现在对动物栖息觅食地所在生态环境的破坏，包括占用、破坏植被而改变野生动物栖息环境，以及施工照明、噪声对其影响两个方面。</w:t>
      </w:r>
    </w:p>
    <w:p w14:paraId="6F3770A4">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(1)对生境的影响</w:t>
      </w:r>
    </w:p>
    <w:p w14:paraId="51D1D487">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项目施工期对评价区内的陆生动物影响主要表现在两个方面：一方面，项目风机基础、</w:t>
      </w:r>
      <w:r>
        <w:rPr>
          <w:rFonts w:hint="eastAsia" w:cs="Times New Roman" w:eastAsiaTheme="minorEastAsia"/>
          <w:snapToGrid w:val="0"/>
          <w:color w:val="000000" w:themeColor="text1"/>
          <w:sz w:val="24"/>
          <w:highlight w:val="none"/>
          <w:lang w:val="en-US" w:eastAsia="zh-CN"/>
          <w14:textFill>
            <w14:solidFill>
              <w14:schemeClr w14:val="tx1"/>
            </w14:solidFill>
          </w14:textFill>
        </w:rPr>
        <w:t>集电</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线路杆塔塔基、场内道路等占地，以及施工人员活动增加等干扰因素将缩小野生动物的栖息空间，植被的破坏使动物食物资源的减少，从而影响部分陆生动物的活动区域、迁移途径、栖息区域、觅食范围等，从而对动物的生存产生一定的负面影响；另一方面表现在施工人员及施工机械的噪声干扰，夜间施工照明也会引起动物的迁移，使得施工范围附近的动物种类、数量减少，动物分布发生变化。</w:t>
      </w:r>
    </w:p>
    <w:p w14:paraId="3DBC2A96">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本项目风机</w:t>
      </w:r>
      <w:r>
        <w:rPr>
          <w:rFonts w:hint="eastAsia" w:cs="Times New Roman" w:eastAsiaTheme="minorEastAsia"/>
          <w:snapToGrid w:val="0"/>
          <w:color w:val="000000" w:themeColor="text1"/>
          <w:sz w:val="24"/>
          <w:highlight w:val="none"/>
          <w:lang w:val="en-US" w:eastAsia="zh-CN"/>
          <w14:textFill>
            <w14:solidFill>
              <w14:schemeClr w14:val="tx1"/>
            </w14:solidFill>
          </w14:textFill>
        </w:rPr>
        <w:t>基础</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占地面积相对较小，且单个塔基工程量很小，对野生动物影响范围不大且影响时间较短，不会对其生存造成威胁，当施工结束后，它们仍可回到原来的领域，对野生动物影响较小。场内道路在施工时严格施工管理，加强施工期环境保护的监管，尽量缩小和控制路基占地范围，尽可能减少对植被的占用，造成的评价区植被类型变化不大，且周边相同的生境分布广泛，受工程建设影响的动物比较容易找到栖息场所。另外，场内道路施工范围较小，工程建设影响的范围不大且影响时间短，因此对野生动物不会造成大的影响。</w:t>
      </w:r>
    </w:p>
    <w:p w14:paraId="20767E9F">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(2)对鸟类的影响</w:t>
      </w:r>
    </w:p>
    <w:p w14:paraId="22DE6C7E">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随着施工道路修建，施工机械、施工人员陆续进场，项目开工后施工占地和施工噪声等将破坏和改变新修道路两侧和施工区原有鸟类的栖息环境，使上述区域的鸟类迁移到其它适宜的生境中去。</w:t>
      </w:r>
    </w:p>
    <w:p w14:paraId="490E9BAC">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施工期对项目区内的鸟类影响主要表现在五个方面：</w:t>
      </w:r>
    </w:p>
    <w:p w14:paraId="5B2F7C44">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①场内道路修建占地、风机塔基和线路塔基占地，以及施工人员活动增加等干扰因素将缩小鸟类的栖息空间，从而影响部分鸟类的活动栖息区域、觅食地等，从而对鸟类的生存产生一定的负面影响。</w:t>
      </w:r>
    </w:p>
    <w:p w14:paraId="13E5F24A">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②施工噪声(包括施工机械、车辆及施工人员的噪声)干扰，会导致鸟类的避退和迁移，使得工程范围内鸟类种类和数量减少、分布发生变化。</w:t>
      </w:r>
    </w:p>
    <w:p w14:paraId="34BE3BC7">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③人类活动强度和频度提高，以及施工区排放的废水、废气和废渣造成局部周边环境污染等，都降低了原来的鸟类栖息环境质量，使鸟类活动受到影响，可能造成该施工区部分鸟类种群数量下降。</w:t>
      </w:r>
    </w:p>
    <w:p w14:paraId="3E29A5C1">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以上3方面主要影响当地的繁殖鸟类(包括候鸟)，施工期间将会干扰鸟类的正常活动、导致鸟类退避或转移，但不会直接造成物种在该地区的消失。随着施工的结束和植被的恢复，不利影响将逐渐缓解、大部分是可逆的。</w:t>
      </w:r>
    </w:p>
    <w:p w14:paraId="1108D0DC">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(3)对其他动物的影响</w:t>
      </w:r>
    </w:p>
    <w:p w14:paraId="6CEAD2B7">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FF0000"/>
          <w:sz w:val="24"/>
          <w:highlight w:val="none"/>
          <w:lang w:val="en-US" w:eastAsia="zh-CN"/>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项目占地区植被条件较差，人为活动干扰大，分布的动物种类和数量也较少，主要是一些小的动物和飞禽，如鼠、蜥蜴、麻雀等动物，项目永久及临时占地、迹地开挖等导致工程影响区原有植被破坏，将使部分动物觅食场所相应减少；风电场地表植被较少，且在周边区域还有大范围类似生境分布，因此，对区域动物觅食的影响不大。</w:t>
      </w:r>
    </w:p>
    <w:p w14:paraId="3AE28542">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以上分析表明，本项目施工场地分散，各工段的施工规模小、施工时间短，对施工区的生境扰动较小，项目占地不会影响当地鸟类生境整体的生态功能，工程区域未发现有较集中的鸟类繁殖地和觅食地。因此在严格执行以上提及需注意的事项的前提下，本项目施工期对鸟类造成的影响是可控的，随着施工的结束和临时占地植被的恢复而逐渐缓解。</w:t>
      </w:r>
    </w:p>
    <w:p w14:paraId="3B653E8A">
      <w:pPr>
        <w:pStyle w:val="12"/>
        <w:pageBreakBefore w:val="0"/>
        <w:widowControl w:val="0"/>
        <w:numPr>
          <w:ilvl w:val="0"/>
          <w:numId w:val="0"/>
        </w:numPr>
        <w:tabs>
          <w:tab w:val="left" w:pos="1050"/>
        </w:tabs>
        <w:kinsoku/>
        <w:wordWrap/>
        <w:overflowPunct/>
        <w:topLinePunct w:val="0"/>
        <w:autoSpaceDE/>
        <w:autoSpaceDN/>
        <w:bidi w:val="0"/>
        <w:adjustRightInd/>
        <w:snapToGrid/>
        <w:spacing w:before="0" w:beforeLines="0" w:after="0" w:afterLines="0" w:line="360" w:lineRule="auto"/>
        <w:textAlignment w:val="auto"/>
        <w:outlineLvl w:val="9"/>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pPr>
      <w:bookmarkStart w:id="461" w:name="_Toc30072"/>
      <w:r>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t>5.1.5.4 对景观影响分析</w:t>
      </w:r>
      <w:bookmarkEnd w:id="461"/>
    </w:p>
    <w:p w14:paraId="2E401D3D">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风电场施工建设过程中，将不可避免地对项目区周边的自然景观造成不利影响。主要表现为施工道路修建，对连续的自然景观进行切割，使其空间连续性被破坏，在自然的背景上划出明显的人工印迹。风机基础、箱变基础及</w:t>
      </w:r>
      <w:r>
        <w:rPr>
          <w:rFonts w:hint="eastAsia" w:cs="Times New Roman" w:eastAsiaTheme="minorEastAsia"/>
          <w:snapToGrid w:val="0"/>
          <w:color w:val="000000" w:themeColor="text1"/>
          <w:sz w:val="24"/>
          <w:highlight w:val="none"/>
          <w:lang w:val="en-US" w:eastAsia="zh-CN"/>
          <w14:textFill>
            <w14:solidFill>
              <w14:schemeClr w14:val="tx1"/>
            </w14:solidFill>
          </w14:textFill>
        </w:rPr>
        <w:t>集电</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线路基础开挖，风机吊装平台修建等破坏自然景观完整性。本项目风电场评价范围内景观主要为荒漠景观。因此，施工期通过采取围挡作业、分段施工、及时清运弃方、采取防尘抑尘措施、集中收集施工人员生活垃圾并及时清运处理等措施，可以使施工区域及时恢复原有自然面貌，将施工期造成的景观影响降至最小。</w:t>
      </w:r>
    </w:p>
    <w:p w14:paraId="34AFE3A0">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采取这些措施的前提下，随着施工结束，施工临建拆除，施工临时占地平整恢复，风机吊装平台、集电线路区域、施工临建区域、输变电线路临时施工场地、施工道路周边等区域的植被逐步恢复，这种影响将会慢慢减弱。</w:t>
      </w:r>
    </w:p>
    <w:p w14:paraId="22327D4B">
      <w:pPr>
        <w:pStyle w:val="12"/>
        <w:pageBreakBefore w:val="0"/>
        <w:widowControl w:val="0"/>
        <w:numPr>
          <w:ilvl w:val="0"/>
          <w:numId w:val="0"/>
        </w:numPr>
        <w:tabs>
          <w:tab w:val="left" w:pos="1050"/>
        </w:tabs>
        <w:kinsoku/>
        <w:wordWrap/>
        <w:overflowPunct/>
        <w:topLinePunct w:val="0"/>
        <w:autoSpaceDE/>
        <w:autoSpaceDN/>
        <w:bidi w:val="0"/>
        <w:adjustRightInd/>
        <w:snapToGrid/>
        <w:spacing w:before="0" w:beforeLines="0" w:after="0" w:afterLines="0" w:line="360" w:lineRule="auto"/>
        <w:textAlignment w:val="auto"/>
        <w:outlineLvl w:val="9"/>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t>5.1.5.5 水土流失影响分析</w:t>
      </w:r>
    </w:p>
    <w:p w14:paraId="26008E93">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本项目的水土流失产生时段主要集中在施工期，水土流失产生区域为风电场区以及</w:t>
      </w:r>
      <w:r>
        <w:rPr>
          <w:rFonts w:hint="eastAsia" w:cs="Times New Roman" w:eastAsiaTheme="minorEastAsia"/>
          <w:snapToGrid w:val="0"/>
          <w:color w:val="000000" w:themeColor="text1"/>
          <w:sz w:val="24"/>
          <w:highlight w:val="none"/>
          <w:lang w:val="en-US" w:eastAsia="zh-CN"/>
          <w14:textFill>
            <w14:solidFill>
              <w14:schemeClr w14:val="tx1"/>
            </w14:solidFill>
          </w14:textFill>
        </w:rPr>
        <w:t>集电</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线路沿线杆塔塔基区域。在建设过程中由于扰动原地貌、破坏土壤结构、破坏地表植被等情况的发生，可能造成水土流失，破坏周边生态环境，引发一系列的环境问题。</w:t>
      </w:r>
    </w:p>
    <w:p w14:paraId="66B3E340">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为保护项目区水土资源，减少和治理工程建设中的水土流失，本项目的水土保持工程措施主要有：地基开挖表土堆存采取临时毡盖措施，防止遇风扬尘产生；对项目区内对施工扰动地表的区域，施工完毕后进行土地整治，尽量做到挖方、填方基本平衡等，有效治理因工程建设引起的水土流失，不会引起较大的水土流失影响。</w:t>
      </w:r>
    </w:p>
    <w:p w14:paraId="44FE093F">
      <w:pPr>
        <w:pStyle w:val="12"/>
        <w:pageBreakBefore w:val="0"/>
        <w:widowControl w:val="0"/>
        <w:numPr>
          <w:ilvl w:val="0"/>
          <w:numId w:val="0"/>
        </w:numPr>
        <w:tabs>
          <w:tab w:val="left" w:pos="1050"/>
        </w:tabs>
        <w:kinsoku/>
        <w:wordWrap/>
        <w:overflowPunct/>
        <w:topLinePunct w:val="0"/>
        <w:autoSpaceDE/>
        <w:autoSpaceDN/>
        <w:bidi w:val="0"/>
        <w:adjustRightInd/>
        <w:snapToGrid/>
        <w:spacing w:before="0" w:beforeLines="0" w:after="0" w:afterLines="0" w:line="360" w:lineRule="auto"/>
        <w:textAlignment w:val="auto"/>
        <w:outlineLvl w:val="9"/>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t>5.1.5.6 对周边沙化土地影响分析</w:t>
      </w:r>
    </w:p>
    <w:p w14:paraId="650C23E7">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本项目施工期间，风机、箱变、</w:t>
      </w:r>
      <w:r>
        <w:rPr>
          <w:rFonts w:hint="eastAsia" w:cs="Times New Roman" w:eastAsiaTheme="minorEastAsia"/>
          <w:snapToGrid w:val="0"/>
          <w:color w:val="000000" w:themeColor="text1"/>
          <w:sz w:val="24"/>
          <w:highlight w:val="none"/>
          <w:lang w:val="en-US" w:eastAsia="zh-CN"/>
          <w14:textFill>
            <w14:solidFill>
              <w14:schemeClr w14:val="tx1"/>
            </w14:solidFill>
          </w14:textFill>
        </w:rPr>
        <w:t>集电</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线路塔基、施工临时道路、施工临时场地等区域占地将破坏地表植被，改变土体结构，使土壤抗蚀性降低，不可避免地扰动原地貌、为风力侵蚀提供了丰富的沙源。本项目区域土地利用现状为</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天然牧草地</w:t>
      </w:r>
      <w:r>
        <w:rPr>
          <w:rFonts w:hint="eastAsia" w:cs="Times New Roman" w:eastAsiaTheme="minorEastAsia"/>
          <w:color w:val="000000" w:themeColor="text1"/>
          <w:sz w:val="24"/>
          <w:highlight w:val="none"/>
          <w:lang w:val="en-US" w:eastAsia="zh-CN"/>
          <w14:textFill>
            <w14:solidFill>
              <w14:schemeClr w14:val="tx1"/>
            </w14:solidFill>
          </w14:textFill>
        </w:rPr>
        <w:t>、其他草地、水浇地、其他林地、采矿用地</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，地势起伏平缓，终年少雨或无雨，地表干燥，地表植被覆盖率低。施工过程中破坏地表砾石层，使戈壁下层沙土砾石裸露，易被吹扬，加剧周边地区荒漠化，易引发土地沙化。</w:t>
      </w:r>
    </w:p>
    <w:p w14:paraId="56274C71">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施工期严格控制施工范围，合理规划临时工程的位置，尽可能减小扰动范围。施工过程中采取相应的拦挡、苫盖、洒水降尘等措施，加强施工环境管理，施工结束后，及时平整清理恢复临时占地，并覆盖砾石防止水土流失，临时占地区域自然恢复植被，项目建设对沙化土地影响较小。</w:t>
      </w:r>
    </w:p>
    <w:p w14:paraId="6BABDEA9">
      <w:pPr>
        <w:pStyle w:val="11"/>
        <w:keepNext/>
        <w:keepLines/>
        <w:pageBreakBefore w:val="0"/>
        <w:widowControl w:val="0"/>
        <w:kinsoku/>
        <w:wordWrap/>
        <w:overflowPunct/>
        <w:topLinePunct w:val="0"/>
        <w:autoSpaceDE/>
        <w:autoSpaceDN/>
        <w:bidi w:val="0"/>
        <w:adjustRightInd/>
        <w:snapToGrid/>
        <w:ind w:left="0"/>
        <w:textAlignment w:val="auto"/>
        <w:outlineLvl w:val="2"/>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5.1.6 施工期水源保护区影响分析</w:t>
      </w:r>
    </w:p>
    <w:p w14:paraId="26F2F37B">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t>（1）本项目占用水源保护区情况</w:t>
      </w:r>
    </w:p>
    <w:p w14:paraId="1250CF2B">
      <w:pPr>
        <w:keepNext w:val="0"/>
        <w:keepLines w:val="0"/>
        <w:pageBreakBefore w:val="0"/>
        <w:widowControl w:val="0"/>
        <w:numPr>
          <w:ilvl w:val="0"/>
          <w:numId w:val="0"/>
        </w:numPr>
        <w:tabs>
          <w:tab w:val="left" w:pos="1260"/>
        </w:tabs>
        <w:kinsoku/>
        <w:wordWrap/>
        <w:overflowPunct/>
        <w:topLinePunct w:val="0"/>
        <w:autoSpaceDE/>
        <w:autoSpaceDN/>
        <w:bidi w:val="0"/>
        <w:adjustRightInd/>
        <w:snapToGrid/>
        <w:spacing w:line="360" w:lineRule="auto"/>
        <w:ind w:left="0" w:leftChars="0" w:firstLine="480" w:firstLineChars="200"/>
        <w:textAlignment w:val="auto"/>
        <w:outlineLvl w:val="9"/>
        <w:rPr>
          <w:rFonts w:hint="default" w:ascii="Times New Roman" w:hAnsi="Times New Roman" w:cs="Times New Roman" w:eastAsiaTheme="minorEastAsia"/>
          <w:color w:val="FF0000"/>
          <w:kern w:val="2"/>
          <w:sz w:val="24"/>
          <w:szCs w:val="20"/>
          <w:highlight w:val="none"/>
          <w:vertAlign w:val="baseline"/>
          <w:lang w:val="en-US" w:eastAsia="zh-CN" w:bidi="ar-SA"/>
        </w:rPr>
      </w:pPr>
      <w:r>
        <w:rPr>
          <w:rFonts w:hint="default" w:ascii="Times New Roman" w:hAnsi="Times New Roman" w:cs="Times New Roman" w:eastAsiaTheme="minorEastAsia"/>
          <w:color w:val="000000" w:themeColor="text1"/>
          <w:kern w:val="2"/>
          <w:sz w:val="24"/>
          <w:szCs w:val="20"/>
          <w:highlight w:val="none"/>
          <w:lang w:val="en-US" w:eastAsia="zh-CN" w:bidi="ar-SA"/>
          <w14:textFill>
            <w14:solidFill>
              <w14:schemeClr w14:val="tx1"/>
            </w14:solidFill>
          </w14:textFill>
        </w:rPr>
        <w:t>本项目占用</w:t>
      </w:r>
      <w:r>
        <w:rPr>
          <w:rFonts w:hint="eastAsia" w:ascii="宋体" w:hAnsi="宋体" w:eastAsia="宋体" w:cs="宋体"/>
          <w:color w:val="000000" w:themeColor="text1"/>
          <w:sz w:val="24"/>
          <w:lang w:val="en-US" w:eastAsia="zh-CN"/>
          <w14:textFill>
            <w14:solidFill>
              <w14:schemeClr w14:val="tx1"/>
            </w14:solidFill>
          </w14:textFill>
        </w:rPr>
        <w:t>西山地下饮用水源地二级保护区</w:t>
      </w:r>
      <w:r>
        <w:rPr>
          <w:rFonts w:hint="default" w:ascii="Times New Roman" w:hAnsi="Times New Roman" w:cs="Times New Roman" w:eastAsiaTheme="minorEastAsia"/>
          <w:color w:val="000000" w:themeColor="text1"/>
          <w:kern w:val="2"/>
          <w:sz w:val="24"/>
          <w:szCs w:val="20"/>
          <w:highlight w:val="none"/>
          <w:lang w:val="en-US" w:eastAsia="zh-CN" w:bidi="ar-SA"/>
          <w14:textFill>
            <w14:solidFill>
              <w14:schemeClr w14:val="tx1"/>
            </w14:solidFill>
          </w14:textFill>
        </w:rPr>
        <w:t>面积</w:t>
      </w:r>
      <w:r>
        <w:rPr>
          <w:rFonts w:hint="eastAsia" w:cs="Times New Roman" w:eastAsiaTheme="minorEastAsia"/>
          <w:color w:val="000000" w:themeColor="text1"/>
          <w:kern w:val="2"/>
          <w:sz w:val="24"/>
          <w:szCs w:val="20"/>
          <w:highlight w:val="none"/>
          <w:lang w:val="en-US" w:eastAsia="zh-CN" w:bidi="ar-SA"/>
          <w14:textFill>
            <w14:solidFill>
              <w14:schemeClr w14:val="tx1"/>
            </w14:solidFill>
          </w14:textFill>
        </w:rPr>
        <w:t>23387</w:t>
      </w:r>
      <w:r>
        <w:rPr>
          <w:rFonts w:hint="default" w:ascii="Times New Roman" w:hAnsi="Times New Roman" w:cs="Times New Roman" w:eastAsiaTheme="minorEastAsia"/>
          <w:color w:val="000000" w:themeColor="text1"/>
          <w:kern w:val="2"/>
          <w:sz w:val="24"/>
          <w:szCs w:val="20"/>
          <w:highlight w:val="none"/>
          <w:lang w:val="en-US" w:eastAsia="zh-CN" w:bidi="ar-SA"/>
          <w14:textFill>
            <w14:solidFill>
              <w14:schemeClr w14:val="tx1"/>
            </w14:solidFill>
          </w14:textFill>
        </w:rPr>
        <w:t>m</w:t>
      </w:r>
      <w:r>
        <w:rPr>
          <w:rFonts w:hint="default" w:ascii="Times New Roman" w:hAnsi="Times New Roman" w:cs="Times New Roman" w:eastAsiaTheme="minorEastAsia"/>
          <w:color w:val="000000" w:themeColor="text1"/>
          <w:kern w:val="2"/>
          <w:sz w:val="24"/>
          <w:szCs w:val="20"/>
          <w:highlight w:val="none"/>
          <w:vertAlign w:val="superscript"/>
          <w:lang w:val="en-US" w:eastAsia="zh-CN" w:bidi="ar-SA"/>
          <w14:textFill>
            <w14:solidFill>
              <w14:schemeClr w14:val="tx1"/>
            </w14:solidFill>
          </w14:textFill>
        </w:rPr>
        <w:t>2</w:t>
      </w:r>
      <w:r>
        <w:rPr>
          <w:rFonts w:hint="default" w:ascii="Times New Roman" w:hAnsi="Times New Roman" w:cs="Times New Roman" w:eastAsiaTheme="minorEastAsia"/>
          <w:color w:val="000000" w:themeColor="text1"/>
          <w:kern w:val="2"/>
          <w:sz w:val="24"/>
          <w:szCs w:val="20"/>
          <w:highlight w:val="none"/>
          <w:lang w:val="en-US" w:eastAsia="zh-CN" w:bidi="ar-SA"/>
          <w14:textFill>
            <w14:solidFill>
              <w14:schemeClr w14:val="tx1"/>
            </w14:solidFill>
          </w14:textFill>
        </w:rPr>
        <w:t>，其中</w:t>
      </w:r>
      <w:r>
        <w:rPr>
          <w:rFonts w:hint="default" w:ascii="Times New Roman" w:hAnsi="Times New Roman" w:cs="Times New Roman" w:eastAsiaTheme="minorEastAsia"/>
          <w:color w:val="000000" w:themeColor="text1"/>
          <w:kern w:val="0"/>
          <w:sz w:val="24"/>
          <w:szCs w:val="20"/>
          <w:highlight w:val="none"/>
          <w:lang w:val="en-US" w:eastAsia="zh-CN" w:bidi="ar-SA"/>
          <w14:textFill>
            <w14:solidFill>
              <w14:schemeClr w14:val="tx1"/>
            </w14:solidFill>
          </w14:textFill>
        </w:rPr>
        <w:t>永久占地面积约</w:t>
      </w:r>
      <w:r>
        <w:rPr>
          <w:rFonts w:hint="eastAsia" w:cs="Times New Roman" w:eastAsiaTheme="minorEastAsia"/>
          <w:color w:val="000000" w:themeColor="text1"/>
          <w:kern w:val="0"/>
          <w:sz w:val="24"/>
          <w:szCs w:val="20"/>
          <w:highlight w:val="none"/>
          <w:lang w:val="en-US" w:eastAsia="zh-CN" w:bidi="ar-SA"/>
          <w14:textFill>
            <w14:solidFill>
              <w14:schemeClr w14:val="tx1"/>
            </w14:solidFill>
          </w14:textFill>
        </w:rPr>
        <w:t>9637</w:t>
      </w:r>
      <w:r>
        <w:rPr>
          <w:rFonts w:hint="default" w:ascii="Times New Roman" w:hAnsi="Times New Roman" w:cs="Times New Roman" w:eastAsiaTheme="minorEastAsia"/>
          <w:color w:val="000000" w:themeColor="text1"/>
          <w:kern w:val="0"/>
          <w:sz w:val="24"/>
          <w:szCs w:val="20"/>
          <w:highlight w:val="none"/>
          <w:lang w:val="en-US" w:eastAsia="zh-CN" w:bidi="ar-SA"/>
          <w14:textFill>
            <w14:solidFill>
              <w14:schemeClr w14:val="tx1"/>
            </w14:solidFill>
          </w14:textFill>
        </w:rPr>
        <w:t>m</w:t>
      </w:r>
      <w:r>
        <w:rPr>
          <w:rFonts w:hint="default" w:ascii="Times New Roman" w:hAnsi="Times New Roman" w:cs="Times New Roman" w:eastAsiaTheme="minorEastAsia"/>
          <w:color w:val="000000" w:themeColor="text1"/>
          <w:kern w:val="0"/>
          <w:sz w:val="24"/>
          <w:szCs w:val="20"/>
          <w:highlight w:val="none"/>
          <w:vertAlign w:val="superscript"/>
          <w:lang w:val="en-US" w:eastAsia="zh-CN" w:bidi="ar-SA"/>
          <w14:textFill>
            <w14:solidFill>
              <w14:schemeClr w14:val="tx1"/>
            </w14:solidFill>
          </w14:textFill>
        </w:rPr>
        <w:t>2</w:t>
      </w:r>
      <w:r>
        <w:rPr>
          <w:rFonts w:hint="default" w:ascii="Times New Roman" w:hAnsi="Times New Roman" w:cs="Times New Roman" w:eastAsiaTheme="minorEastAsia"/>
          <w:color w:val="000000" w:themeColor="text1"/>
          <w:kern w:val="0"/>
          <w:sz w:val="24"/>
          <w:szCs w:val="20"/>
          <w:highlight w:val="none"/>
          <w:lang w:val="en-US" w:eastAsia="zh-CN" w:bidi="ar-SA"/>
          <w14:textFill>
            <w14:solidFill>
              <w14:schemeClr w14:val="tx1"/>
            </w14:solidFill>
          </w14:textFill>
        </w:rPr>
        <w:t>，临时占地面积约</w:t>
      </w:r>
      <w:r>
        <w:rPr>
          <w:rFonts w:hint="eastAsia" w:cs="Times New Roman" w:eastAsiaTheme="minorEastAsia"/>
          <w:color w:val="000000" w:themeColor="text1"/>
          <w:kern w:val="0"/>
          <w:sz w:val="24"/>
          <w:szCs w:val="20"/>
          <w:highlight w:val="none"/>
          <w:lang w:val="en-US" w:eastAsia="zh-CN" w:bidi="ar-SA"/>
          <w14:textFill>
            <w14:solidFill>
              <w14:schemeClr w14:val="tx1"/>
            </w14:solidFill>
          </w14:textFill>
        </w:rPr>
        <w:t>13750</w:t>
      </w:r>
      <w:r>
        <w:rPr>
          <w:rFonts w:hint="default" w:ascii="Times New Roman" w:hAnsi="Times New Roman" w:cs="Times New Roman" w:eastAsiaTheme="minorEastAsia"/>
          <w:color w:val="000000" w:themeColor="text1"/>
          <w:kern w:val="0"/>
          <w:sz w:val="24"/>
          <w:szCs w:val="20"/>
          <w:highlight w:val="none"/>
          <w:lang w:val="en-US" w:eastAsia="zh-CN" w:bidi="ar-SA"/>
          <w14:textFill>
            <w14:solidFill>
              <w14:schemeClr w14:val="tx1"/>
            </w14:solidFill>
          </w14:textFill>
        </w:rPr>
        <w:t>m</w:t>
      </w:r>
      <w:r>
        <w:rPr>
          <w:rFonts w:hint="default" w:ascii="Times New Roman" w:hAnsi="Times New Roman" w:cs="Times New Roman" w:eastAsiaTheme="minorEastAsia"/>
          <w:color w:val="000000" w:themeColor="text1"/>
          <w:kern w:val="0"/>
          <w:sz w:val="24"/>
          <w:szCs w:val="20"/>
          <w:highlight w:val="none"/>
          <w:vertAlign w:val="superscript"/>
          <w:lang w:val="en-US" w:eastAsia="zh-CN" w:bidi="ar-SA"/>
          <w14:textFill>
            <w14:solidFill>
              <w14:schemeClr w14:val="tx1"/>
            </w14:solidFill>
          </w14:textFill>
        </w:rPr>
        <w:t>2</w:t>
      </w:r>
      <w:r>
        <w:rPr>
          <w:rFonts w:hint="eastAsia" w:cs="Times New Roman" w:eastAsiaTheme="minorEastAsia"/>
          <w:color w:val="000000" w:themeColor="text1"/>
          <w:kern w:val="0"/>
          <w:sz w:val="24"/>
          <w:szCs w:val="20"/>
          <w:highlight w:val="none"/>
          <w:vertAlign w:val="baseline"/>
          <w:lang w:val="en-US" w:eastAsia="zh-CN" w:bidi="ar-SA"/>
          <w14:textFill>
            <w14:solidFill>
              <w14:schemeClr w14:val="tx1"/>
            </w14:solidFill>
          </w14:textFill>
        </w:rPr>
        <w:t>；</w:t>
      </w:r>
      <w:r>
        <w:rPr>
          <w:rFonts w:hint="default" w:ascii="Times New Roman" w:hAnsi="Times New Roman" w:cs="Times New Roman" w:eastAsiaTheme="minorEastAsia"/>
          <w:color w:val="000000" w:themeColor="text1"/>
          <w:kern w:val="2"/>
          <w:sz w:val="24"/>
          <w:szCs w:val="20"/>
          <w:highlight w:val="none"/>
          <w:lang w:val="en-US" w:eastAsia="zh-CN" w:bidi="ar-SA"/>
          <w14:textFill>
            <w14:solidFill>
              <w14:schemeClr w14:val="tx1"/>
            </w14:solidFill>
          </w14:textFill>
        </w:rPr>
        <w:t>占用</w:t>
      </w:r>
      <w:r>
        <w:rPr>
          <w:rFonts w:hint="eastAsia" w:ascii="宋体" w:hAnsi="宋体" w:eastAsia="宋体"/>
          <w:color w:val="000000" w:themeColor="text1"/>
          <w:sz w:val="24"/>
          <w:highlight w:val="none"/>
          <w14:textFill>
            <w14:solidFill>
              <w14:schemeClr w14:val="tx1"/>
            </w14:solidFill>
          </w14:textFill>
        </w:rPr>
        <w:t>甘河子（含铁路专供）</w:t>
      </w:r>
      <w:r>
        <w:rPr>
          <w:rFonts w:hint="eastAsia" w:ascii="宋体" w:hAnsi="宋体" w:eastAsia="宋体"/>
          <w:color w:val="000000" w:themeColor="text1"/>
          <w:sz w:val="24"/>
          <w:highlight w:val="none"/>
          <w:lang w:val="en-US" w:eastAsia="zh-CN"/>
          <w14:textFill>
            <w14:solidFill>
              <w14:schemeClr w14:val="tx1"/>
            </w14:solidFill>
          </w14:textFill>
        </w:rPr>
        <w:t>地下饮用</w:t>
      </w:r>
      <w:r>
        <w:rPr>
          <w:rFonts w:hint="eastAsia" w:ascii="宋体" w:hAnsi="宋体" w:eastAsia="宋体"/>
          <w:color w:val="000000" w:themeColor="text1"/>
          <w:sz w:val="24"/>
          <w:highlight w:val="none"/>
          <w14:textFill>
            <w14:solidFill>
              <w14:schemeClr w14:val="tx1"/>
            </w14:solidFill>
          </w14:textFill>
        </w:rPr>
        <w:t>水源地</w:t>
      </w:r>
      <w:r>
        <w:rPr>
          <w:rFonts w:hint="eastAsia" w:ascii="宋体" w:hAnsi="宋体" w:eastAsia="宋体"/>
          <w:color w:val="000000" w:themeColor="text1"/>
          <w:sz w:val="24"/>
          <w:highlight w:val="none"/>
          <w:lang w:val="en-US" w:eastAsia="zh-CN"/>
          <w14:textFill>
            <w14:solidFill>
              <w14:schemeClr w14:val="tx1"/>
            </w14:solidFill>
          </w14:textFill>
        </w:rPr>
        <w:t>二级保护区</w:t>
      </w:r>
      <w:r>
        <w:rPr>
          <w:rFonts w:hint="default" w:ascii="Times New Roman" w:hAnsi="Times New Roman" w:cs="Times New Roman" w:eastAsiaTheme="minorEastAsia"/>
          <w:color w:val="000000" w:themeColor="text1"/>
          <w:kern w:val="2"/>
          <w:sz w:val="24"/>
          <w:szCs w:val="20"/>
          <w:highlight w:val="none"/>
          <w:lang w:val="en-US" w:eastAsia="zh-CN" w:bidi="ar-SA"/>
          <w14:textFill>
            <w14:solidFill>
              <w14:schemeClr w14:val="tx1"/>
            </w14:solidFill>
          </w14:textFill>
        </w:rPr>
        <w:t>面积</w:t>
      </w:r>
      <w:r>
        <w:rPr>
          <w:rFonts w:hint="eastAsia" w:cs="Times New Roman" w:eastAsiaTheme="minorEastAsia"/>
          <w:color w:val="000000" w:themeColor="text1"/>
          <w:kern w:val="2"/>
          <w:sz w:val="24"/>
          <w:szCs w:val="20"/>
          <w:highlight w:val="none"/>
          <w:lang w:val="en-US" w:eastAsia="zh-CN" w:bidi="ar-SA"/>
          <w14:textFill>
            <w14:solidFill>
              <w14:schemeClr w14:val="tx1"/>
            </w14:solidFill>
          </w14:textFill>
        </w:rPr>
        <w:t>31557</w:t>
      </w:r>
      <w:r>
        <w:rPr>
          <w:rFonts w:hint="default" w:ascii="Times New Roman" w:hAnsi="Times New Roman" w:cs="Times New Roman" w:eastAsiaTheme="minorEastAsia"/>
          <w:color w:val="000000" w:themeColor="text1"/>
          <w:kern w:val="2"/>
          <w:sz w:val="24"/>
          <w:szCs w:val="20"/>
          <w:highlight w:val="none"/>
          <w:lang w:val="en-US" w:eastAsia="zh-CN" w:bidi="ar-SA"/>
          <w14:textFill>
            <w14:solidFill>
              <w14:schemeClr w14:val="tx1"/>
            </w14:solidFill>
          </w14:textFill>
        </w:rPr>
        <w:t>m</w:t>
      </w:r>
      <w:r>
        <w:rPr>
          <w:rFonts w:hint="default" w:ascii="Times New Roman" w:hAnsi="Times New Roman" w:cs="Times New Roman" w:eastAsiaTheme="minorEastAsia"/>
          <w:color w:val="000000" w:themeColor="text1"/>
          <w:kern w:val="2"/>
          <w:sz w:val="24"/>
          <w:szCs w:val="20"/>
          <w:highlight w:val="none"/>
          <w:vertAlign w:val="superscript"/>
          <w:lang w:val="en-US" w:eastAsia="zh-CN" w:bidi="ar-SA"/>
          <w14:textFill>
            <w14:solidFill>
              <w14:schemeClr w14:val="tx1"/>
            </w14:solidFill>
          </w14:textFill>
        </w:rPr>
        <w:t>2</w:t>
      </w:r>
      <w:r>
        <w:rPr>
          <w:rFonts w:hint="default" w:ascii="Times New Roman" w:hAnsi="Times New Roman" w:cs="Times New Roman" w:eastAsiaTheme="minorEastAsia"/>
          <w:color w:val="000000" w:themeColor="text1"/>
          <w:kern w:val="2"/>
          <w:sz w:val="24"/>
          <w:szCs w:val="20"/>
          <w:highlight w:val="none"/>
          <w:lang w:val="en-US" w:eastAsia="zh-CN" w:bidi="ar-SA"/>
          <w14:textFill>
            <w14:solidFill>
              <w14:schemeClr w14:val="tx1"/>
            </w14:solidFill>
          </w14:textFill>
        </w:rPr>
        <w:t>，其中</w:t>
      </w:r>
      <w:r>
        <w:rPr>
          <w:rFonts w:hint="default" w:ascii="Times New Roman" w:hAnsi="Times New Roman" w:cs="Times New Roman" w:eastAsiaTheme="minorEastAsia"/>
          <w:color w:val="000000" w:themeColor="text1"/>
          <w:kern w:val="0"/>
          <w:sz w:val="24"/>
          <w:szCs w:val="20"/>
          <w:highlight w:val="none"/>
          <w:lang w:val="en-US" w:eastAsia="zh-CN" w:bidi="ar-SA"/>
          <w14:textFill>
            <w14:solidFill>
              <w14:schemeClr w14:val="tx1"/>
            </w14:solidFill>
          </w14:textFill>
        </w:rPr>
        <w:t>永久占地面积约</w:t>
      </w:r>
      <w:r>
        <w:rPr>
          <w:rFonts w:hint="eastAsia" w:cs="Times New Roman" w:eastAsiaTheme="minorEastAsia"/>
          <w:color w:val="000000" w:themeColor="text1"/>
          <w:kern w:val="0"/>
          <w:sz w:val="24"/>
          <w:szCs w:val="20"/>
          <w:highlight w:val="none"/>
          <w:lang w:val="en-US" w:eastAsia="zh-CN" w:bidi="ar-SA"/>
          <w14:textFill>
            <w14:solidFill>
              <w14:schemeClr w14:val="tx1"/>
            </w14:solidFill>
          </w14:textFill>
        </w:rPr>
        <w:t>14932</w:t>
      </w:r>
      <w:r>
        <w:rPr>
          <w:rFonts w:hint="default" w:ascii="Times New Roman" w:hAnsi="Times New Roman" w:cs="Times New Roman" w:eastAsiaTheme="minorEastAsia"/>
          <w:color w:val="000000" w:themeColor="text1"/>
          <w:kern w:val="0"/>
          <w:sz w:val="24"/>
          <w:szCs w:val="20"/>
          <w:highlight w:val="none"/>
          <w:lang w:val="en-US" w:eastAsia="zh-CN" w:bidi="ar-SA"/>
          <w14:textFill>
            <w14:solidFill>
              <w14:schemeClr w14:val="tx1"/>
            </w14:solidFill>
          </w14:textFill>
        </w:rPr>
        <w:t>m</w:t>
      </w:r>
      <w:r>
        <w:rPr>
          <w:rFonts w:hint="default" w:ascii="Times New Roman" w:hAnsi="Times New Roman" w:cs="Times New Roman" w:eastAsiaTheme="minorEastAsia"/>
          <w:color w:val="000000" w:themeColor="text1"/>
          <w:kern w:val="0"/>
          <w:sz w:val="24"/>
          <w:szCs w:val="20"/>
          <w:highlight w:val="none"/>
          <w:vertAlign w:val="superscript"/>
          <w:lang w:val="en-US" w:eastAsia="zh-CN" w:bidi="ar-SA"/>
          <w14:textFill>
            <w14:solidFill>
              <w14:schemeClr w14:val="tx1"/>
            </w14:solidFill>
          </w14:textFill>
        </w:rPr>
        <w:t>2</w:t>
      </w:r>
      <w:r>
        <w:rPr>
          <w:rFonts w:hint="default" w:ascii="Times New Roman" w:hAnsi="Times New Roman" w:cs="Times New Roman" w:eastAsiaTheme="minorEastAsia"/>
          <w:color w:val="000000" w:themeColor="text1"/>
          <w:kern w:val="0"/>
          <w:sz w:val="24"/>
          <w:szCs w:val="20"/>
          <w:highlight w:val="none"/>
          <w:lang w:val="en-US" w:eastAsia="zh-CN" w:bidi="ar-SA"/>
          <w14:textFill>
            <w14:solidFill>
              <w14:schemeClr w14:val="tx1"/>
            </w14:solidFill>
          </w14:textFill>
        </w:rPr>
        <w:t>，临时占地面积约</w:t>
      </w:r>
      <w:r>
        <w:rPr>
          <w:rFonts w:hint="eastAsia" w:cs="Times New Roman" w:eastAsiaTheme="minorEastAsia"/>
          <w:color w:val="000000" w:themeColor="text1"/>
          <w:kern w:val="0"/>
          <w:sz w:val="24"/>
          <w:szCs w:val="20"/>
          <w:highlight w:val="none"/>
          <w:lang w:val="en-US" w:eastAsia="zh-CN" w:bidi="ar-SA"/>
          <w14:textFill>
            <w14:solidFill>
              <w14:schemeClr w14:val="tx1"/>
            </w14:solidFill>
          </w14:textFill>
        </w:rPr>
        <w:t>16625</w:t>
      </w:r>
      <w:r>
        <w:rPr>
          <w:rFonts w:hint="default" w:ascii="Times New Roman" w:hAnsi="Times New Roman" w:cs="Times New Roman" w:eastAsiaTheme="minorEastAsia"/>
          <w:color w:val="000000" w:themeColor="text1"/>
          <w:kern w:val="0"/>
          <w:sz w:val="24"/>
          <w:szCs w:val="20"/>
          <w:highlight w:val="none"/>
          <w:lang w:val="en-US" w:eastAsia="zh-CN" w:bidi="ar-SA"/>
          <w14:textFill>
            <w14:solidFill>
              <w14:schemeClr w14:val="tx1"/>
            </w14:solidFill>
          </w14:textFill>
        </w:rPr>
        <w:t>m</w:t>
      </w:r>
      <w:r>
        <w:rPr>
          <w:rFonts w:hint="default" w:ascii="Times New Roman" w:hAnsi="Times New Roman" w:cs="Times New Roman" w:eastAsiaTheme="minorEastAsia"/>
          <w:color w:val="000000" w:themeColor="text1"/>
          <w:kern w:val="0"/>
          <w:sz w:val="24"/>
          <w:szCs w:val="20"/>
          <w:highlight w:val="none"/>
          <w:vertAlign w:val="superscript"/>
          <w:lang w:val="en-US" w:eastAsia="zh-CN" w:bidi="ar-SA"/>
          <w14:textFill>
            <w14:solidFill>
              <w14:schemeClr w14:val="tx1"/>
            </w14:solidFill>
          </w14:textFill>
        </w:rPr>
        <w:t>2</w:t>
      </w:r>
      <w:r>
        <w:rPr>
          <w:rFonts w:hint="eastAsia" w:cs="Times New Roman" w:eastAsiaTheme="minorEastAsia"/>
          <w:color w:val="000000" w:themeColor="text1"/>
          <w:kern w:val="0"/>
          <w:sz w:val="24"/>
          <w:szCs w:val="20"/>
          <w:highlight w:val="none"/>
          <w:vertAlign w:val="baseline"/>
          <w:lang w:val="en-US" w:eastAsia="zh-CN" w:bidi="ar-SA"/>
          <w14:textFill>
            <w14:solidFill>
              <w14:schemeClr w14:val="tx1"/>
            </w14:solidFill>
          </w14:textFill>
        </w:rPr>
        <w:t>；</w:t>
      </w:r>
      <w:r>
        <w:rPr>
          <w:rFonts w:hint="default" w:ascii="Times New Roman" w:hAnsi="Times New Roman" w:cs="Times New Roman" w:eastAsiaTheme="minorEastAsia"/>
          <w:color w:val="000000" w:themeColor="text1"/>
          <w:kern w:val="0"/>
          <w:sz w:val="24"/>
          <w:szCs w:val="20"/>
          <w:highlight w:val="none"/>
          <w:vertAlign w:val="baseline"/>
          <w:lang w:val="en-US" w:eastAsia="zh-CN" w:bidi="ar-SA"/>
          <w14:textFill>
            <w14:solidFill>
              <w14:schemeClr w14:val="tx1"/>
            </w14:solidFill>
          </w14:textFill>
        </w:rPr>
        <w:t>占用</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乌拉泊、柴西、柴北、西山、甘河子（含铁路专供）准保护区</w:t>
      </w:r>
      <w:r>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面积</w:t>
      </w:r>
      <w:r>
        <w:rPr>
          <w:rFonts w:hint="eastAsia" w:cs="Times New Roman" w:eastAsiaTheme="minorEastAsia"/>
          <w:color w:val="000000" w:themeColor="text1"/>
          <w:kern w:val="2"/>
          <w:sz w:val="24"/>
          <w:szCs w:val="20"/>
          <w:highlight w:val="none"/>
          <w:lang w:val="en-US" w:eastAsia="zh-CN" w:bidi="ar-SA"/>
          <w14:textFill>
            <w14:solidFill>
              <w14:schemeClr w14:val="tx1"/>
            </w14:solidFill>
          </w14:textFill>
        </w:rPr>
        <w:t>83297</w:t>
      </w:r>
      <w:r>
        <w:rPr>
          <w:rFonts w:hint="default" w:ascii="Times New Roman" w:hAnsi="Times New Roman" w:cs="Times New Roman" w:eastAsiaTheme="minorEastAsia"/>
          <w:color w:val="000000" w:themeColor="text1"/>
          <w:kern w:val="2"/>
          <w:sz w:val="24"/>
          <w:szCs w:val="20"/>
          <w:highlight w:val="none"/>
          <w:lang w:val="en-US" w:eastAsia="zh-CN" w:bidi="ar-SA"/>
          <w14:textFill>
            <w14:solidFill>
              <w14:schemeClr w14:val="tx1"/>
            </w14:solidFill>
          </w14:textFill>
        </w:rPr>
        <w:t>m</w:t>
      </w:r>
      <w:r>
        <w:rPr>
          <w:rFonts w:hint="default" w:ascii="Times New Roman" w:hAnsi="Times New Roman" w:cs="Times New Roman" w:eastAsiaTheme="minorEastAsia"/>
          <w:color w:val="000000" w:themeColor="text1"/>
          <w:kern w:val="2"/>
          <w:sz w:val="24"/>
          <w:szCs w:val="20"/>
          <w:highlight w:val="none"/>
          <w:vertAlign w:val="superscript"/>
          <w:lang w:val="en-US" w:eastAsia="zh-CN" w:bidi="ar-SA"/>
          <w14:textFill>
            <w14:solidFill>
              <w14:schemeClr w14:val="tx1"/>
            </w14:solidFill>
          </w14:textFill>
        </w:rPr>
        <w:t>2</w:t>
      </w:r>
      <w:r>
        <w:rPr>
          <w:rFonts w:hint="default" w:ascii="Times New Roman" w:hAnsi="Times New Roman" w:cs="Times New Roman" w:eastAsiaTheme="minorEastAsia"/>
          <w:color w:val="000000" w:themeColor="text1"/>
          <w:kern w:val="2"/>
          <w:sz w:val="24"/>
          <w:szCs w:val="20"/>
          <w:highlight w:val="none"/>
          <w:lang w:val="en-US" w:eastAsia="zh-CN" w:bidi="ar-SA"/>
          <w14:textFill>
            <w14:solidFill>
              <w14:schemeClr w14:val="tx1"/>
            </w14:solidFill>
          </w14:textFill>
        </w:rPr>
        <w:t>，其中</w:t>
      </w:r>
      <w:r>
        <w:rPr>
          <w:rFonts w:hint="default" w:ascii="Times New Roman" w:hAnsi="Times New Roman" w:cs="Times New Roman" w:eastAsiaTheme="minorEastAsia"/>
          <w:color w:val="000000" w:themeColor="text1"/>
          <w:kern w:val="0"/>
          <w:sz w:val="24"/>
          <w:szCs w:val="20"/>
          <w:highlight w:val="none"/>
          <w:lang w:val="en-US" w:eastAsia="zh-CN" w:bidi="ar-SA"/>
          <w14:textFill>
            <w14:solidFill>
              <w14:schemeClr w14:val="tx1"/>
            </w14:solidFill>
          </w14:textFill>
        </w:rPr>
        <w:t>永久占地面积约</w:t>
      </w:r>
      <w:r>
        <w:rPr>
          <w:rFonts w:hint="eastAsia" w:cs="Times New Roman" w:eastAsiaTheme="minorEastAsia"/>
          <w:color w:val="000000" w:themeColor="text1"/>
          <w:kern w:val="0"/>
          <w:sz w:val="24"/>
          <w:szCs w:val="20"/>
          <w:highlight w:val="none"/>
          <w:lang w:val="en-US" w:eastAsia="zh-CN" w:bidi="ar-SA"/>
          <w14:textFill>
            <w14:solidFill>
              <w14:schemeClr w14:val="tx1"/>
            </w14:solidFill>
          </w14:textFill>
        </w:rPr>
        <w:t>27547</w:t>
      </w:r>
      <w:r>
        <w:rPr>
          <w:rFonts w:hint="default" w:ascii="Times New Roman" w:hAnsi="Times New Roman" w:cs="Times New Roman" w:eastAsiaTheme="minorEastAsia"/>
          <w:color w:val="000000" w:themeColor="text1"/>
          <w:kern w:val="0"/>
          <w:sz w:val="24"/>
          <w:szCs w:val="20"/>
          <w:highlight w:val="none"/>
          <w:lang w:val="en-US" w:eastAsia="zh-CN" w:bidi="ar-SA"/>
          <w14:textFill>
            <w14:solidFill>
              <w14:schemeClr w14:val="tx1"/>
            </w14:solidFill>
          </w14:textFill>
        </w:rPr>
        <w:t>m</w:t>
      </w:r>
      <w:r>
        <w:rPr>
          <w:rFonts w:hint="default" w:ascii="Times New Roman" w:hAnsi="Times New Roman" w:cs="Times New Roman" w:eastAsiaTheme="minorEastAsia"/>
          <w:color w:val="000000" w:themeColor="text1"/>
          <w:kern w:val="0"/>
          <w:sz w:val="24"/>
          <w:szCs w:val="20"/>
          <w:highlight w:val="none"/>
          <w:vertAlign w:val="superscript"/>
          <w:lang w:val="en-US" w:eastAsia="zh-CN" w:bidi="ar-SA"/>
          <w14:textFill>
            <w14:solidFill>
              <w14:schemeClr w14:val="tx1"/>
            </w14:solidFill>
          </w14:textFill>
        </w:rPr>
        <w:t>2</w:t>
      </w:r>
      <w:r>
        <w:rPr>
          <w:rFonts w:hint="default" w:ascii="Times New Roman" w:hAnsi="Times New Roman" w:cs="Times New Roman" w:eastAsiaTheme="minorEastAsia"/>
          <w:color w:val="000000" w:themeColor="text1"/>
          <w:kern w:val="0"/>
          <w:sz w:val="24"/>
          <w:szCs w:val="20"/>
          <w:highlight w:val="none"/>
          <w:lang w:val="en-US" w:eastAsia="zh-CN" w:bidi="ar-SA"/>
          <w14:textFill>
            <w14:solidFill>
              <w14:schemeClr w14:val="tx1"/>
            </w14:solidFill>
          </w14:textFill>
        </w:rPr>
        <w:t>，临时占地面积约</w:t>
      </w:r>
      <w:r>
        <w:rPr>
          <w:rFonts w:hint="eastAsia" w:cs="Times New Roman" w:eastAsiaTheme="minorEastAsia"/>
          <w:color w:val="000000" w:themeColor="text1"/>
          <w:kern w:val="0"/>
          <w:sz w:val="24"/>
          <w:szCs w:val="20"/>
          <w:highlight w:val="none"/>
          <w:lang w:val="en-US" w:eastAsia="zh-CN" w:bidi="ar-SA"/>
          <w14:textFill>
            <w14:solidFill>
              <w14:schemeClr w14:val="tx1"/>
            </w14:solidFill>
          </w14:textFill>
        </w:rPr>
        <w:t>55750</w:t>
      </w:r>
      <w:r>
        <w:rPr>
          <w:rFonts w:hint="default" w:ascii="Times New Roman" w:hAnsi="Times New Roman" w:cs="Times New Roman" w:eastAsiaTheme="minorEastAsia"/>
          <w:color w:val="000000" w:themeColor="text1"/>
          <w:kern w:val="0"/>
          <w:sz w:val="24"/>
          <w:szCs w:val="20"/>
          <w:highlight w:val="none"/>
          <w:lang w:val="en-US" w:eastAsia="zh-CN" w:bidi="ar-SA"/>
          <w14:textFill>
            <w14:solidFill>
              <w14:schemeClr w14:val="tx1"/>
            </w14:solidFill>
          </w14:textFill>
        </w:rPr>
        <w:t>m</w:t>
      </w:r>
      <w:r>
        <w:rPr>
          <w:rFonts w:hint="default" w:ascii="Times New Roman" w:hAnsi="Times New Roman" w:cs="Times New Roman" w:eastAsiaTheme="minorEastAsia"/>
          <w:color w:val="000000" w:themeColor="text1"/>
          <w:kern w:val="0"/>
          <w:sz w:val="24"/>
          <w:szCs w:val="20"/>
          <w:highlight w:val="none"/>
          <w:vertAlign w:val="superscript"/>
          <w:lang w:val="en-US" w:eastAsia="zh-CN" w:bidi="ar-SA"/>
          <w14:textFill>
            <w14:solidFill>
              <w14:schemeClr w14:val="tx1"/>
            </w14:solidFill>
          </w14:textFill>
        </w:rPr>
        <w:t>2</w:t>
      </w:r>
      <w:r>
        <w:rPr>
          <w:rFonts w:hint="eastAsia" w:cs="Times New Roman" w:eastAsiaTheme="minorEastAsia"/>
          <w:color w:val="000000" w:themeColor="text1"/>
          <w:kern w:val="0"/>
          <w:sz w:val="24"/>
          <w:szCs w:val="20"/>
          <w:highlight w:val="none"/>
          <w:vertAlign w:val="baseline"/>
          <w:lang w:val="en-US" w:eastAsia="zh-CN" w:bidi="ar-SA"/>
          <w14:textFill>
            <w14:solidFill>
              <w14:schemeClr w14:val="tx1"/>
            </w14:solidFill>
          </w14:textFill>
        </w:rPr>
        <w:t>。具体详见“3.1.6”章节相关内容。</w:t>
      </w:r>
    </w:p>
    <w:p w14:paraId="5EB65B5F">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t>（2）本项目施工期对水源保护区影响分析</w:t>
      </w:r>
    </w:p>
    <w:p w14:paraId="27D22137">
      <w:pPr>
        <w:keepNext w:val="0"/>
        <w:keepLines w:val="0"/>
        <w:pageBreakBefore w:val="0"/>
        <w:widowControl w:val="0"/>
        <w:numPr>
          <w:ilvl w:val="0"/>
          <w:numId w:val="0"/>
        </w:numPr>
        <w:tabs>
          <w:tab w:val="left" w:pos="1260"/>
        </w:tabs>
        <w:kinsoku/>
        <w:wordWrap/>
        <w:overflowPunct/>
        <w:topLinePunct w:val="0"/>
        <w:autoSpaceDE/>
        <w:autoSpaceDN/>
        <w:bidi w:val="0"/>
        <w:adjustRightInd/>
        <w:snapToGrid/>
        <w:spacing w:line="360" w:lineRule="auto"/>
        <w:ind w:left="0" w:leftChars="0" w:firstLine="480" w:firstLineChars="200"/>
        <w:textAlignment w:val="auto"/>
        <w:outlineLvl w:val="9"/>
        <w:rPr>
          <w:rFonts w:hint="default" w:ascii="宋体" w:hAnsi="宋体" w:eastAsia="宋体" w:cs="宋体"/>
          <w:color w:val="000000" w:themeColor="text1"/>
          <w:sz w:val="24"/>
          <w:lang w:val="en-US" w:eastAsia="zh-CN"/>
          <w14:textFill>
            <w14:solidFill>
              <w14:schemeClr w14:val="tx1"/>
            </w14:solidFill>
          </w14:textFill>
        </w:rPr>
      </w:pPr>
      <w:r>
        <w:rPr>
          <w:rFonts w:hint="default" w:ascii="宋体" w:hAnsi="宋体" w:eastAsia="宋体" w:cs="宋体"/>
          <w:color w:val="000000" w:themeColor="text1"/>
          <w:sz w:val="24"/>
          <w:lang w:val="en-US" w:eastAsia="zh-CN"/>
          <w14:textFill>
            <w14:solidFill>
              <w14:schemeClr w14:val="tx1"/>
            </w14:solidFill>
          </w14:textFill>
        </w:rPr>
        <w:t>本项目施工期对水源保护区的影响途径主要有：①风电场施工临建区域生活污水排放对水源保护区地下潜水水质的影响。②风电场风机和箱变基础施工过程中混凝土浇筑废水对水源保护区地下潜水水质的影响。③施工临建场地施工固废未合理处置，渗滤液对水源保护区地下潜水水质的影响。④风电及箱变、集电线路杆塔永久占地、施工道路、风机吊装平台、集电线路埋地敷设等临时占地破坏地表植被和砾幕层，加剧水源保护区水土流失。</w:t>
      </w:r>
    </w:p>
    <w:p w14:paraId="767DD252">
      <w:pPr>
        <w:keepNext w:val="0"/>
        <w:keepLines w:val="0"/>
        <w:pageBreakBefore w:val="0"/>
        <w:widowControl w:val="0"/>
        <w:numPr>
          <w:ilvl w:val="0"/>
          <w:numId w:val="0"/>
        </w:numPr>
        <w:tabs>
          <w:tab w:val="left" w:pos="1260"/>
        </w:tabs>
        <w:kinsoku/>
        <w:wordWrap/>
        <w:overflowPunct/>
        <w:topLinePunct w:val="0"/>
        <w:autoSpaceDE/>
        <w:autoSpaceDN/>
        <w:bidi w:val="0"/>
        <w:adjustRightInd/>
        <w:snapToGrid/>
        <w:spacing w:line="360" w:lineRule="auto"/>
        <w:ind w:left="0" w:leftChars="0" w:firstLine="480" w:firstLineChars="200"/>
        <w:textAlignment w:val="auto"/>
        <w:outlineLvl w:val="9"/>
        <w:rPr>
          <w:rFonts w:hint="default" w:ascii="宋体" w:hAnsi="宋体" w:eastAsia="宋体" w:cs="宋体"/>
          <w:color w:val="000000" w:themeColor="text1"/>
          <w:sz w:val="24"/>
          <w:lang w:val="en-US" w:eastAsia="zh-CN"/>
          <w14:textFill>
            <w14:solidFill>
              <w14:schemeClr w14:val="tx1"/>
            </w14:solidFill>
          </w14:textFill>
        </w:rPr>
      </w:pPr>
      <w:r>
        <w:rPr>
          <w:rFonts w:hint="default" w:ascii="宋体" w:hAnsi="宋体" w:eastAsia="宋体" w:cs="宋体"/>
          <w:color w:val="000000" w:themeColor="text1"/>
          <w:sz w:val="24"/>
          <w:lang w:val="en-US" w:eastAsia="zh-CN"/>
          <w14:textFill>
            <w14:solidFill>
              <w14:schemeClr w14:val="tx1"/>
            </w14:solidFill>
          </w14:textFill>
        </w:rPr>
        <w:t>本项目</w:t>
      </w:r>
      <w:r>
        <w:rPr>
          <w:rFonts w:hint="eastAsia" w:ascii="宋体" w:hAnsi="宋体" w:eastAsia="宋体" w:cs="宋体"/>
          <w:color w:val="000000" w:themeColor="text1"/>
          <w:sz w:val="24"/>
          <w:lang w:val="en-US" w:eastAsia="zh-CN"/>
          <w14:textFill>
            <w14:solidFill>
              <w14:schemeClr w14:val="tx1"/>
            </w14:solidFill>
          </w14:textFill>
        </w:rPr>
        <w:t>一处</w:t>
      </w:r>
      <w:r>
        <w:rPr>
          <w:rFonts w:hint="default" w:ascii="宋体" w:hAnsi="宋体" w:eastAsia="宋体" w:cs="宋体"/>
          <w:color w:val="000000" w:themeColor="text1"/>
          <w:sz w:val="24"/>
          <w:lang w:val="en-US" w:eastAsia="zh-CN"/>
          <w14:textFill>
            <w14:solidFill>
              <w14:schemeClr w14:val="tx1"/>
            </w14:solidFill>
          </w14:textFill>
        </w:rPr>
        <w:t>施工临建区域位于</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乌拉泊、柴西、柴北、西山、甘河子（含铁路专供）准保护区</w:t>
      </w:r>
      <w:r>
        <w:rPr>
          <w:rFonts w:hint="default" w:ascii="宋体" w:hAnsi="宋体" w:eastAsia="宋体" w:cs="宋体"/>
          <w:color w:val="000000" w:themeColor="text1"/>
          <w:sz w:val="24"/>
          <w:lang w:val="en-US" w:eastAsia="zh-CN"/>
          <w14:textFill>
            <w14:solidFill>
              <w14:schemeClr w14:val="tx1"/>
            </w14:solidFill>
          </w14:textFill>
        </w:rPr>
        <w:t>，</w:t>
      </w:r>
      <w:r>
        <w:rPr>
          <w:rFonts w:hint="eastAsia" w:ascii="宋体" w:hAnsi="宋体" w:eastAsia="宋体" w:cs="宋体"/>
          <w:color w:val="000000" w:themeColor="text1"/>
          <w:sz w:val="24"/>
          <w:lang w:val="en-US" w:eastAsia="zh-CN"/>
          <w14:textFill>
            <w14:solidFill>
              <w14:schemeClr w14:val="tx1"/>
            </w14:solidFill>
          </w14:textFill>
        </w:rPr>
        <w:t>该临建区域</w:t>
      </w:r>
      <w:r>
        <w:rPr>
          <w:rFonts w:hint="default" w:ascii="宋体" w:hAnsi="宋体" w:eastAsia="宋体" w:cs="宋体"/>
          <w:color w:val="000000" w:themeColor="text1"/>
          <w:sz w:val="24"/>
          <w:lang w:val="en-US" w:eastAsia="zh-CN"/>
          <w14:textFill>
            <w14:solidFill>
              <w14:schemeClr w14:val="tx1"/>
            </w14:solidFill>
          </w14:textFill>
        </w:rPr>
        <w:t>施工期生活污水排放量约为</w:t>
      </w:r>
      <w:r>
        <w:rPr>
          <w:rFonts w:hint="eastAsia" w:ascii="宋体" w:hAnsi="宋体" w:eastAsia="宋体" w:cs="宋体"/>
          <w:color w:val="000000" w:themeColor="text1"/>
          <w:sz w:val="24"/>
          <w:lang w:val="en-US" w:eastAsia="zh-CN"/>
          <w14:textFill>
            <w14:solidFill>
              <w14:schemeClr w14:val="tx1"/>
            </w14:solidFill>
          </w14:textFill>
        </w:rPr>
        <w:t>480</w:t>
      </w:r>
      <w:r>
        <w:rPr>
          <w:rFonts w:hint="default" w:ascii="宋体" w:hAnsi="宋体" w:eastAsia="宋体" w:cs="宋体"/>
          <w:color w:val="000000" w:themeColor="text1"/>
          <w:sz w:val="24"/>
          <w:lang w:val="en-US" w:eastAsia="zh-CN"/>
          <w14:textFill>
            <w14:solidFill>
              <w14:schemeClr w14:val="tx1"/>
            </w14:solidFill>
          </w14:textFill>
        </w:rPr>
        <w:t>m</w:t>
      </w:r>
      <w:r>
        <w:rPr>
          <w:rFonts w:hint="default" w:ascii="宋体" w:hAnsi="宋体" w:eastAsia="宋体" w:cs="宋体"/>
          <w:color w:val="000000" w:themeColor="text1"/>
          <w:sz w:val="24"/>
          <w:vertAlign w:val="superscript"/>
          <w:lang w:val="en-US" w:eastAsia="zh-CN"/>
          <w14:textFill>
            <w14:solidFill>
              <w14:schemeClr w14:val="tx1"/>
            </w14:solidFill>
          </w14:textFill>
        </w:rPr>
        <w:t>3</w:t>
      </w:r>
      <w:r>
        <w:rPr>
          <w:rFonts w:hint="eastAsia" w:ascii="宋体" w:hAnsi="宋体" w:eastAsia="宋体" w:cs="宋体"/>
          <w:color w:val="000000" w:themeColor="text1"/>
          <w:sz w:val="24"/>
          <w:lang w:val="en-US" w:eastAsia="zh-CN"/>
          <w14:textFill>
            <w14:solidFill>
              <w14:schemeClr w14:val="tx1"/>
            </w14:solidFill>
          </w14:textFill>
        </w:rPr>
        <w:t>，</w:t>
      </w:r>
      <w:r>
        <w:rPr>
          <w:rFonts w:hint="default" w:ascii="宋体" w:hAnsi="宋体" w:eastAsia="宋体" w:cs="宋体"/>
          <w:color w:val="000000" w:themeColor="text1"/>
          <w:sz w:val="24"/>
          <w:lang w:val="en-US" w:eastAsia="zh-CN"/>
          <w14:textFill>
            <w14:solidFill>
              <w14:schemeClr w14:val="tx1"/>
            </w14:solidFill>
          </w14:textFill>
        </w:rPr>
        <w:t>设置移动环保厕所及1座100m</w:t>
      </w:r>
      <w:r>
        <w:rPr>
          <w:rFonts w:hint="default" w:ascii="宋体" w:hAnsi="宋体" w:eastAsia="宋体" w:cs="宋体"/>
          <w:color w:val="000000" w:themeColor="text1"/>
          <w:sz w:val="24"/>
          <w:vertAlign w:val="superscript"/>
          <w:lang w:val="en-US" w:eastAsia="zh-CN"/>
          <w14:textFill>
            <w14:solidFill>
              <w14:schemeClr w14:val="tx1"/>
            </w14:solidFill>
          </w14:textFill>
        </w:rPr>
        <w:t>3</w:t>
      </w:r>
      <w:r>
        <w:rPr>
          <w:rFonts w:hint="default" w:ascii="宋体" w:hAnsi="宋体" w:eastAsia="宋体" w:cs="宋体"/>
          <w:color w:val="000000" w:themeColor="text1"/>
          <w:sz w:val="24"/>
          <w:lang w:val="en-US" w:eastAsia="zh-CN"/>
          <w14:textFill>
            <w14:solidFill>
              <w14:schemeClr w14:val="tx1"/>
            </w14:solidFill>
          </w14:textFill>
        </w:rPr>
        <w:t>防渗污水收集池，营地食堂及洗漱废水排入防渗污水收集池；粪便污水排入环保厕所；生活污水及粪便污水定期拉运至污水处理厂处理。施工期结束后将临时废水处理设施拆除并进行相应的土地恢复和平整。</w:t>
      </w:r>
    </w:p>
    <w:p w14:paraId="79DA7CDC">
      <w:pPr>
        <w:keepNext w:val="0"/>
        <w:keepLines w:val="0"/>
        <w:pageBreakBefore w:val="0"/>
        <w:widowControl w:val="0"/>
        <w:numPr>
          <w:ilvl w:val="0"/>
          <w:numId w:val="0"/>
        </w:numPr>
        <w:tabs>
          <w:tab w:val="left" w:pos="1260"/>
        </w:tabs>
        <w:kinsoku/>
        <w:wordWrap/>
        <w:overflowPunct/>
        <w:topLinePunct w:val="0"/>
        <w:autoSpaceDE/>
        <w:autoSpaceDN/>
        <w:bidi w:val="0"/>
        <w:adjustRightInd/>
        <w:snapToGrid w:val="0"/>
        <w:spacing w:line="360" w:lineRule="auto"/>
        <w:ind w:left="0" w:leftChars="0" w:firstLine="480" w:firstLineChars="200"/>
        <w:textAlignment w:val="auto"/>
        <w:outlineLvl w:val="9"/>
        <w:rPr>
          <w:rFonts w:hint="default" w:ascii="宋体" w:hAnsi="宋体" w:eastAsia="宋体" w:cs="宋体"/>
          <w:color w:val="000000" w:themeColor="text1"/>
          <w:sz w:val="24"/>
          <w:lang w:val="en-US" w:eastAsia="zh-CN"/>
          <w14:textFill>
            <w14:solidFill>
              <w14:schemeClr w14:val="tx1"/>
            </w14:solidFill>
          </w14:textFill>
        </w:rPr>
      </w:pPr>
      <w:r>
        <w:rPr>
          <w:rFonts w:hint="default" w:ascii="宋体" w:hAnsi="宋体" w:eastAsia="宋体" w:cs="宋体"/>
          <w:color w:val="000000" w:themeColor="text1"/>
          <w:sz w:val="24"/>
          <w:lang w:val="en-US" w:eastAsia="zh-CN"/>
          <w14:textFill>
            <w14:solidFill>
              <w14:schemeClr w14:val="tx1"/>
            </w14:solidFill>
          </w14:textFill>
        </w:rPr>
        <w:t>本项目施工场地内不设置机械修配，施工机械修理维护依托</w:t>
      </w:r>
      <w:r>
        <w:rPr>
          <w:rFonts w:hint="eastAsia" w:ascii="宋体" w:hAnsi="宋体" w:eastAsia="宋体" w:cs="宋体"/>
          <w:color w:val="000000" w:themeColor="text1"/>
          <w:sz w:val="24"/>
          <w:lang w:val="en-US" w:eastAsia="zh-CN"/>
          <w14:textFill>
            <w14:solidFill>
              <w14:schemeClr w14:val="tx1"/>
            </w14:solidFill>
          </w14:textFill>
        </w:rPr>
        <w:t>附近</w:t>
      </w:r>
      <w:r>
        <w:rPr>
          <w:rFonts w:hint="default" w:ascii="宋体" w:hAnsi="宋体" w:eastAsia="宋体" w:cs="宋体"/>
          <w:color w:val="000000" w:themeColor="text1"/>
          <w:sz w:val="24"/>
          <w:lang w:val="en-US" w:eastAsia="zh-CN"/>
          <w14:textFill>
            <w14:solidFill>
              <w14:schemeClr w14:val="tx1"/>
            </w14:solidFill>
          </w14:textFill>
        </w:rPr>
        <w:t>商业机修站维修。混凝土将依托乌鲁木齐现有的商品混凝土，施工场地内不设置修理厂及混凝土拌合站。因此没有机修废水、砂石冲洗废水产生。施工场地设置1座50m3沉淀池，车辆冲洗废水经沉淀池集中收集处理后，循环使用，不外排。施工期结束后将临时废水处理设施拆除并进行相应的土地恢复和平整。</w:t>
      </w:r>
    </w:p>
    <w:p w14:paraId="7C709080">
      <w:pPr>
        <w:keepNext w:val="0"/>
        <w:keepLines w:val="0"/>
        <w:pageBreakBefore w:val="0"/>
        <w:widowControl w:val="0"/>
        <w:numPr>
          <w:ilvl w:val="0"/>
          <w:numId w:val="0"/>
        </w:numPr>
        <w:tabs>
          <w:tab w:val="left" w:pos="1260"/>
        </w:tabs>
        <w:kinsoku/>
        <w:wordWrap/>
        <w:overflowPunct/>
        <w:topLinePunct w:val="0"/>
        <w:autoSpaceDE/>
        <w:autoSpaceDN/>
        <w:bidi w:val="0"/>
        <w:adjustRightInd/>
        <w:snapToGrid w:val="0"/>
        <w:spacing w:line="360" w:lineRule="auto"/>
        <w:ind w:left="0" w:leftChars="0" w:firstLine="480" w:firstLineChars="200"/>
        <w:textAlignment w:val="auto"/>
        <w:outlineLvl w:val="9"/>
        <w:rPr>
          <w:rFonts w:hint="default" w:ascii="宋体" w:hAnsi="宋体" w:eastAsia="宋体" w:cs="宋体"/>
          <w:color w:val="000000" w:themeColor="text1"/>
          <w:sz w:val="24"/>
          <w:lang w:val="en-US" w:eastAsia="zh-CN"/>
          <w14:textFill>
            <w14:solidFill>
              <w14:schemeClr w14:val="tx1"/>
            </w14:solidFill>
          </w14:textFill>
        </w:rPr>
      </w:pPr>
      <w:r>
        <w:rPr>
          <w:rFonts w:hint="default" w:ascii="宋体" w:hAnsi="宋体" w:eastAsia="宋体" w:cs="宋体"/>
          <w:color w:val="000000" w:themeColor="text1"/>
          <w:sz w:val="24"/>
          <w:lang w:val="en-US" w:eastAsia="zh-CN"/>
          <w14:textFill>
            <w14:solidFill>
              <w14:schemeClr w14:val="tx1"/>
            </w14:solidFill>
          </w14:textFill>
        </w:rPr>
        <w:t>本项目位于北部山区山前倾斜平原地带，地下水埋深较深，项目风机、箱变、光</w:t>
      </w:r>
      <w:r>
        <w:rPr>
          <w:rFonts w:hint="eastAsia" w:ascii="宋体" w:hAnsi="宋体" w:eastAsia="宋体" w:cs="宋体"/>
          <w:color w:val="000000" w:themeColor="text1"/>
          <w:sz w:val="24"/>
          <w:lang w:val="en-US" w:eastAsia="zh-CN"/>
          <w14:textFill>
            <w14:solidFill>
              <w14:schemeClr w14:val="tx1"/>
            </w14:solidFill>
          </w14:textFill>
        </w:rPr>
        <w:t>集电</w:t>
      </w:r>
      <w:r>
        <w:rPr>
          <w:rFonts w:hint="default" w:ascii="宋体" w:hAnsi="宋体" w:eastAsia="宋体" w:cs="宋体"/>
          <w:color w:val="000000" w:themeColor="text1"/>
          <w:sz w:val="24"/>
          <w:lang w:val="en-US" w:eastAsia="zh-CN"/>
          <w14:textFill>
            <w14:solidFill>
              <w14:schemeClr w14:val="tx1"/>
            </w14:solidFill>
          </w14:textFill>
        </w:rPr>
        <w:t>线路塔基等基础采用混凝土直接浇筑的方式施工，浇筑前基础底部铺设防渗膜，可有效防止混凝土养护废水入渗，浇筑后表面洒水润湿进行养护，养护方法为先用吸水材料覆盖混凝土，再在吸水材料上洒水，根据吸收和蒸发情况，适时补充。在养护过程中，养护水被混凝土吸收或自然蒸发，不会因养护水漫流对水源保护区地下水潜水水质造成影响。</w:t>
      </w:r>
    </w:p>
    <w:p w14:paraId="2DEEFDE2">
      <w:pPr>
        <w:keepNext w:val="0"/>
        <w:keepLines w:val="0"/>
        <w:pageBreakBefore w:val="0"/>
        <w:widowControl w:val="0"/>
        <w:numPr>
          <w:ilvl w:val="0"/>
          <w:numId w:val="0"/>
        </w:numPr>
        <w:tabs>
          <w:tab w:val="left" w:pos="1260"/>
        </w:tabs>
        <w:kinsoku/>
        <w:wordWrap/>
        <w:overflowPunct/>
        <w:topLinePunct w:val="0"/>
        <w:autoSpaceDE/>
        <w:autoSpaceDN/>
        <w:bidi w:val="0"/>
        <w:adjustRightInd/>
        <w:snapToGrid w:val="0"/>
        <w:spacing w:line="360" w:lineRule="auto"/>
        <w:ind w:left="0" w:leftChars="0" w:firstLine="480" w:firstLineChars="200"/>
        <w:textAlignment w:val="auto"/>
        <w:outlineLvl w:val="9"/>
        <w:rPr>
          <w:rFonts w:hint="default" w:ascii="宋体" w:hAnsi="宋体" w:eastAsia="宋体" w:cs="宋体"/>
          <w:color w:val="000000" w:themeColor="text1"/>
          <w:sz w:val="24"/>
          <w:lang w:val="en-US" w:eastAsia="zh-CN"/>
          <w14:textFill>
            <w14:solidFill>
              <w14:schemeClr w14:val="tx1"/>
            </w14:solidFill>
          </w14:textFill>
        </w:rPr>
      </w:pPr>
      <w:r>
        <w:rPr>
          <w:rFonts w:hint="default" w:ascii="宋体" w:hAnsi="宋体" w:eastAsia="宋体" w:cs="宋体"/>
          <w:color w:val="000000" w:themeColor="text1"/>
          <w:sz w:val="24"/>
          <w:lang w:val="en-US" w:eastAsia="zh-CN"/>
          <w14:textFill>
            <w14:solidFill>
              <w14:schemeClr w14:val="tx1"/>
            </w14:solidFill>
          </w14:textFill>
        </w:rPr>
        <w:t>本项目施工过程中主要固体废物为施工过程中产生的多余土石方、施工人员产生的生活垃圾和少量废包装材料。本项目风电场区每日平均施工人员总计约</w:t>
      </w:r>
      <w:r>
        <w:rPr>
          <w:rFonts w:hint="eastAsia" w:ascii="宋体" w:hAnsi="宋体" w:eastAsia="宋体" w:cs="宋体"/>
          <w:color w:val="000000" w:themeColor="text1"/>
          <w:sz w:val="24"/>
          <w:lang w:val="en-US" w:eastAsia="zh-CN"/>
          <w14:textFill>
            <w14:solidFill>
              <w14:schemeClr w14:val="tx1"/>
            </w14:solidFill>
          </w14:textFill>
        </w:rPr>
        <w:t>1</w:t>
      </w:r>
      <w:r>
        <w:rPr>
          <w:rFonts w:hint="default" w:ascii="宋体" w:hAnsi="宋体" w:eastAsia="宋体" w:cs="宋体"/>
          <w:color w:val="000000" w:themeColor="text1"/>
          <w:sz w:val="24"/>
          <w:lang w:val="en-US" w:eastAsia="zh-CN"/>
          <w14:textFill>
            <w14:solidFill>
              <w14:schemeClr w14:val="tx1"/>
            </w14:solidFill>
          </w14:textFill>
        </w:rPr>
        <w:t>00人，施工期为</w:t>
      </w:r>
      <w:r>
        <w:rPr>
          <w:rFonts w:hint="eastAsia" w:ascii="宋体" w:hAnsi="宋体" w:eastAsia="宋体" w:cs="宋体"/>
          <w:color w:val="000000" w:themeColor="text1"/>
          <w:sz w:val="24"/>
          <w:lang w:val="en-US" w:eastAsia="zh-CN"/>
          <w14:textFill>
            <w14:solidFill>
              <w14:schemeClr w14:val="tx1"/>
            </w14:solidFill>
          </w14:textFill>
        </w:rPr>
        <w:t>12</w:t>
      </w:r>
      <w:r>
        <w:rPr>
          <w:rFonts w:hint="default" w:ascii="宋体" w:hAnsi="宋体" w:eastAsia="宋体" w:cs="宋体"/>
          <w:color w:val="000000" w:themeColor="text1"/>
          <w:sz w:val="24"/>
          <w:lang w:val="en-US" w:eastAsia="zh-CN"/>
          <w14:textFill>
            <w14:solidFill>
              <w14:schemeClr w14:val="tx1"/>
            </w14:solidFill>
          </w14:textFill>
        </w:rPr>
        <w:t>个月，生活垃圾按1kg/人·d计算，则施工期产生的垃圾总量约</w:t>
      </w:r>
      <w:r>
        <w:rPr>
          <w:rFonts w:hint="eastAsia" w:ascii="宋体" w:hAnsi="宋体" w:eastAsia="宋体" w:cs="宋体"/>
          <w:color w:val="000000" w:themeColor="text1"/>
          <w:sz w:val="24"/>
          <w:lang w:val="en-US" w:eastAsia="zh-CN"/>
          <w14:textFill>
            <w14:solidFill>
              <w14:schemeClr w14:val="tx1"/>
            </w14:solidFill>
          </w14:textFill>
        </w:rPr>
        <w:t>36.5</w:t>
      </w:r>
      <w:r>
        <w:rPr>
          <w:rFonts w:hint="default" w:ascii="宋体" w:hAnsi="宋体" w:eastAsia="宋体" w:cs="宋体"/>
          <w:color w:val="000000" w:themeColor="text1"/>
          <w:sz w:val="24"/>
          <w:lang w:val="en-US" w:eastAsia="zh-CN"/>
          <w14:textFill>
            <w14:solidFill>
              <w14:schemeClr w14:val="tx1"/>
            </w14:solidFill>
          </w14:textFill>
        </w:rPr>
        <w:t>t，生活垃圾定期运送到周边垃圾中转站转运，统一处置；根据土石方平衡估算，</w:t>
      </w:r>
      <w:r>
        <w:rPr>
          <w:rFonts w:hint="eastAsia" w:cs="Times New Roman" w:eastAsiaTheme="minorEastAsia"/>
          <w:snapToGrid w:val="0"/>
          <w:color w:val="000000" w:themeColor="text1"/>
          <w:sz w:val="24"/>
          <w:szCs w:val="20"/>
          <w:highlight w:val="none"/>
          <w:lang w:val="en-US" w:eastAsia="zh-CN"/>
          <w14:textFill>
            <w14:solidFill>
              <w14:schemeClr w14:val="tx1"/>
            </w14:solidFill>
          </w14:textFill>
        </w:rPr>
        <w:t>本</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项目开挖土方</w:t>
      </w:r>
      <w:r>
        <w:rPr>
          <w:rFonts w:hint="eastAsia" w:cs="Times New Roman" w:eastAsiaTheme="minorEastAsia"/>
          <w:snapToGrid w:val="0"/>
          <w:color w:val="000000" w:themeColor="text1"/>
          <w:sz w:val="24"/>
          <w:highlight w:val="none"/>
          <w:lang w:val="en-US" w:eastAsia="zh-CN"/>
          <w14:textFill>
            <w14:solidFill>
              <w14:schemeClr w14:val="tx1"/>
            </w14:solidFill>
          </w14:textFill>
        </w:rPr>
        <w:t>21.1322</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万m</w:t>
      </w:r>
      <w:r>
        <w:rPr>
          <w:rFonts w:hint="default" w:ascii="Times New Roman" w:hAnsi="Times New Roman" w:cs="Times New Roman" w:eastAsiaTheme="minorEastAsia"/>
          <w:snapToGrid w:val="0"/>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，回填土方</w:t>
      </w:r>
      <w:r>
        <w:rPr>
          <w:rFonts w:hint="eastAsia" w:cs="Times New Roman" w:eastAsiaTheme="minorEastAsia"/>
          <w:snapToGrid w:val="0"/>
          <w:color w:val="000000" w:themeColor="text1"/>
          <w:sz w:val="24"/>
          <w:highlight w:val="none"/>
          <w:lang w:val="en-US" w:eastAsia="zh-CN"/>
          <w14:textFill>
            <w14:solidFill>
              <w14:schemeClr w14:val="tx1"/>
            </w14:solidFill>
          </w14:textFill>
        </w:rPr>
        <w:t>19.827</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万m</w:t>
      </w:r>
      <w:r>
        <w:rPr>
          <w:rFonts w:hint="default" w:ascii="Times New Roman" w:hAnsi="Times New Roman" w:cs="Times New Roman" w:eastAsiaTheme="minorEastAsia"/>
          <w:snapToGrid w:val="0"/>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w:t>
      </w:r>
      <w:r>
        <w:rPr>
          <w:rFonts w:hint="eastAsia" w:cs="Times New Roman" w:eastAsiaTheme="minorEastAsia"/>
          <w:snapToGrid w:val="0"/>
          <w:color w:val="000000" w:themeColor="text1"/>
          <w:sz w:val="24"/>
          <w:highlight w:val="none"/>
          <w:lang w:val="en-US" w:eastAsia="zh-CN"/>
          <w14:textFill>
            <w14:solidFill>
              <w14:schemeClr w14:val="tx1"/>
            </w14:solidFill>
          </w14:textFill>
        </w:rPr>
        <w:t>区间</w:t>
      </w:r>
      <w:r>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借方3.1437</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万m</w:t>
      </w:r>
      <w:r>
        <w:rPr>
          <w:rFonts w:hint="default" w:ascii="Times New Roman" w:hAnsi="Times New Roman" w:cs="Times New Roman" w:eastAsiaTheme="minorEastAsia"/>
          <w:snapToGrid w:val="0"/>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，借方</w:t>
      </w:r>
      <w:r>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1.3052</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万m</w:t>
      </w:r>
      <w:r>
        <w:rPr>
          <w:rFonts w:hint="default" w:ascii="Times New Roman" w:hAnsi="Times New Roman" w:cs="Times New Roman" w:eastAsiaTheme="minorEastAsia"/>
          <w:snapToGrid w:val="0"/>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w:t>
      </w:r>
      <w:r>
        <w:rPr>
          <w:rFonts w:hint="default" w:ascii="Times New Roman" w:hAnsi="Times New Roman" w:cs="Times New Roman" w:eastAsiaTheme="minorEastAsia"/>
          <w:snapToGrid w:val="0"/>
          <w:color w:val="000000" w:themeColor="text1"/>
          <w:sz w:val="24"/>
          <w:szCs w:val="20"/>
          <w:highlight w:val="none"/>
          <w:lang w:val="en-US" w:eastAsia="zh-CN"/>
          <w14:textFill>
            <w14:solidFill>
              <w14:schemeClr w14:val="tx1"/>
            </w14:solidFill>
          </w14:textFill>
        </w:rPr>
        <w:t>来源于外购，不产生弃方</w:t>
      </w:r>
      <w:r>
        <w:rPr>
          <w:rFonts w:hint="default" w:ascii="宋体" w:hAnsi="宋体" w:eastAsia="宋体" w:cs="宋体"/>
          <w:color w:val="000000" w:themeColor="text1"/>
          <w:sz w:val="24"/>
          <w:lang w:val="en-US" w:eastAsia="zh-CN"/>
          <w14:textFill>
            <w14:solidFill>
              <w14:schemeClr w14:val="tx1"/>
            </w14:solidFill>
          </w14:textFill>
        </w:rPr>
        <w:t>。废包装材料产生量约</w:t>
      </w:r>
      <w:r>
        <w:rPr>
          <w:rFonts w:hint="eastAsia" w:ascii="宋体" w:hAnsi="宋体" w:eastAsia="宋体" w:cs="宋体"/>
          <w:color w:val="000000" w:themeColor="text1"/>
          <w:sz w:val="24"/>
          <w:lang w:val="en-US" w:eastAsia="zh-CN"/>
          <w14:textFill>
            <w14:solidFill>
              <w14:schemeClr w14:val="tx1"/>
            </w14:solidFill>
          </w14:textFill>
        </w:rPr>
        <w:t>4</w:t>
      </w:r>
      <w:r>
        <w:rPr>
          <w:rFonts w:hint="default" w:ascii="宋体" w:hAnsi="宋体" w:eastAsia="宋体" w:cs="宋体"/>
          <w:color w:val="000000" w:themeColor="text1"/>
          <w:sz w:val="24"/>
          <w:lang w:val="en-US" w:eastAsia="zh-CN"/>
          <w14:textFill>
            <w14:solidFill>
              <w14:schemeClr w14:val="tx1"/>
            </w14:solidFill>
          </w14:textFill>
        </w:rPr>
        <w:t>t，集中收集后，外售综合利用。</w:t>
      </w:r>
    </w:p>
    <w:p w14:paraId="25AA27B0">
      <w:pPr>
        <w:keepNext w:val="0"/>
        <w:keepLines w:val="0"/>
        <w:pageBreakBefore w:val="0"/>
        <w:widowControl w:val="0"/>
        <w:numPr>
          <w:ilvl w:val="0"/>
          <w:numId w:val="0"/>
        </w:numPr>
        <w:tabs>
          <w:tab w:val="left" w:pos="1260"/>
        </w:tabs>
        <w:kinsoku/>
        <w:wordWrap/>
        <w:overflowPunct/>
        <w:topLinePunct w:val="0"/>
        <w:autoSpaceDE/>
        <w:autoSpaceDN/>
        <w:bidi w:val="0"/>
        <w:adjustRightInd/>
        <w:snapToGrid w:val="0"/>
        <w:spacing w:line="360" w:lineRule="auto"/>
        <w:ind w:left="0" w:leftChars="0" w:firstLine="480" w:firstLineChars="200"/>
        <w:textAlignment w:val="auto"/>
        <w:outlineLvl w:val="9"/>
        <w:rPr>
          <w:rFonts w:hint="default" w:ascii="宋体" w:hAnsi="宋体" w:eastAsia="宋体" w:cs="宋体"/>
          <w:color w:val="000000" w:themeColor="text1"/>
          <w:sz w:val="24"/>
          <w:lang w:val="en-US" w:eastAsia="zh-CN"/>
          <w14:textFill>
            <w14:solidFill>
              <w14:schemeClr w14:val="tx1"/>
            </w14:solidFill>
          </w14:textFill>
        </w:rPr>
      </w:pPr>
      <w:r>
        <w:rPr>
          <w:rFonts w:hint="default" w:ascii="宋体" w:hAnsi="宋体" w:eastAsia="宋体" w:cs="宋体"/>
          <w:color w:val="000000" w:themeColor="text1"/>
          <w:sz w:val="24"/>
          <w:lang w:val="en-US" w:eastAsia="zh-CN"/>
          <w14:textFill>
            <w14:solidFill>
              <w14:schemeClr w14:val="tx1"/>
            </w14:solidFill>
          </w14:textFill>
        </w:rPr>
        <w:t>本项目施工期采取分区分段施工，尽量缩短工期；施工期严格控制施工临时占地，减少占地造成的植被破坏和生态影响；施工过程中料场料堆和基础开挖回填过程中的多余土石方均采取苫盖措施，避开大风天气施工，防止水土流失。可有效防止水土流失。</w:t>
      </w:r>
    </w:p>
    <w:p w14:paraId="38F3CDB2">
      <w:pPr>
        <w:keepNext w:val="0"/>
        <w:keepLines w:val="0"/>
        <w:pageBreakBefore w:val="0"/>
        <w:widowControl w:val="0"/>
        <w:numPr>
          <w:ilvl w:val="0"/>
          <w:numId w:val="0"/>
        </w:numPr>
        <w:tabs>
          <w:tab w:val="left" w:pos="1260"/>
        </w:tabs>
        <w:kinsoku/>
        <w:wordWrap/>
        <w:overflowPunct/>
        <w:topLinePunct w:val="0"/>
        <w:autoSpaceDE/>
        <w:autoSpaceDN/>
        <w:bidi w:val="0"/>
        <w:adjustRightInd/>
        <w:snapToGrid w:val="0"/>
        <w:spacing w:line="360" w:lineRule="auto"/>
        <w:ind w:left="0" w:leftChars="0" w:firstLine="480" w:firstLineChars="200"/>
        <w:textAlignment w:val="auto"/>
        <w:outlineLvl w:val="9"/>
        <w:rPr>
          <w:rFonts w:hint="default" w:ascii="宋体" w:hAnsi="宋体" w:eastAsia="宋体" w:cs="宋体"/>
          <w:color w:val="000000" w:themeColor="text1"/>
          <w:sz w:val="24"/>
          <w:lang w:val="en-US" w:eastAsia="zh-CN"/>
          <w14:textFill>
            <w14:solidFill>
              <w14:schemeClr w14:val="tx1"/>
            </w14:solidFill>
          </w14:textFill>
        </w:rPr>
      </w:pPr>
      <w:r>
        <w:rPr>
          <w:rFonts w:hint="default" w:ascii="宋体" w:hAnsi="宋体" w:eastAsia="宋体" w:cs="宋体"/>
          <w:color w:val="000000" w:themeColor="text1"/>
          <w:sz w:val="24"/>
          <w:lang w:val="en-US" w:eastAsia="zh-CN"/>
          <w14:textFill>
            <w14:solidFill>
              <w14:schemeClr w14:val="tx1"/>
            </w14:solidFill>
          </w14:textFill>
        </w:rPr>
        <w:t>综上，本项目施工期建设分批、分段进行，施工强度小、时间短，在采取上述污染防治措施、同时施工期间在落实严格控制施工范围、禁止占用一级水源保护区范围等管理措施后，本项目施工期对地下水源地保护区影响较小。</w:t>
      </w:r>
    </w:p>
    <w:bookmarkEnd w:id="392"/>
    <w:bookmarkEnd w:id="393"/>
    <w:bookmarkEnd w:id="394"/>
    <w:bookmarkEnd w:id="442"/>
    <w:bookmarkEnd w:id="443"/>
    <w:bookmarkEnd w:id="444"/>
    <w:bookmarkEnd w:id="445"/>
    <w:bookmarkEnd w:id="446"/>
    <w:p w14:paraId="3AB4EE10">
      <w:pPr>
        <w:pStyle w:val="4"/>
        <w:keepNext/>
        <w:keepLines/>
        <w:pageBreakBefore w:val="0"/>
        <w:widowControl w:val="0"/>
        <w:numPr>
          <w:ilvl w:val="0"/>
          <w:numId w:val="0"/>
        </w:numPr>
        <w:tabs>
          <w:tab w:val="left" w:pos="630"/>
          <w:tab w:val="left" w:pos="3403"/>
        </w:tabs>
        <w:kinsoku/>
        <w:wordWrap w:val="0"/>
        <w:overflowPunct/>
        <w:topLinePunct w:val="0"/>
        <w:autoSpaceDE/>
        <w:autoSpaceDN/>
        <w:bidi w:val="0"/>
        <w:adjustRightInd/>
        <w:snapToGrid w:val="0"/>
        <w:spacing w:beforeLines="0" w:after="0" w:afterLines="0" w:line="360" w:lineRule="auto"/>
        <w:ind w:left="0" w:leftChars="0"/>
        <w:textAlignment w:val="auto"/>
        <w:outlineLvl w:val="1"/>
        <w:rPr>
          <w:rFonts w:hint="default" w:ascii="Times New Roman" w:hAnsi="Times New Roman" w:cs="Times New Roman" w:eastAsiaTheme="minorEastAsia"/>
          <w:color w:val="000000" w:themeColor="text1"/>
          <w:sz w:val="30"/>
          <w:highlight w:val="none"/>
          <w:lang w:val="en-US" w:eastAsia="zh-CN"/>
          <w14:textFill>
            <w14:solidFill>
              <w14:schemeClr w14:val="tx1"/>
            </w14:solidFill>
          </w14:textFill>
        </w:rPr>
      </w:pPr>
      <w:bookmarkStart w:id="462" w:name="_Toc23778"/>
      <w:bookmarkStart w:id="463" w:name="_Toc17193"/>
      <w:bookmarkStart w:id="464" w:name="_Toc2632"/>
      <w:r>
        <w:rPr>
          <w:rFonts w:hint="default" w:ascii="Times New Roman" w:hAnsi="Times New Roman" w:cs="Times New Roman" w:eastAsiaTheme="minorEastAsia"/>
          <w:color w:val="000000" w:themeColor="text1"/>
          <w:sz w:val="30"/>
          <w:highlight w:val="none"/>
          <w:lang w:val="en-US" w:eastAsia="zh-CN"/>
          <w14:textFill>
            <w14:solidFill>
              <w14:schemeClr w14:val="tx1"/>
            </w14:solidFill>
          </w14:textFill>
        </w:rPr>
        <w:t>5.2 运营期环境影响评价</w:t>
      </w:r>
      <w:bookmarkEnd w:id="462"/>
      <w:bookmarkEnd w:id="463"/>
      <w:bookmarkEnd w:id="464"/>
    </w:p>
    <w:p w14:paraId="4DE2F2F4">
      <w:pPr>
        <w:pStyle w:val="11"/>
        <w:keepNext/>
        <w:keepLines/>
        <w:pageBreakBefore w:val="0"/>
        <w:widowControl w:val="0"/>
        <w:kinsoku/>
        <w:wordWrap/>
        <w:overflowPunct/>
        <w:topLinePunct w:val="0"/>
        <w:autoSpaceDE/>
        <w:autoSpaceDN/>
        <w:bidi w:val="0"/>
        <w:adjustRightInd/>
        <w:snapToGrid w:val="0"/>
        <w:spacing w:beforeLines="0" w:afterLines="0"/>
        <w:ind w:left="0"/>
        <w:textAlignment w:val="auto"/>
        <w:outlineLvl w:val="2"/>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bookmarkStart w:id="465" w:name="_Toc15493"/>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5.2.</w:t>
      </w:r>
      <w:r>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t>1</w:t>
      </w: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 xml:space="preserve"> 地表水环境影响分析</w:t>
      </w:r>
      <w:bookmarkEnd w:id="465"/>
    </w:p>
    <w:p w14:paraId="22D0F1D4">
      <w:pPr>
        <w:keepNext w:val="0"/>
        <w:keepLines w:val="0"/>
        <w:pageBreakBefore w:val="0"/>
        <w:widowControl w:val="0"/>
        <w:numPr>
          <w:ilvl w:val="0"/>
          <w:numId w:val="0"/>
        </w:numPr>
        <w:tabs>
          <w:tab w:val="left" w:pos="1260"/>
        </w:tabs>
        <w:kinsoku/>
        <w:wordWrap/>
        <w:overflowPunct/>
        <w:topLinePunct w:val="0"/>
        <w:autoSpaceDE/>
        <w:autoSpaceDN/>
        <w:bidi w:val="0"/>
        <w:adjustRightInd/>
        <w:snapToGrid w:val="0"/>
        <w:spacing w:line="360" w:lineRule="auto"/>
        <w:ind w:left="0" w:leftChars="0" w:firstLine="480" w:firstLineChars="200"/>
        <w:textAlignment w:val="auto"/>
        <w:outlineLvl w:val="9"/>
        <w:rPr>
          <w:rFonts w:hint="default" w:ascii="宋体" w:hAnsi="宋体" w:eastAsia="宋体" w:cs="宋体"/>
          <w:color w:val="000000" w:themeColor="text1"/>
          <w:sz w:val="24"/>
          <w:lang w:val="en-US" w:eastAsia="zh-CN"/>
          <w14:textFill>
            <w14:solidFill>
              <w14:schemeClr w14:val="tx1"/>
            </w14:solidFill>
          </w14:textFill>
        </w:rPr>
      </w:pPr>
      <w:r>
        <w:rPr>
          <w:rFonts w:hint="default" w:ascii="宋体" w:hAnsi="宋体" w:eastAsia="宋体" w:cs="宋体"/>
          <w:color w:val="000000" w:themeColor="text1"/>
          <w:sz w:val="24"/>
          <w:lang w:val="en-US" w:eastAsia="zh-CN"/>
          <w14:textFill>
            <w14:solidFill>
              <w14:schemeClr w14:val="tx1"/>
            </w14:solidFill>
          </w14:textFill>
        </w:rPr>
        <w:t>本项目</w:t>
      </w:r>
      <w:r>
        <w:rPr>
          <w:rFonts w:hint="eastAsia" w:ascii="宋体" w:hAnsi="宋体" w:eastAsia="宋体" w:cs="宋体"/>
          <w:color w:val="000000" w:themeColor="text1"/>
          <w:sz w:val="24"/>
          <w:lang w:val="en-US" w:eastAsia="zh-CN"/>
          <w14:textFill>
            <w14:solidFill>
              <w14:schemeClr w14:val="tx1"/>
            </w14:solidFill>
          </w14:textFill>
        </w:rPr>
        <w:t>风电场</w:t>
      </w:r>
      <w:r>
        <w:rPr>
          <w:rFonts w:hint="default" w:ascii="宋体" w:hAnsi="宋体" w:eastAsia="宋体" w:cs="宋体"/>
          <w:color w:val="000000" w:themeColor="text1"/>
          <w:sz w:val="24"/>
          <w:lang w:val="en-US" w:eastAsia="zh-CN"/>
          <w14:textFill>
            <w14:solidFill>
              <w14:schemeClr w14:val="tx1"/>
            </w14:solidFill>
          </w14:textFill>
        </w:rPr>
        <w:t>运营期无废水产生</w:t>
      </w:r>
      <w:r>
        <w:rPr>
          <w:rFonts w:hint="eastAsia" w:ascii="宋体" w:hAnsi="宋体" w:eastAsia="宋体" w:cs="宋体"/>
          <w:color w:val="000000" w:themeColor="text1"/>
          <w:sz w:val="24"/>
          <w:lang w:val="en-US" w:eastAsia="zh-CN"/>
          <w14:textFill>
            <w14:solidFill>
              <w14:schemeClr w14:val="tx1"/>
            </w14:solidFill>
          </w14:textFill>
        </w:rPr>
        <w:t>，</w:t>
      </w:r>
      <w:r>
        <w:rPr>
          <w:rFonts w:hint="default" w:ascii="宋体" w:hAnsi="宋体" w:eastAsia="宋体" w:cs="宋体"/>
          <w:color w:val="000000" w:themeColor="text1"/>
          <w:sz w:val="24"/>
          <w:lang w:val="en-US" w:eastAsia="zh-CN"/>
          <w14:textFill>
            <w14:solidFill>
              <w14:schemeClr w14:val="tx1"/>
            </w14:solidFill>
          </w14:textFill>
        </w:rPr>
        <w:t>运营期间不从项目区周边地表水体取水，产生的各类固体废物均妥善处置，不向附近水体、冲沟和水源保护区、准保护区倾倒，在严格落实各种管理及上述防护措施后，运营期废水排放不会对项目区周边地表水环境造成明显影响。</w:t>
      </w:r>
    </w:p>
    <w:p w14:paraId="66ADA93C">
      <w:pPr>
        <w:pStyle w:val="11"/>
        <w:keepNext/>
        <w:keepLines/>
        <w:pageBreakBefore w:val="0"/>
        <w:widowControl w:val="0"/>
        <w:kinsoku/>
        <w:wordWrap/>
        <w:overflowPunct/>
        <w:topLinePunct w:val="0"/>
        <w:autoSpaceDE/>
        <w:autoSpaceDN/>
        <w:bidi w:val="0"/>
        <w:adjustRightInd/>
        <w:snapToGrid w:val="0"/>
        <w:spacing w:beforeLines="0" w:afterLines="0"/>
        <w:ind w:left="0"/>
        <w:textAlignment w:val="auto"/>
        <w:outlineLvl w:val="2"/>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bookmarkStart w:id="466" w:name="_Toc24185"/>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5.2.</w:t>
      </w:r>
      <w:r>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t>2</w:t>
      </w: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 xml:space="preserve"> 地下水环境影响分析</w:t>
      </w:r>
      <w:bookmarkEnd w:id="466"/>
    </w:p>
    <w:p w14:paraId="68C08762">
      <w:pPr>
        <w:pStyle w:val="12"/>
        <w:keepNext/>
        <w:keepLines/>
        <w:pageBreakBefore w:val="0"/>
        <w:widowControl w:val="0"/>
        <w:numPr>
          <w:ilvl w:val="0"/>
          <w:numId w:val="0"/>
        </w:numPr>
        <w:tabs>
          <w:tab w:val="left" w:pos="1050"/>
        </w:tabs>
        <w:kinsoku/>
        <w:wordWrap/>
        <w:overflowPunct/>
        <w:topLinePunct w:val="0"/>
        <w:autoSpaceDE/>
        <w:autoSpaceDN/>
        <w:bidi w:val="0"/>
        <w:adjustRightInd/>
        <w:snapToGrid w:val="0"/>
        <w:spacing w:before="0" w:beforeLines="0" w:after="0" w:afterLines="0" w:line="360" w:lineRule="auto"/>
        <w:ind w:left="0"/>
        <w:textAlignment w:val="auto"/>
        <w:outlineLvl w:val="3"/>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t>5.2.</w:t>
      </w:r>
      <w:r>
        <w:rPr>
          <w:rFonts w:hint="eastAsia"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t>2</w:t>
      </w:r>
      <w:r>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t>.1 对区域地下水资源的影响</w:t>
      </w:r>
    </w:p>
    <w:p w14:paraId="534D8E04">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本项目不抽取地下水，因此不会对地下水资源造成影响。</w:t>
      </w:r>
    </w:p>
    <w:p w14:paraId="1066E4F2">
      <w:pPr>
        <w:pStyle w:val="12"/>
        <w:keepNext/>
        <w:keepLines/>
        <w:pageBreakBefore w:val="0"/>
        <w:widowControl w:val="0"/>
        <w:numPr>
          <w:ilvl w:val="0"/>
          <w:numId w:val="0"/>
        </w:numPr>
        <w:tabs>
          <w:tab w:val="left" w:pos="1050"/>
        </w:tabs>
        <w:kinsoku/>
        <w:wordWrap/>
        <w:overflowPunct/>
        <w:topLinePunct w:val="0"/>
        <w:autoSpaceDE/>
        <w:autoSpaceDN/>
        <w:bidi w:val="0"/>
        <w:adjustRightInd/>
        <w:snapToGrid w:val="0"/>
        <w:spacing w:before="0" w:beforeLines="0" w:after="0" w:afterLines="0" w:line="360" w:lineRule="auto"/>
        <w:ind w:left="0"/>
        <w:textAlignment w:val="auto"/>
        <w:outlineLvl w:val="3"/>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t>5.2.</w:t>
      </w:r>
      <w:r>
        <w:rPr>
          <w:rFonts w:hint="eastAsia"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t>2</w:t>
      </w:r>
      <w:r>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t>.2 对地下水水质的影响</w:t>
      </w:r>
    </w:p>
    <w:p w14:paraId="6D844BB0">
      <w:pPr>
        <w:keepNext w:val="0"/>
        <w:keepLines w:val="0"/>
        <w:pageBreakBefore w:val="0"/>
        <w:widowControl w:val="0"/>
        <w:kinsoku/>
        <w:wordWrap/>
        <w:overflowPunct/>
        <w:topLinePunct w:val="0"/>
        <w:autoSpaceDE/>
        <w:autoSpaceDN/>
        <w:bidi w:val="0"/>
        <w:adjustRightInd/>
        <w:snapToGrid w:val="0"/>
        <w:spacing w:line="360" w:lineRule="auto"/>
        <w:ind w:left="0" w:leftChars="0" w:firstLine="482" w:firstLineChars="200"/>
        <w:textAlignment w:val="auto"/>
        <w:rPr>
          <w:rFonts w:hint="default"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t>（1）正常工况下地下水水质影响</w:t>
      </w:r>
    </w:p>
    <w:p w14:paraId="04600CCE">
      <w:pPr>
        <w:keepNext w:val="0"/>
        <w:keepLines w:val="0"/>
        <w:pageBreakBefore w:val="0"/>
        <w:widowControl w:val="0"/>
        <w:numPr>
          <w:ilvl w:val="0"/>
          <w:numId w:val="0"/>
        </w:numPr>
        <w:tabs>
          <w:tab w:val="left" w:pos="1260"/>
        </w:tabs>
        <w:kinsoku/>
        <w:wordWrap/>
        <w:overflowPunct/>
        <w:topLinePunct w:val="0"/>
        <w:autoSpaceDE/>
        <w:autoSpaceDN/>
        <w:bidi w:val="0"/>
        <w:adjustRightInd/>
        <w:snapToGrid w:val="0"/>
        <w:spacing w:line="360" w:lineRule="auto"/>
        <w:ind w:left="0" w:leftChars="0" w:firstLine="480" w:firstLineChars="200"/>
        <w:textAlignment w:val="auto"/>
        <w:outlineLvl w:val="9"/>
        <w:rPr>
          <w:rFonts w:hint="default" w:ascii="宋体" w:hAnsi="宋体" w:eastAsia="宋体" w:cs="宋体"/>
          <w:color w:val="000000" w:themeColor="text1"/>
          <w:sz w:val="24"/>
          <w:lang w:val="en-US" w:eastAsia="zh-CN"/>
          <w14:textFill>
            <w14:solidFill>
              <w14:schemeClr w14:val="tx1"/>
            </w14:solidFill>
          </w14:textFill>
        </w:rPr>
      </w:pPr>
      <w:r>
        <w:rPr>
          <w:rFonts w:hint="default" w:ascii="宋体" w:hAnsi="宋体" w:eastAsia="宋体" w:cs="宋体"/>
          <w:color w:val="000000" w:themeColor="text1"/>
          <w:sz w:val="24"/>
          <w:lang w:val="en-US" w:eastAsia="zh-CN"/>
          <w14:textFill>
            <w14:solidFill>
              <w14:schemeClr w14:val="tx1"/>
            </w14:solidFill>
          </w14:textFill>
        </w:rPr>
        <w:t>本项目</w:t>
      </w:r>
      <w:r>
        <w:rPr>
          <w:rFonts w:hint="eastAsia" w:ascii="宋体" w:hAnsi="宋体" w:eastAsia="宋体" w:cs="宋体"/>
          <w:color w:val="000000" w:themeColor="text1"/>
          <w:sz w:val="24"/>
          <w:lang w:val="en-US" w:eastAsia="zh-CN"/>
          <w14:textFill>
            <w14:solidFill>
              <w14:schemeClr w14:val="tx1"/>
            </w14:solidFill>
          </w14:textFill>
        </w:rPr>
        <w:t>风电场</w:t>
      </w:r>
      <w:r>
        <w:rPr>
          <w:rFonts w:hint="default" w:ascii="宋体" w:hAnsi="宋体" w:eastAsia="宋体" w:cs="宋体"/>
          <w:color w:val="000000" w:themeColor="text1"/>
          <w:sz w:val="24"/>
          <w:lang w:val="en-US" w:eastAsia="zh-CN"/>
          <w14:textFill>
            <w14:solidFill>
              <w14:schemeClr w14:val="tx1"/>
            </w14:solidFill>
          </w14:textFill>
        </w:rPr>
        <w:t>运营期无废水排放</w:t>
      </w:r>
      <w:r>
        <w:rPr>
          <w:rFonts w:hint="eastAsia" w:ascii="宋体" w:hAnsi="宋体" w:eastAsia="宋体" w:cs="宋体"/>
          <w:color w:val="000000" w:themeColor="text1"/>
          <w:sz w:val="24"/>
          <w:lang w:val="en-US" w:eastAsia="zh-CN"/>
          <w14:textFill>
            <w14:solidFill>
              <w14:schemeClr w14:val="tx1"/>
            </w14:solidFill>
          </w14:textFill>
        </w:rPr>
        <w:t>，</w:t>
      </w:r>
      <w:r>
        <w:rPr>
          <w:rFonts w:hint="default" w:ascii="宋体" w:hAnsi="宋体" w:eastAsia="宋体" w:cs="宋体"/>
          <w:color w:val="000000" w:themeColor="text1"/>
          <w:sz w:val="24"/>
          <w:lang w:val="en-US" w:eastAsia="zh-CN"/>
          <w14:textFill>
            <w14:solidFill>
              <w14:schemeClr w14:val="tx1"/>
            </w14:solidFill>
          </w14:textFill>
        </w:rPr>
        <w:t>不会对地下水水质造成影响。</w:t>
      </w:r>
    </w:p>
    <w:p w14:paraId="5BD7FFFA">
      <w:pPr>
        <w:keepNext w:val="0"/>
        <w:keepLines w:val="0"/>
        <w:pageBreakBefore w:val="0"/>
        <w:widowControl w:val="0"/>
        <w:kinsoku/>
        <w:wordWrap/>
        <w:overflowPunct/>
        <w:topLinePunct w:val="0"/>
        <w:autoSpaceDE/>
        <w:autoSpaceDN/>
        <w:bidi w:val="0"/>
        <w:adjustRightInd/>
        <w:snapToGrid w:val="0"/>
        <w:spacing w:line="360" w:lineRule="auto"/>
        <w:ind w:left="0" w:leftChars="0" w:firstLine="482" w:firstLineChars="200"/>
        <w:textAlignment w:val="auto"/>
        <w:rPr>
          <w:rFonts w:hint="default"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t>（2）非正常工况下地下水水质影响</w:t>
      </w:r>
    </w:p>
    <w:p w14:paraId="2E01C7FA">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运营期可能造成地下水污染的途径主要是站区防渗措施未按要求落实，运营期管理不善，导致废</w:t>
      </w:r>
      <w:r>
        <w:rPr>
          <w:rFonts w:hint="eastAsia" w:cs="Times New Roman" w:eastAsiaTheme="minorEastAsia"/>
          <w:snapToGrid w:val="0"/>
          <w:color w:val="000000" w:themeColor="text1"/>
          <w:sz w:val="24"/>
          <w:highlight w:val="none"/>
          <w:lang w:val="en-US" w:eastAsia="zh-CN"/>
          <w14:textFill>
            <w14:solidFill>
              <w14:schemeClr w14:val="tx1"/>
            </w14:solidFill>
          </w14:textFill>
        </w:rPr>
        <w:t>矿物油</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在收集、转运过程中产生遗撒、泄露污染地下水，导致水源保护区水质石油类超标，引发公众安全事件。</w:t>
      </w:r>
    </w:p>
    <w:p w14:paraId="3AABD83D">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针对以上事故情况，建设单位应严格落实以下防护措施：加强环境管理，危险废物</w:t>
      </w:r>
      <w:r>
        <w:rPr>
          <w:rFonts w:hint="eastAsia" w:cs="Times New Roman" w:eastAsiaTheme="minorEastAsia"/>
          <w:snapToGrid w:val="0"/>
          <w:color w:val="000000" w:themeColor="text1"/>
          <w:sz w:val="24"/>
          <w:highlight w:val="none"/>
          <w:lang w:val="en-US" w:eastAsia="zh-CN"/>
          <w14:textFill>
            <w14:solidFill>
              <w14:schemeClr w14:val="tx1"/>
            </w14:solidFill>
          </w14:textFill>
        </w:rPr>
        <w:t>做到即产即清，在</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厂内、外转运须满足《危险废物收集 贮存 运输技术规范》(HJ2025-2012)《危险废物贮存污染控制标准》(GB18597-2023)等相关要求。运输线路须</w:t>
      </w:r>
      <w:r>
        <w:rPr>
          <w:rFonts w:hint="eastAsia" w:cs="Times New Roman" w:eastAsiaTheme="minorEastAsia"/>
          <w:snapToGrid w:val="0"/>
          <w:color w:val="000000" w:themeColor="text1"/>
          <w:sz w:val="24"/>
          <w:highlight w:val="none"/>
          <w:lang w:val="en-US" w:eastAsia="zh-CN"/>
          <w14:textFill>
            <w14:solidFill>
              <w14:schemeClr w14:val="tx1"/>
            </w14:solidFill>
          </w14:textFill>
        </w:rPr>
        <w:t>尽可能</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避绕水源地二级保护区</w:t>
      </w:r>
      <w:r>
        <w:rPr>
          <w:rFonts w:hint="eastAsia" w:cs="Times New Roman" w:eastAsiaTheme="minorEastAsia"/>
          <w:snapToGrid w:val="0"/>
          <w:color w:val="000000" w:themeColor="text1"/>
          <w:sz w:val="24"/>
          <w:highlight w:val="none"/>
          <w:lang w:val="en-US" w:eastAsia="zh-CN"/>
          <w14:textFill>
            <w14:solidFill>
              <w14:schemeClr w14:val="tx1"/>
            </w14:solidFill>
          </w14:textFill>
        </w:rPr>
        <w:t>及准保护区</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w:t>
      </w:r>
    </w:p>
    <w:p w14:paraId="447C8ECD">
      <w:pPr>
        <w:pStyle w:val="11"/>
        <w:keepNext/>
        <w:keepLines/>
        <w:pageBreakBefore w:val="0"/>
        <w:widowControl w:val="0"/>
        <w:kinsoku/>
        <w:wordWrap/>
        <w:overflowPunct/>
        <w:topLinePunct w:val="0"/>
        <w:autoSpaceDE/>
        <w:autoSpaceDN/>
        <w:bidi w:val="0"/>
        <w:adjustRightInd/>
        <w:snapToGrid w:val="0"/>
        <w:spacing w:beforeLines="0" w:afterLines="0"/>
        <w:ind w:left="0"/>
        <w:textAlignment w:val="auto"/>
        <w:outlineLvl w:val="2"/>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bookmarkStart w:id="467" w:name="_Toc8327"/>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5.2.</w:t>
      </w:r>
      <w:r>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t>3</w:t>
      </w: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 xml:space="preserve"> 声环境影响预测与评价</w:t>
      </w:r>
      <w:bookmarkEnd w:id="467"/>
    </w:p>
    <w:p w14:paraId="31BF9BE6">
      <w:pPr>
        <w:keepNext w:val="0"/>
        <w:keepLines w:val="0"/>
        <w:pageBreakBefore w:val="0"/>
        <w:widowControl w:val="0"/>
        <w:numPr>
          <w:ilvl w:val="0"/>
          <w:numId w:val="0"/>
        </w:numPr>
        <w:tabs>
          <w:tab w:val="left" w:pos="1260"/>
        </w:tabs>
        <w:kinsoku/>
        <w:wordWrap/>
        <w:overflowPunct/>
        <w:topLinePunct w:val="0"/>
        <w:autoSpaceDE/>
        <w:autoSpaceDN/>
        <w:bidi w:val="0"/>
        <w:adjustRightInd/>
        <w:snapToGrid w:val="0"/>
        <w:spacing w:line="360" w:lineRule="auto"/>
        <w:ind w:left="0" w:leftChars="0"/>
        <w:textAlignment w:val="auto"/>
        <w:outlineLvl w:val="3"/>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t>5.2.</w:t>
      </w:r>
      <w:r>
        <w:rPr>
          <w:rFonts w:hint="eastAsia"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t>3</w:t>
      </w:r>
      <w:r>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t>.1 风电场声环境影响预测分析</w:t>
      </w:r>
    </w:p>
    <w:p w14:paraId="17F48707">
      <w:pPr>
        <w:keepNext w:val="0"/>
        <w:keepLines w:val="0"/>
        <w:pageBreakBefore w:val="0"/>
        <w:widowControl w:val="0"/>
        <w:kinsoku/>
        <w:wordWrap/>
        <w:overflowPunct/>
        <w:topLinePunct w:val="0"/>
        <w:autoSpaceDE/>
        <w:autoSpaceDN/>
        <w:bidi w:val="0"/>
        <w:adjustRightInd/>
        <w:snapToGrid w:val="0"/>
        <w:spacing w:line="360" w:lineRule="auto"/>
        <w:ind w:left="0" w:leftChars="0" w:firstLine="482" w:firstLineChars="200"/>
        <w:textAlignment w:val="auto"/>
        <w:rPr>
          <w:rFonts w:hint="default"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t>(1)主要噪声源</w:t>
      </w:r>
    </w:p>
    <w:p w14:paraId="676F42EB">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风电场运营期噪声主要来源于风机噪声。风力发电机组运行过程产生的噪声主要来自机组内部机械噪声及结构噪声、空气动力噪声。风电机组机械噪声值相对较小，主要来自风电机组叶片转动产生的空气动力噪声。风电机组的气动噪声包括吸入湍流噪声、湍流边界层噪声。</w:t>
      </w:r>
    </w:p>
    <w:p w14:paraId="7AEFBB24">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本项目选用单机容量</w:t>
      </w:r>
      <w:r>
        <w:rPr>
          <w:rFonts w:hint="eastAsia" w:cs="Times New Roman" w:eastAsiaTheme="minorEastAsia"/>
          <w:snapToGrid w:val="0"/>
          <w:color w:val="000000" w:themeColor="text1"/>
          <w:sz w:val="24"/>
          <w:highlight w:val="none"/>
          <w:lang w:val="en-US" w:eastAsia="zh-CN"/>
          <w14:textFill>
            <w14:solidFill>
              <w14:schemeClr w14:val="tx1"/>
            </w14:solidFill>
          </w14:textFill>
        </w:rPr>
        <w:t>7.15</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MW的风力发电机组，轮毂距离地面约12</w:t>
      </w:r>
      <w:r>
        <w:rPr>
          <w:rFonts w:hint="eastAsia" w:cs="Times New Roman" w:eastAsiaTheme="minorEastAsia"/>
          <w:snapToGrid w:val="0"/>
          <w:color w:val="000000" w:themeColor="text1"/>
          <w:sz w:val="24"/>
          <w:highlight w:val="none"/>
          <w:lang w:val="en-US" w:eastAsia="zh-CN"/>
          <w14:textFill>
            <w14:solidFill>
              <w14:schemeClr w14:val="tx1"/>
            </w14:solidFill>
          </w14:textFill>
        </w:rPr>
        <w:t>0</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m，在10m高度的风速为10m/s时的标准状态下，机组运行时轮毂处噪声约102dB(A)。</w:t>
      </w:r>
    </w:p>
    <w:p w14:paraId="04BEF5C8">
      <w:pPr>
        <w:keepNext w:val="0"/>
        <w:keepLines w:val="0"/>
        <w:pageBreakBefore w:val="0"/>
        <w:widowControl w:val="0"/>
        <w:kinsoku/>
        <w:wordWrap/>
        <w:overflowPunct/>
        <w:topLinePunct w:val="0"/>
        <w:autoSpaceDE/>
        <w:autoSpaceDN/>
        <w:bidi w:val="0"/>
        <w:adjustRightInd/>
        <w:snapToGrid w:val="0"/>
        <w:spacing w:line="360" w:lineRule="auto"/>
        <w:ind w:left="0" w:leftChars="0" w:firstLine="482" w:firstLineChars="200"/>
        <w:textAlignment w:val="auto"/>
        <w:rPr>
          <w:rFonts w:hint="default"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t>(2)声环境影响预测</w:t>
      </w:r>
    </w:p>
    <w:p w14:paraId="5174AA3C">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由于风电机组间相距较远，每个风电机组可视为一个点声源，因此，噪声预测采用处于自由空间的点声源衰减公式对预测点进行预测。根据《环境影响评价技术导则 声环境》(HJ2.4-2021)，采用自由声场点声源几何发散衰减模式预测距声源不同距离处的噪声值，具体计算公式如下：</w:t>
      </w:r>
    </w:p>
    <w:p w14:paraId="696EB61F">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jc w:val="center"/>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L</w:t>
      </w:r>
      <w:r>
        <w:rPr>
          <w:rFonts w:hint="default" w:ascii="Times New Roman" w:hAnsi="Times New Roman" w:cs="Times New Roman" w:eastAsiaTheme="minorEastAsia"/>
          <w:snapToGrid w:val="0"/>
          <w:color w:val="000000" w:themeColor="text1"/>
          <w:sz w:val="24"/>
          <w:highlight w:val="none"/>
          <w:vertAlign w:val="subscript"/>
          <w:lang w:val="en-US" w:eastAsia="zh-CN"/>
          <w14:textFill>
            <w14:solidFill>
              <w14:schemeClr w14:val="tx1"/>
            </w14:solidFill>
          </w14:textFill>
        </w:rPr>
        <w:t>A</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(r)＝L</w:t>
      </w:r>
      <w:r>
        <w:rPr>
          <w:rFonts w:hint="default" w:ascii="Times New Roman" w:hAnsi="Times New Roman" w:cs="Times New Roman" w:eastAsiaTheme="minorEastAsia"/>
          <w:snapToGrid w:val="0"/>
          <w:color w:val="000000" w:themeColor="text1"/>
          <w:sz w:val="24"/>
          <w:highlight w:val="none"/>
          <w:vertAlign w:val="subscript"/>
          <w:lang w:val="en-US" w:eastAsia="zh-CN"/>
          <w14:textFill>
            <w14:solidFill>
              <w14:schemeClr w14:val="tx1"/>
            </w14:solidFill>
          </w14:textFill>
        </w:rPr>
        <w:t>AW</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－20lg(r)－11</w:t>
      </w:r>
    </w:p>
    <w:p w14:paraId="371B9EAD">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式中：L</w:t>
      </w:r>
      <w:r>
        <w:rPr>
          <w:rFonts w:hint="default" w:ascii="Times New Roman" w:hAnsi="Times New Roman" w:cs="Times New Roman" w:eastAsiaTheme="minorEastAsia"/>
          <w:snapToGrid w:val="0"/>
          <w:color w:val="000000" w:themeColor="text1"/>
          <w:sz w:val="24"/>
          <w:highlight w:val="none"/>
          <w:vertAlign w:val="subscript"/>
          <w:lang w:val="en-US" w:eastAsia="zh-CN"/>
          <w14:textFill>
            <w14:solidFill>
              <w14:schemeClr w14:val="tx1"/>
            </w14:solidFill>
          </w14:textFill>
        </w:rPr>
        <w:t>AW</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——点声源的A声功率级，dB(A)。</w:t>
      </w:r>
    </w:p>
    <w:p w14:paraId="5FD630E1">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r——预测点距离声源的距离，m。</w:t>
      </w:r>
    </w:p>
    <w:p w14:paraId="3DDFA0B5">
      <w:pPr>
        <w:pStyle w:val="7"/>
        <w:keepNext w:val="0"/>
        <w:keepLines w:val="0"/>
        <w:pageBreakBefore w:val="0"/>
        <w:widowControl w:val="0"/>
        <w:kinsoku/>
        <w:wordWrap/>
        <w:overflowPunct/>
        <w:topLinePunct w:val="0"/>
        <w:autoSpaceDE/>
        <w:autoSpaceDN/>
        <w:bidi w:val="0"/>
        <w:adjustRightInd/>
        <w:snapToGrid w:val="0"/>
        <w:spacing w:after="0" w:afterLines="0"/>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单个风力发电机组运行时在地面不同距离处的噪声值见表5.2-1。</w:t>
      </w:r>
    </w:p>
    <w:p w14:paraId="0D6B83DD">
      <w:pPr>
        <w:pStyle w:val="7"/>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eastAsiaTheme="minorEastAsia"/>
          <w:b/>
          <w:color w:val="000000" w:themeColor="text1"/>
          <w:kern w:val="2"/>
          <w:sz w:val="24"/>
          <w:szCs w:val="24"/>
          <w:highlight w:val="none"/>
          <w:lang w:val="en-US" w:eastAsia="zh-CN"/>
          <w14:textFill>
            <w14:solidFill>
              <w14:schemeClr w14:val="tx1"/>
            </w14:solidFill>
          </w14:textFill>
        </w:rPr>
      </w:pPr>
      <w:r>
        <w:rPr>
          <w:rFonts w:hint="default" w:ascii="Times New Roman" w:hAnsi="Times New Roman" w:cs="Times New Roman" w:eastAsiaTheme="minorEastAsia"/>
          <w:b/>
          <w:color w:val="000000" w:themeColor="text1"/>
          <w:kern w:val="2"/>
          <w:sz w:val="24"/>
          <w:szCs w:val="24"/>
          <w:highlight w:val="none"/>
          <w:lang w:val="en-US" w:eastAsia="zh-CN"/>
          <w14:textFill>
            <w14:solidFill>
              <w14:schemeClr w14:val="tx1"/>
            </w14:solidFill>
          </w14:textFill>
        </w:rPr>
        <w:t>表5.2-1    单个风电机在地面不同距离处的噪声预测值       单位：dB(A)</w:t>
      </w:r>
    </w:p>
    <w:tbl>
      <w:tblPr>
        <w:tblStyle w:val="7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02"/>
        <w:gridCol w:w="761"/>
        <w:gridCol w:w="780"/>
        <w:gridCol w:w="813"/>
        <w:gridCol w:w="829"/>
        <w:gridCol w:w="796"/>
        <w:gridCol w:w="813"/>
        <w:gridCol w:w="897"/>
        <w:gridCol w:w="911"/>
        <w:gridCol w:w="771"/>
      </w:tblGrid>
      <w:tr w14:paraId="5B9D5E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82" w:type="pct"/>
            <w:noWrap w:val="0"/>
            <w:vAlign w:val="center"/>
          </w:tcPr>
          <w:p w14:paraId="08BE7FFA">
            <w:pPr>
              <w:keepNext w:val="0"/>
              <w:keepLines w:val="0"/>
              <w:pageBreakBefore w:val="0"/>
              <w:kinsoku/>
              <w:wordWrap/>
              <w:overflowPunct/>
              <w:topLinePunct w:val="0"/>
              <w:autoSpaceDE/>
              <w:autoSpaceDN/>
              <w:bidi w:val="0"/>
              <w:adjustRightInd w:val="0"/>
              <w:snapToGrid w:val="0"/>
              <w:spacing w:line="360" w:lineRule="exact"/>
              <w:ind w:left="0" w:leftChars="0"/>
              <w:jc w:val="center"/>
              <w:textAlignment w:val="auto"/>
              <w:rPr>
                <w:rFonts w:hint="eastAsia" w:ascii="宋体" w:hAnsi="宋体" w:eastAsia="宋体" w:cs="宋体"/>
                <w:sz w:val="21"/>
                <w:szCs w:val="21"/>
              </w:rPr>
            </w:pPr>
            <w:bookmarkStart w:id="468" w:name="_Hlk181282217"/>
            <w:r>
              <w:rPr>
                <w:rFonts w:hint="eastAsia" w:ascii="宋体" w:hAnsi="宋体" w:eastAsia="宋体" w:cs="宋体"/>
                <w:sz w:val="21"/>
                <w:szCs w:val="21"/>
              </w:rPr>
              <w:t>距声源水平距离r(m)</w:t>
            </w:r>
          </w:p>
        </w:tc>
        <w:tc>
          <w:tcPr>
            <w:tcW w:w="415" w:type="pct"/>
            <w:noWrap w:val="0"/>
            <w:vAlign w:val="center"/>
          </w:tcPr>
          <w:p w14:paraId="2F17D7EE">
            <w:pPr>
              <w:keepNext w:val="0"/>
              <w:keepLines w:val="0"/>
              <w:pageBreakBefore w:val="0"/>
              <w:kinsoku/>
              <w:wordWrap/>
              <w:overflowPunct/>
              <w:topLinePunct w:val="0"/>
              <w:autoSpaceDE/>
              <w:autoSpaceDN/>
              <w:bidi w:val="0"/>
              <w:adjustRightInd w:val="0"/>
              <w:snapToGrid w:val="0"/>
              <w:spacing w:line="360" w:lineRule="exact"/>
              <w:ind w:left="0" w:leftChars="0"/>
              <w:jc w:val="center"/>
              <w:textAlignment w:val="auto"/>
              <w:rPr>
                <w:rFonts w:hint="eastAsia" w:hAnsi="宋体" w:cs="宋体"/>
                <w:sz w:val="21"/>
                <w:szCs w:val="21"/>
              </w:rPr>
            </w:pPr>
            <w:r>
              <w:rPr>
                <w:rFonts w:hint="eastAsia" w:hAnsi="宋体" w:cs="宋体"/>
                <w:sz w:val="21"/>
                <w:szCs w:val="21"/>
              </w:rPr>
              <w:t>10</w:t>
            </w:r>
          </w:p>
        </w:tc>
        <w:tc>
          <w:tcPr>
            <w:tcW w:w="425" w:type="pct"/>
            <w:noWrap w:val="0"/>
            <w:vAlign w:val="center"/>
          </w:tcPr>
          <w:p w14:paraId="4DB6112C">
            <w:pPr>
              <w:keepNext w:val="0"/>
              <w:keepLines w:val="0"/>
              <w:pageBreakBefore w:val="0"/>
              <w:kinsoku/>
              <w:wordWrap/>
              <w:overflowPunct/>
              <w:topLinePunct w:val="0"/>
              <w:autoSpaceDE/>
              <w:autoSpaceDN/>
              <w:bidi w:val="0"/>
              <w:adjustRightInd w:val="0"/>
              <w:snapToGrid w:val="0"/>
              <w:spacing w:line="360" w:lineRule="exact"/>
              <w:ind w:left="0" w:leftChars="0"/>
              <w:jc w:val="center"/>
              <w:textAlignment w:val="auto"/>
              <w:rPr>
                <w:rFonts w:hint="eastAsia" w:hAnsi="宋体" w:cs="宋体"/>
                <w:sz w:val="21"/>
                <w:szCs w:val="21"/>
              </w:rPr>
            </w:pPr>
            <w:r>
              <w:rPr>
                <w:rFonts w:hint="eastAsia" w:hAnsi="宋体" w:cs="宋体"/>
                <w:sz w:val="21"/>
                <w:szCs w:val="21"/>
              </w:rPr>
              <w:t>20</w:t>
            </w:r>
          </w:p>
        </w:tc>
        <w:tc>
          <w:tcPr>
            <w:tcW w:w="443" w:type="pct"/>
            <w:noWrap w:val="0"/>
            <w:vAlign w:val="center"/>
          </w:tcPr>
          <w:p w14:paraId="445D0071">
            <w:pPr>
              <w:keepNext w:val="0"/>
              <w:keepLines w:val="0"/>
              <w:pageBreakBefore w:val="0"/>
              <w:kinsoku/>
              <w:wordWrap/>
              <w:overflowPunct/>
              <w:topLinePunct w:val="0"/>
              <w:autoSpaceDE/>
              <w:autoSpaceDN/>
              <w:bidi w:val="0"/>
              <w:adjustRightInd w:val="0"/>
              <w:snapToGrid w:val="0"/>
              <w:spacing w:line="360" w:lineRule="exact"/>
              <w:ind w:left="0" w:leftChars="0"/>
              <w:jc w:val="center"/>
              <w:textAlignment w:val="auto"/>
              <w:rPr>
                <w:rFonts w:hint="eastAsia" w:hAnsi="宋体" w:cs="宋体"/>
                <w:sz w:val="21"/>
                <w:szCs w:val="21"/>
              </w:rPr>
            </w:pPr>
            <w:r>
              <w:rPr>
                <w:rFonts w:hint="eastAsia" w:hAnsi="宋体" w:cs="宋体"/>
                <w:sz w:val="21"/>
                <w:szCs w:val="21"/>
              </w:rPr>
              <w:t>30</w:t>
            </w:r>
          </w:p>
        </w:tc>
        <w:tc>
          <w:tcPr>
            <w:tcW w:w="452" w:type="pct"/>
            <w:noWrap w:val="0"/>
            <w:vAlign w:val="center"/>
          </w:tcPr>
          <w:p w14:paraId="318B8342">
            <w:pPr>
              <w:keepNext w:val="0"/>
              <w:keepLines w:val="0"/>
              <w:pageBreakBefore w:val="0"/>
              <w:kinsoku/>
              <w:wordWrap/>
              <w:overflowPunct/>
              <w:topLinePunct w:val="0"/>
              <w:autoSpaceDE/>
              <w:autoSpaceDN/>
              <w:bidi w:val="0"/>
              <w:adjustRightInd w:val="0"/>
              <w:snapToGrid w:val="0"/>
              <w:spacing w:line="360" w:lineRule="exact"/>
              <w:ind w:left="0" w:leftChars="0"/>
              <w:jc w:val="center"/>
              <w:textAlignment w:val="auto"/>
              <w:rPr>
                <w:rFonts w:hint="eastAsia" w:hAnsi="宋体" w:cs="宋体"/>
                <w:sz w:val="21"/>
                <w:szCs w:val="21"/>
              </w:rPr>
            </w:pPr>
            <w:r>
              <w:rPr>
                <w:rFonts w:hint="eastAsia" w:hAnsi="宋体" w:cs="宋体"/>
                <w:sz w:val="21"/>
                <w:szCs w:val="21"/>
              </w:rPr>
              <w:t>36</w:t>
            </w:r>
          </w:p>
        </w:tc>
        <w:tc>
          <w:tcPr>
            <w:tcW w:w="434" w:type="pct"/>
            <w:noWrap w:val="0"/>
            <w:vAlign w:val="center"/>
          </w:tcPr>
          <w:p w14:paraId="54BBA2C8">
            <w:pPr>
              <w:keepNext w:val="0"/>
              <w:keepLines w:val="0"/>
              <w:pageBreakBefore w:val="0"/>
              <w:kinsoku/>
              <w:wordWrap/>
              <w:overflowPunct/>
              <w:topLinePunct w:val="0"/>
              <w:autoSpaceDE/>
              <w:autoSpaceDN/>
              <w:bidi w:val="0"/>
              <w:adjustRightInd w:val="0"/>
              <w:snapToGrid w:val="0"/>
              <w:spacing w:line="360" w:lineRule="exact"/>
              <w:ind w:left="0" w:leftChars="0"/>
              <w:jc w:val="center"/>
              <w:textAlignment w:val="auto"/>
              <w:rPr>
                <w:rFonts w:hint="eastAsia" w:hAnsi="宋体" w:cs="宋体"/>
                <w:sz w:val="21"/>
                <w:szCs w:val="21"/>
              </w:rPr>
            </w:pPr>
            <w:r>
              <w:rPr>
                <w:rFonts w:hint="eastAsia" w:hAnsi="宋体" w:cs="宋体"/>
                <w:sz w:val="21"/>
                <w:szCs w:val="21"/>
              </w:rPr>
              <w:t>70</w:t>
            </w:r>
          </w:p>
        </w:tc>
        <w:tc>
          <w:tcPr>
            <w:tcW w:w="443" w:type="pct"/>
            <w:noWrap w:val="0"/>
            <w:vAlign w:val="center"/>
          </w:tcPr>
          <w:p w14:paraId="5C7F1617">
            <w:pPr>
              <w:keepNext w:val="0"/>
              <w:keepLines w:val="0"/>
              <w:pageBreakBefore w:val="0"/>
              <w:kinsoku/>
              <w:wordWrap/>
              <w:overflowPunct/>
              <w:topLinePunct w:val="0"/>
              <w:autoSpaceDE/>
              <w:autoSpaceDN/>
              <w:bidi w:val="0"/>
              <w:adjustRightInd w:val="0"/>
              <w:snapToGrid w:val="0"/>
              <w:spacing w:line="360" w:lineRule="exact"/>
              <w:ind w:left="0" w:leftChars="0"/>
              <w:jc w:val="center"/>
              <w:textAlignment w:val="auto"/>
              <w:rPr>
                <w:rFonts w:hint="eastAsia" w:hAnsi="宋体" w:cs="宋体"/>
                <w:sz w:val="21"/>
                <w:szCs w:val="21"/>
              </w:rPr>
            </w:pPr>
            <w:r>
              <w:rPr>
                <w:rFonts w:hint="eastAsia" w:hAnsi="宋体" w:cs="宋体"/>
                <w:sz w:val="21"/>
                <w:szCs w:val="21"/>
              </w:rPr>
              <w:t>113</w:t>
            </w:r>
          </w:p>
        </w:tc>
        <w:tc>
          <w:tcPr>
            <w:tcW w:w="489" w:type="pct"/>
            <w:noWrap w:val="0"/>
            <w:vAlign w:val="center"/>
          </w:tcPr>
          <w:p w14:paraId="02D029C7">
            <w:pPr>
              <w:keepNext w:val="0"/>
              <w:keepLines w:val="0"/>
              <w:pageBreakBefore w:val="0"/>
              <w:kinsoku/>
              <w:wordWrap/>
              <w:overflowPunct/>
              <w:topLinePunct w:val="0"/>
              <w:autoSpaceDE/>
              <w:autoSpaceDN/>
              <w:bidi w:val="0"/>
              <w:adjustRightInd w:val="0"/>
              <w:snapToGrid w:val="0"/>
              <w:spacing w:line="360" w:lineRule="exact"/>
              <w:ind w:left="0" w:leftChars="0"/>
              <w:jc w:val="center"/>
              <w:textAlignment w:val="auto"/>
              <w:rPr>
                <w:rFonts w:hint="eastAsia" w:hAnsi="宋体" w:cs="宋体"/>
                <w:sz w:val="21"/>
                <w:szCs w:val="21"/>
              </w:rPr>
            </w:pPr>
            <w:r>
              <w:rPr>
                <w:rFonts w:hint="eastAsia" w:hAnsi="宋体" w:cs="宋体"/>
                <w:sz w:val="21"/>
                <w:szCs w:val="21"/>
              </w:rPr>
              <w:t>130</w:t>
            </w:r>
          </w:p>
        </w:tc>
        <w:tc>
          <w:tcPr>
            <w:tcW w:w="497" w:type="pct"/>
            <w:noWrap w:val="0"/>
            <w:vAlign w:val="center"/>
          </w:tcPr>
          <w:p w14:paraId="4933806F">
            <w:pPr>
              <w:keepNext w:val="0"/>
              <w:keepLines w:val="0"/>
              <w:pageBreakBefore w:val="0"/>
              <w:kinsoku/>
              <w:wordWrap/>
              <w:overflowPunct/>
              <w:topLinePunct w:val="0"/>
              <w:autoSpaceDE/>
              <w:autoSpaceDN/>
              <w:bidi w:val="0"/>
              <w:adjustRightInd w:val="0"/>
              <w:snapToGrid w:val="0"/>
              <w:spacing w:line="360" w:lineRule="exact"/>
              <w:ind w:left="0" w:leftChars="0"/>
              <w:jc w:val="center"/>
              <w:textAlignment w:val="auto"/>
              <w:rPr>
                <w:rFonts w:hint="eastAsia" w:hAnsi="宋体" w:cs="宋体"/>
                <w:sz w:val="21"/>
                <w:szCs w:val="21"/>
              </w:rPr>
            </w:pPr>
            <w:r>
              <w:rPr>
                <w:rFonts w:hint="eastAsia" w:hAnsi="宋体" w:cs="宋体"/>
                <w:sz w:val="21"/>
                <w:szCs w:val="21"/>
              </w:rPr>
              <w:t>160</w:t>
            </w:r>
          </w:p>
        </w:tc>
        <w:tc>
          <w:tcPr>
            <w:tcW w:w="420" w:type="pct"/>
            <w:noWrap w:val="0"/>
            <w:vAlign w:val="center"/>
          </w:tcPr>
          <w:p w14:paraId="6D32931A">
            <w:pPr>
              <w:keepNext w:val="0"/>
              <w:keepLines w:val="0"/>
              <w:pageBreakBefore w:val="0"/>
              <w:kinsoku/>
              <w:wordWrap/>
              <w:overflowPunct/>
              <w:topLinePunct w:val="0"/>
              <w:autoSpaceDE/>
              <w:autoSpaceDN/>
              <w:bidi w:val="0"/>
              <w:adjustRightInd w:val="0"/>
              <w:snapToGrid w:val="0"/>
              <w:spacing w:line="360" w:lineRule="exact"/>
              <w:ind w:left="0" w:leftChars="0"/>
              <w:jc w:val="center"/>
              <w:textAlignment w:val="auto"/>
              <w:rPr>
                <w:rFonts w:hint="eastAsia" w:hAnsi="宋体" w:cs="宋体"/>
                <w:sz w:val="21"/>
                <w:szCs w:val="21"/>
              </w:rPr>
            </w:pPr>
            <w:r>
              <w:rPr>
                <w:rFonts w:hint="eastAsia" w:hAnsi="宋体" w:cs="宋体"/>
                <w:sz w:val="21"/>
                <w:szCs w:val="21"/>
              </w:rPr>
              <w:t>200</w:t>
            </w:r>
          </w:p>
        </w:tc>
      </w:tr>
      <w:tr w14:paraId="34E31B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82" w:type="pct"/>
            <w:noWrap w:val="0"/>
            <w:vAlign w:val="center"/>
          </w:tcPr>
          <w:p w14:paraId="0FA8C945">
            <w:pPr>
              <w:keepNext w:val="0"/>
              <w:keepLines w:val="0"/>
              <w:pageBreakBefore w:val="0"/>
              <w:kinsoku/>
              <w:wordWrap/>
              <w:overflowPunct/>
              <w:topLinePunct w:val="0"/>
              <w:autoSpaceDE/>
              <w:autoSpaceDN/>
              <w:bidi w:val="0"/>
              <w:adjustRightInd w:val="0"/>
              <w:snapToGrid w:val="0"/>
              <w:spacing w:line="360" w:lineRule="exact"/>
              <w:ind w:left="0" w:leftChars="0"/>
              <w:jc w:val="center"/>
              <w:textAlignment w:val="auto"/>
              <w:rPr>
                <w:rFonts w:hint="eastAsia" w:ascii="宋体" w:hAnsi="宋体" w:eastAsia="宋体" w:cs="宋体"/>
                <w:sz w:val="21"/>
                <w:szCs w:val="21"/>
              </w:rPr>
            </w:pPr>
            <w:r>
              <w:rPr>
                <w:rFonts w:hint="eastAsia" w:ascii="宋体" w:hAnsi="宋体" w:eastAsia="宋体" w:cs="宋体"/>
                <w:sz w:val="21"/>
                <w:szCs w:val="21"/>
              </w:rPr>
              <w:t>L(r)</w:t>
            </w:r>
          </w:p>
        </w:tc>
        <w:tc>
          <w:tcPr>
            <w:tcW w:w="415" w:type="pct"/>
            <w:noWrap w:val="0"/>
            <w:vAlign w:val="center"/>
          </w:tcPr>
          <w:p w14:paraId="41C1A5CA">
            <w:pPr>
              <w:keepNext w:val="0"/>
              <w:keepLines w:val="0"/>
              <w:pageBreakBefore w:val="0"/>
              <w:kinsoku/>
              <w:wordWrap/>
              <w:overflowPunct/>
              <w:topLinePunct w:val="0"/>
              <w:autoSpaceDE/>
              <w:autoSpaceDN/>
              <w:bidi w:val="0"/>
              <w:adjustRightInd w:val="0"/>
              <w:snapToGrid w:val="0"/>
              <w:spacing w:line="360" w:lineRule="exact"/>
              <w:ind w:left="0" w:leftChars="0"/>
              <w:jc w:val="center"/>
              <w:textAlignment w:val="auto"/>
              <w:rPr>
                <w:rFonts w:hint="eastAsia" w:hAnsi="宋体" w:cs="宋体"/>
                <w:sz w:val="21"/>
                <w:szCs w:val="21"/>
              </w:rPr>
            </w:pPr>
            <w:r>
              <w:rPr>
                <w:sz w:val="21"/>
                <w:szCs w:val="21"/>
              </w:rPr>
              <w:t>71</w:t>
            </w:r>
          </w:p>
        </w:tc>
        <w:tc>
          <w:tcPr>
            <w:tcW w:w="425" w:type="pct"/>
            <w:noWrap w:val="0"/>
            <w:vAlign w:val="center"/>
          </w:tcPr>
          <w:p w14:paraId="5D4E0057">
            <w:pPr>
              <w:keepNext w:val="0"/>
              <w:keepLines w:val="0"/>
              <w:pageBreakBefore w:val="0"/>
              <w:kinsoku/>
              <w:wordWrap/>
              <w:overflowPunct/>
              <w:topLinePunct w:val="0"/>
              <w:autoSpaceDE/>
              <w:autoSpaceDN/>
              <w:bidi w:val="0"/>
              <w:adjustRightInd w:val="0"/>
              <w:snapToGrid w:val="0"/>
              <w:spacing w:line="360" w:lineRule="exact"/>
              <w:ind w:left="0" w:leftChars="0"/>
              <w:jc w:val="center"/>
              <w:textAlignment w:val="auto"/>
              <w:rPr>
                <w:rFonts w:hint="eastAsia" w:hAnsi="宋体" w:cs="宋体"/>
                <w:sz w:val="21"/>
                <w:szCs w:val="21"/>
              </w:rPr>
            </w:pPr>
            <w:r>
              <w:rPr>
                <w:sz w:val="21"/>
                <w:szCs w:val="21"/>
              </w:rPr>
              <w:t>65</w:t>
            </w:r>
          </w:p>
        </w:tc>
        <w:tc>
          <w:tcPr>
            <w:tcW w:w="443" w:type="pct"/>
            <w:noWrap w:val="0"/>
            <w:vAlign w:val="center"/>
          </w:tcPr>
          <w:p w14:paraId="159BB072">
            <w:pPr>
              <w:keepNext w:val="0"/>
              <w:keepLines w:val="0"/>
              <w:pageBreakBefore w:val="0"/>
              <w:kinsoku/>
              <w:wordWrap/>
              <w:overflowPunct/>
              <w:topLinePunct w:val="0"/>
              <w:autoSpaceDE/>
              <w:autoSpaceDN/>
              <w:bidi w:val="0"/>
              <w:adjustRightInd w:val="0"/>
              <w:snapToGrid w:val="0"/>
              <w:spacing w:line="360" w:lineRule="exact"/>
              <w:ind w:left="0" w:leftChars="0"/>
              <w:jc w:val="center"/>
              <w:textAlignment w:val="auto"/>
              <w:rPr>
                <w:rFonts w:hint="eastAsia" w:hAnsi="宋体" w:cs="宋体"/>
                <w:sz w:val="21"/>
                <w:szCs w:val="21"/>
              </w:rPr>
            </w:pPr>
            <w:r>
              <w:rPr>
                <w:sz w:val="21"/>
                <w:szCs w:val="21"/>
              </w:rPr>
              <w:t>61.5</w:t>
            </w:r>
          </w:p>
        </w:tc>
        <w:tc>
          <w:tcPr>
            <w:tcW w:w="452" w:type="pct"/>
            <w:noWrap w:val="0"/>
            <w:vAlign w:val="center"/>
          </w:tcPr>
          <w:p w14:paraId="63A81326">
            <w:pPr>
              <w:keepNext w:val="0"/>
              <w:keepLines w:val="0"/>
              <w:pageBreakBefore w:val="0"/>
              <w:kinsoku/>
              <w:wordWrap/>
              <w:overflowPunct/>
              <w:topLinePunct w:val="0"/>
              <w:autoSpaceDE/>
              <w:autoSpaceDN/>
              <w:bidi w:val="0"/>
              <w:adjustRightInd w:val="0"/>
              <w:snapToGrid w:val="0"/>
              <w:spacing w:line="360" w:lineRule="exact"/>
              <w:ind w:left="0" w:leftChars="0"/>
              <w:jc w:val="center"/>
              <w:textAlignment w:val="auto"/>
              <w:rPr>
                <w:rFonts w:hint="eastAsia" w:hAnsi="宋体" w:cs="宋体"/>
                <w:sz w:val="21"/>
                <w:szCs w:val="21"/>
              </w:rPr>
            </w:pPr>
            <w:r>
              <w:rPr>
                <w:rFonts w:hint="eastAsia"/>
                <w:sz w:val="21"/>
                <w:szCs w:val="21"/>
              </w:rPr>
              <w:t>59.9</w:t>
            </w:r>
          </w:p>
        </w:tc>
        <w:tc>
          <w:tcPr>
            <w:tcW w:w="434" w:type="pct"/>
            <w:noWrap w:val="0"/>
            <w:vAlign w:val="center"/>
          </w:tcPr>
          <w:p w14:paraId="5627FDC3">
            <w:pPr>
              <w:keepNext w:val="0"/>
              <w:keepLines w:val="0"/>
              <w:pageBreakBefore w:val="0"/>
              <w:kinsoku/>
              <w:wordWrap/>
              <w:overflowPunct/>
              <w:topLinePunct w:val="0"/>
              <w:autoSpaceDE/>
              <w:autoSpaceDN/>
              <w:bidi w:val="0"/>
              <w:adjustRightInd w:val="0"/>
              <w:snapToGrid w:val="0"/>
              <w:spacing w:line="360" w:lineRule="exact"/>
              <w:ind w:left="0" w:leftChars="0"/>
              <w:jc w:val="center"/>
              <w:textAlignment w:val="auto"/>
              <w:rPr>
                <w:rFonts w:hint="eastAsia" w:hAnsi="宋体" w:cs="宋体"/>
                <w:sz w:val="21"/>
                <w:szCs w:val="21"/>
              </w:rPr>
            </w:pPr>
            <w:r>
              <w:rPr>
                <w:sz w:val="21"/>
                <w:szCs w:val="21"/>
              </w:rPr>
              <w:t>54.1</w:t>
            </w:r>
          </w:p>
        </w:tc>
        <w:tc>
          <w:tcPr>
            <w:tcW w:w="443" w:type="pct"/>
            <w:noWrap w:val="0"/>
            <w:vAlign w:val="center"/>
          </w:tcPr>
          <w:p w14:paraId="720D4E5A">
            <w:pPr>
              <w:keepNext w:val="0"/>
              <w:keepLines w:val="0"/>
              <w:pageBreakBefore w:val="0"/>
              <w:kinsoku/>
              <w:wordWrap/>
              <w:overflowPunct/>
              <w:topLinePunct w:val="0"/>
              <w:autoSpaceDE/>
              <w:autoSpaceDN/>
              <w:bidi w:val="0"/>
              <w:adjustRightInd w:val="0"/>
              <w:snapToGrid w:val="0"/>
              <w:spacing w:line="360" w:lineRule="exact"/>
              <w:ind w:left="0" w:leftChars="0"/>
              <w:jc w:val="center"/>
              <w:textAlignment w:val="auto"/>
              <w:rPr>
                <w:rFonts w:hint="eastAsia" w:hAnsi="宋体" w:cs="宋体"/>
                <w:sz w:val="21"/>
                <w:szCs w:val="21"/>
              </w:rPr>
            </w:pPr>
            <w:r>
              <w:rPr>
                <w:rFonts w:hint="eastAsia"/>
                <w:sz w:val="21"/>
                <w:szCs w:val="21"/>
              </w:rPr>
              <w:t>49.9</w:t>
            </w:r>
          </w:p>
        </w:tc>
        <w:tc>
          <w:tcPr>
            <w:tcW w:w="489" w:type="pct"/>
            <w:noWrap w:val="0"/>
            <w:vAlign w:val="center"/>
          </w:tcPr>
          <w:p w14:paraId="17C87A95">
            <w:pPr>
              <w:keepNext w:val="0"/>
              <w:keepLines w:val="0"/>
              <w:pageBreakBefore w:val="0"/>
              <w:kinsoku/>
              <w:wordWrap/>
              <w:overflowPunct/>
              <w:topLinePunct w:val="0"/>
              <w:autoSpaceDE/>
              <w:autoSpaceDN/>
              <w:bidi w:val="0"/>
              <w:adjustRightInd w:val="0"/>
              <w:snapToGrid w:val="0"/>
              <w:spacing w:line="360" w:lineRule="exact"/>
              <w:ind w:left="0" w:leftChars="0"/>
              <w:jc w:val="center"/>
              <w:textAlignment w:val="auto"/>
              <w:rPr>
                <w:rFonts w:hint="eastAsia" w:hAnsi="宋体" w:cs="宋体"/>
                <w:sz w:val="21"/>
                <w:szCs w:val="21"/>
              </w:rPr>
            </w:pPr>
            <w:r>
              <w:rPr>
                <w:sz w:val="21"/>
                <w:szCs w:val="21"/>
              </w:rPr>
              <w:t>48.7</w:t>
            </w:r>
          </w:p>
        </w:tc>
        <w:tc>
          <w:tcPr>
            <w:tcW w:w="497" w:type="pct"/>
            <w:noWrap w:val="0"/>
            <w:vAlign w:val="center"/>
          </w:tcPr>
          <w:p w14:paraId="04AB1A59">
            <w:pPr>
              <w:keepNext w:val="0"/>
              <w:keepLines w:val="0"/>
              <w:pageBreakBefore w:val="0"/>
              <w:kinsoku/>
              <w:wordWrap/>
              <w:overflowPunct/>
              <w:topLinePunct w:val="0"/>
              <w:autoSpaceDE/>
              <w:autoSpaceDN/>
              <w:bidi w:val="0"/>
              <w:adjustRightInd w:val="0"/>
              <w:snapToGrid w:val="0"/>
              <w:spacing w:line="360" w:lineRule="exact"/>
              <w:ind w:left="0" w:leftChars="0"/>
              <w:jc w:val="center"/>
              <w:textAlignment w:val="auto"/>
              <w:rPr>
                <w:rFonts w:hint="eastAsia" w:hAnsi="宋体" w:cs="宋体"/>
                <w:sz w:val="21"/>
                <w:szCs w:val="21"/>
              </w:rPr>
            </w:pPr>
            <w:r>
              <w:rPr>
                <w:sz w:val="21"/>
                <w:szCs w:val="21"/>
              </w:rPr>
              <w:t>46.9</w:t>
            </w:r>
          </w:p>
        </w:tc>
        <w:tc>
          <w:tcPr>
            <w:tcW w:w="420" w:type="pct"/>
            <w:noWrap w:val="0"/>
            <w:vAlign w:val="center"/>
          </w:tcPr>
          <w:p w14:paraId="46E251CF">
            <w:pPr>
              <w:keepNext w:val="0"/>
              <w:keepLines w:val="0"/>
              <w:pageBreakBefore w:val="0"/>
              <w:kinsoku/>
              <w:wordWrap/>
              <w:overflowPunct/>
              <w:topLinePunct w:val="0"/>
              <w:autoSpaceDE/>
              <w:autoSpaceDN/>
              <w:bidi w:val="0"/>
              <w:adjustRightInd w:val="0"/>
              <w:snapToGrid w:val="0"/>
              <w:spacing w:line="360" w:lineRule="exact"/>
              <w:ind w:left="0" w:leftChars="0"/>
              <w:jc w:val="center"/>
              <w:textAlignment w:val="auto"/>
              <w:rPr>
                <w:rFonts w:hint="eastAsia" w:hAnsi="宋体" w:cs="宋体"/>
                <w:sz w:val="21"/>
                <w:szCs w:val="21"/>
              </w:rPr>
            </w:pPr>
            <w:r>
              <w:rPr>
                <w:sz w:val="21"/>
                <w:szCs w:val="21"/>
              </w:rPr>
              <w:t>45</w:t>
            </w:r>
          </w:p>
        </w:tc>
      </w:tr>
      <w:bookmarkEnd w:id="468"/>
    </w:tbl>
    <w:p w14:paraId="727D6009">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FF0000"/>
          <w:sz w:val="24"/>
          <w:highlight w:val="none"/>
          <w:lang w:val="en-US" w:eastAsia="zh-CN"/>
        </w:rPr>
      </w:pPr>
    </w:p>
    <w:p w14:paraId="10A47807">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由表5.2-1可知：风电场单个风机，昼间在水平距离36m外、夜间在水平距离113m外的噪声满足《声环境质量标准》(GB3096-2008)2类区噪声限值，即昼间60dB(A)、夜间50dB(A)的要求。</w:t>
      </w:r>
    </w:p>
    <w:p w14:paraId="474C5FBE">
      <w:pPr>
        <w:keepNext w:val="0"/>
        <w:keepLines w:val="0"/>
        <w:pageBreakBefore w:val="0"/>
        <w:widowControl w:val="0"/>
        <w:numPr>
          <w:ilvl w:val="0"/>
          <w:numId w:val="0"/>
        </w:numPr>
        <w:tabs>
          <w:tab w:val="left" w:pos="1260"/>
        </w:tabs>
        <w:kinsoku/>
        <w:wordWrap/>
        <w:overflowPunct/>
        <w:topLinePunct w:val="0"/>
        <w:autoSpaceDE/>
        <w:autoSpaceDN/>
        <w:bidi w:val="0"/>
        <w:adjustRightInd/>
        <w:snapToGrid/>
        <w:spacing w:line="360" w:lineRule="auto"/>
        <w:ind w:left="0" w:leftChars="0"/>
        <w:textAlignment w:val="auto"/>
        <w:outlineLvl w:val="3"/>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t>5.</w:t>
      </w:r>
      <w:r>
        <w:rPr>
          <w:rFonts w:hint="eastAsia"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t>2</w:t>
      </w:r>
      <w:r>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t>.</w:t>
      </w:r>
      <w:r>
        <w:rPr>
          <w:rFonts w:hint="eastAsia"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t>3</w:t>
      </w:r>
      <w:r>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t>.</w:t>
      </w:r>
      <w:r>
        <w:rPr>
          <w:rFonts w:hint="eastAsia" w:cs="Times New Roman" w:eastAsiaTheme="minorEastAsia"/>
          <w:b/>
          <w:bCs/>
          <w:snapToGrid w:val="0"/>
          <w:color w:val="000000" w:themeColor="text1"/>
          <w:kern w:val="0"/>
          <w:sz w:val="24"/>
          <w:highlight w:val="none"/>
          <w:lang w:val="en-US" w:eastAsia="zh-CN"/>
          <w14:textFill>
            <w14:solidFill>
              <w14:schemeClr w14:val="tx1"/>
            </w14:solidFill>
          </w14:textFill>
        </w:rPr>
        <w:t>2</w:t>
      </w:r>
      <w:r>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t xml:space="preserve"> 噪声影响分析结论</w:t>
      </w:r>
    </w:p>
    <w:p w14:paraId="7475A566">
      <w:pPr>
        <w:pStyle w:val="27"/>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center"/>
        <w:rPr>
          <w:rFonts w:hint="default" w:ascii="Times New Roman" w:hAnsi="Times New Roman" w:cs="Times New Roman" w:eastAsiaTheme="minorEastAsia"/>
          <w:color w:val="FF0000"/>
          <w:sz w:val="24"/>
          <w:szCs w:val="24"/>
          <w:highlight w:val="none"/>
          <w:lang w:val="en-US" w:eastAsia="zh-CN"/>
        </w:rPr>
      </w:pP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由预测结果可知，风电场单个风机，昼间在水平距离50m外、夜间在水平距离160m外的噪声满足《声环境质量标准》(GB3096-2008）中的2类标准，即昼间60dB(A)、夜间50dB(A）的要求。</w:t>
      </w:r>
    </w:p>
    <w:p w14:paraId="3DDD3D15">
      <w:pPr>
        <w:spacing w:before="29" w:line="218" w:lineRule="auto"/>
        <w:ind w:left="495"/>
        <w:rPr>
          <w:rFonts w:hint="default" w:ascii="Times New Roman" w:hAnsi="Times New Roman" w:cs="Times New Roman" w:eastAsiaTheme="minorEastAsia"/>
          <w:snapToGrid w:val="0"/>
          <w:color w:val="000000" w:themeColor="text1"/>
          <w:kern w:val="2"/>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kern w:val="2"/>
          <w:sz w:val="24"/>
          <w:highlight w:val="none"/>
          <w:lang w:val="en-US" w:eastAsia="zh-CN"/>
          <w14:textFill>
            <w14:solidFill>
              <w14:schemeClr w14:val="tx1"/>
            </w14:solidFill>
          </w14:textFill>
        </w:rPr>
        <w:t>本项目声环境影响评价自查表，见下表。</w:t>
      </w:r>
    </w:p>
    <w:p w14:paraId="4B379EA6">
      <w:pPr>
        <w:spacing w:before="191" w:line="218" w:lineRule="auto"/>
        <w:ind w:left="0" w:leftChars="0" w:firstLine="1074" w:firstLineChars="500"/>
        <w:jc w:val="both"/>
        <w:rPr>
          <w:rFonts w:hint="default" w:ascii="Times New Roman" w:hAnsi="Times New Roman" w:cs="Times New Roman" w:eastAsiaTheme="minorEastAsia"/>
          <w:color w:val="000000" w:themeColor="text1"/>
          <w:sz w:val="22"/>
          <w:szCs w:val="22"/>
          <w:highlight w:val="none"/>
          <w14:textFill>
            <w14:solidFill>
              <w14:schemeClr w14:val="tx1"/>
            </w14:solidFill>
          </w14:textFill>
        </w:rPr>
      </w:pPr>
      <w:r>
        <w:rPr>
          <w:rFonts w:hint="default" w:ascii="Times New Roman" w:hAnsi="Times New Roman" w:cs="Times New Roman" w:eastAsiaTheme="minorEastAsia"/>
          <w:b/>
          <w:bCs/>
          <w:color w:val="000000" w:themeColor="text1"/>
          <w:spacing w:val="-3"/>
          <w:sz w:val="22"/>
          <w:szCs w:val="22"/>
          <w:highlight w:val="none"/>
          <w14:textFill>
            <w14:solidFill>
              <w14:schemeClr w14:val="tx1"/>
            </w14:solidFill>
          </w14:textFill>
        </w:rPr>
        <w:t>表5.2-</w:t>
      </w:r>
      <w:r>
        <w:rPr>
          <w:rFonts w:hint="eastAsia" w:cs="Times New Roman" w:eastAsiaTheme="minorEastAsia"/>
          <w:b/>
          <w:bCs/>
          <w:color w:val="000000" w:themeColor="text1"/>
          <w:spacing w:val="-3"/>
          <w:sz w:val="22"/>
          <w:szCs w:val="22"/>
          <w:highlight w:val="none"/>
          <w:lang w:val="en-US" w:eastAsia="zh-CN"/>
          <w14:textFill>
            <w14:solidFill>
              <w14:schemeClr w14:val="tx1"/>
            </w14:solidFill>
          </w14:textFill>
        </w:rPr>
        <w:t>2</w:t>
      </w:r>
      <w:r>
        <w:rPr>
          <w:rFonts w:hint="default" w:ascii="Times New Roman" w:hAnsi="Times New Roman" w:cs="Times New Roman" w:eastAsiaTheme="minorEastAsia"/>
          <w:color w:val="000000" w:themeColor="text1"/>
          <w:spacing w:val="-3"/>
          <w:sz w:val="22"/>
          <w:szCs w:val="22"/>
          <w:highlight w:val="none"/>
          <w14:textFill>
            <w14:solidFill>
              <w14:schemeClr w14:val="tx1"/>
            </w14:solidFill>
          </w14:textFill>
        </w:rPr>
        <w:t xml:space="preserve">  </w:t>
      </w:r>
      <w:r>
        <w:rPr>
          <w:rFonts w:hint="eastAsia" w:cs="Times New Roman" w:eastAsiaTheme="minorEastAsia"/>
          <w:color w:val="000000" w:themeColor="text1"/>
          <w:spacing w:val="-3"/>
          <w:sz w:val="22"/>
          <w:szCs w:val="22"/>
          <w:highlight w:val="none"/>
          <w:lang w:val="en-US" w:eastAsia="zh-CN"/>
          <w14:textFill>
            <w14:solidFill>
              <w14:schemeClr w14:val="tx1"/>
            </w14:solidFill>
          </w14:textFill>
        </w:rPr>
        <w:t xml:space="preserve">           </w:t>
      </w:r>
      <w:r>
        <w:rPr>
          <w:rFonts w:hint="default" w:ascii="Times New Roman" w:hAnsi="Times New Roman" w:cs="Times New Roman" w:eastAsiaTheme="minorEastAsia"/>
          <w:b/>
          <w:bCs/>
          <w:color w:val="000000" w:themeColor="text1"/>
          <w:spacing w:val="-3"/>
          <w:sz w:val="22"/>
          <w:szCs w:val="22"/>
          <w:highlight w:val="none"/>
          <w14:textFill>
            <w14:solidFill>
              <w14:schemeClr w14:val="tx1"/>
            </w14:solidFill>
          </w14:textFill>
        </w:rPr>
        <w:t>声环境影响评价自查表</w:t>
      </w:r>
    </w:p>
    <w:p w14:paraId="65609F19">
      <w:pPr>
        <w:spacing w:line="51" w:lineRule="exact"/>
        <w:rPr>
          <w:rFonts w:hint="default" w:ascii="Times New Roman" w:hAnsi="Times New Roman" w:cs="Times New Roman" w:eastAsiaTheme="minorEastAsia"/>
          <w:color w:val="FF0000"/>
          <w:highlight w:val="none"/>
        </w:rPr>
      </w:pPr>
    </w:p>
    <w:tbl>
      <w:tblPr>
        <w:tblStyle w:val="612"/>
        <w:tblW w:w="503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982"/>
        <w:gridCol w:w="1748"/>
        <w:gridCol w:w="844"/>
        <w:gridCol w:w="553"/>
        <w:gridCol w:w="542"/>
        <w:gridCol w:w="1079"/>
        <w:gridCol w:w="2"/>
        <w:gridCol w:w="1081"/>
        <w:gridCol w:w="515"/>
        <w:gridCol w:w="443"/>
        <w:gridCol w:w="116"/>
        <w:gridCol w:w="1128"/>
        <w:gridCol w:w="5"/>
      </w:tblGrid>
      <w:tr w14:paraId="32A7F8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1510" w:type="pct"/>
            <w:gridSpan w:val="2"/>
            <w:vAlign w:val="center"/>
          </w:tcPr>
          <w:p w14:paraId="18363398">
            <w:pPr>
              <w:pStyle w:val="62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spacing w:val="-5"/>
                <w:sz w:val="21"/>
                <w:szCs w:val="21"/>
                <w:highlight w:val="none"/>
                <w14:textFill>
                  <w14:solidFill>
                    <w14:schemeClr w14:val="tx1"/>
                  </w14:solidFill>
                </w14:textFill>
              </w:rPr>
              <w:t>工作内容</w:t>
            </w:r>
          </w:p>
        </w:tc>
        <w:tc>
          <w:tcPr>
            <w:tcW w:w="3489" w:type="pct"/>
            <w:gridSpan w:val="11"/>
            <w:vAlign w:val="center"/>
          </w:tcPr>
          <w:p w14:paraId="06F15F84">
            <w:pPr>
              <w:pStyle w:val="62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spacing w:val="6"/>
                <w:sz w:val="21"/>
                <w:szCs w:val="21"/>
                <w:highlight w:val="none"/>
                <w14:textFill>
                  <w14:solidFill>
                    <w14:schemeClr w14:val="tx1"/>
                  </w14:solidFill>
                </w14:textFill>
              </w:rPr>
              <w:t>自查项目</w:t>
            </w:r>
          </w:p>
        </w:tc>
      </w:tr>
      <w:tr w14:paraId="3B3325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43" w:type="pct"/>
            <w:vMerge w:val="restart"/>
            <w:tcBorders>
              <w:bottom w:val="nil"/>
            </w:tcBorders>
            <w:vAlign w:val="center"/>
          </w:tcPr>
          <w:p w14:paraId="34BB9ED1">
            <w:pPr>
              <w:pStyle w:val="62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3"/>
                <w:sz w:val="21"/>
                <w:szCs w:val="21"/>
                <w:highlight w:val="none"/>
                <w14:textFill>
                  <w14:solidFill>
                    <w14:schemeClr w14:val="tx1"/>
                  </w14:solidFill>
                </w14:textFill>
              </w:rPr>
              <w:t>评价等级</w:t>
            </w:r>
          </w:p>
          <w:p w14:paraId="157B0397">
            <w:pPr>
              <w:pStyle w:val="62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6"/>
                <w:sz w:val="21"/>
                <w:szCs w:val="21"/>
                <w:highlight w:val="none"/>
                <w14:textFill>
                  <w14:solidFill>
                    <w14:schemeClr w14:val="tx1"/>
                  </w14:solidFill>
                </w14:textFill>
              </w:rPr>
              <w:t>与范围</w:t>
            </w:r>
          </w:p>
        </w:tc>
        <w:tc>
          <w:tcPr>
            <w:tcW w:w="966" w:type="pct"/>
            <w:vAlign w:val="center"/>
          </w:tcPr>
          <w:p w14:paraId="32D576D8">
            <w:pPr>
              <w:pStyle w:val="62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3"/>
                <w:sz w:val="21"/>
                <w:szCs w:val="21"/>
                <w:highlight w:val="none"/>
                <w14:textFill>
                  <w14:solidFill>
                    <w14:schemeClr w14:val="tx1"/>
                  </w14:solidFill>
                </w14:textFill>
              </w:rPr>
              <w:t>评价等级</w:t>
            </w:r>
          </w:p>
        </w:tc>
        <w:tc>
          <w:tcPr>
            <w:tcW w:w="1073" w:type="pct"/>
            <w:gridSpan w:val="3"/>
            <w:vAlign w:val="center"/>
          </w:tcPr>
          <w:p w14:paraId="21549CED">
            <w:pPr>
              <w:pStyle w:val="62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一级</w:t>
            </w:r>
            <w:r>
              <w:rPr>
                <w:rFonts w:hint="default" w:ascii="Times New Roman" w:hAnsi="Times New Roman" w:cs="Times New Roman" w:eastAsiaTheme="minorEastAsia"/>
                <w:color w:val="000000" w:themeColor="text1"/>
                <w:spacing w:val="10"/>
                <w:sz w:val="21"/>
                <w:szCs w:val="21"/>
                <w:highlight w:val="none"/>
                <w14:textFill>
                  <w14:solidFill>
                    <w14:schemeClr w14:val="tx1"/>
                  </w14:solidFill>
                </w14:textFill>
              </w:rPr>
              <w:t>口</w:t>
            </w:r>
          </w:p>
        </w:tc>
        <w:tc>
          <w:tcPr>
            <w:tcW w:w="1196" w:type="pct"/>
            <w:gridSpan w:val="3"/>
            <w:vAlign w:val="center"/>
          </w:tcPr>
          <w:p w14:paraId="5A5FABB3">
            <w:pPr>
              <w:pStyle w:val="62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10"/>
                <w:sz w:val="21"/>
                <w:szCs w:val="21"/>
                <w:highlight w:val="none"/>
                <w14:textFill>
                  <w14:solidFill>
                    <w14:schemeClr w14:val="tx1"/>
                  </w14:solidFill>
                </w14:textFill>
              </w:rPr>
              <w:t>二级</w:t>
            </w: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w:t>
            </w:r>
          </w:p>
        </w:tc>
        <w:tc>
          <w:tcPr>
            <w:tcW w:w="1219" w:type="pct"/>
            <w:gridSpan w:val="5"/>
            <w:vAlign w:val="center"/>
          </w:tcPr>
          <w:p w14:paraId="003CB9F5">
            <w:pPr>
              <w:pStyle w:val="62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10"/>
                <w:sz w:val="21"/>
                <w:szCs w:val="21"/>
                <w:highlight w:val="none"/>
                <w14:textFill>
                  <w14:solidFill>
                    <w14:schemeClr w14:val="tx1"/>
                  </w14:solidFill>
                </w14:textFill>
              </w:rPr>
              <w:t>三级口</w:t>
            </w:r>
          </w:p>
        </w:tc>
      </w:tr>
      <w:tr w14:paraId="082FD0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543" w:type="pct"/>
            <w:vMerge w:val="continue"/>
            <w:tcBorders>
              <w:top w:val="nil"/>
            </w:tcBorders>
            <w:vAlign w:val="center"/>
          </w:tcPr>
          <w:p w14:paraId="3F0EBBF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966" w:type="pct"/>
            <w:vAlign w:val="center"/>
          </w:tcPr>
          <w:p w14:paraId="190FB0EB">
            <w:pPr>
              <w:pStyle w:val="62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5"/>
                <w:sz w:val="21"/>
                <w:szCs w:val="21"/>
                <w:highlight w:val="none"/>
                <w14:textFill>
                  <w14:solidFill>
                    <w14:schemeClr w14:val="tx1"/>
                  </w14:solidFill>
                </w14:textFill>
              </w:rPr>
              <w:t>评价范围</w:t>
            </w:r>
          </w:p>
        </w:tc>
        <w:tc>
          <w:tcPr>
            <w:tcW w:w="1073" w:type="pct"/>
            <w:gridSpan w:val="3"/>
            <w:vAlign w:val="center"/>
          </w:tcPr>
          <w:p w14:paraId="0EA2500D">
            <w:pPr>
              <w:pStyle w:val="62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spacing w:val="-3"/>
                <w:sz w:val="21"/>
                <w:szCs w:val="21"/>
                <w:highlight w:val="none"/>
                <w14:textFill>
                  <w14:solidFill>
                    <w14:schemeClr w14:val="tx1"/>
                  </w14:solidFill>
                </w14:textFill>
              </w:rPr>
              <w:t>200m</w:t>
            </w:r>
            <w:r>
              <w:rPr>
                <w:rFonts w:hint="default" w:ascii="Times New Roman" w:hAnsi="Times New Roman" w:cs="Times New Roman" w:eastAsiaTheme="minorEastAsia"/>
                <w:color w:val="000000" w:themeColor="text1"/>
                <w:spacing w:val="-3"/>
                <w:sz w:val="21"/>
                <w:szCs w:val="21"/>
                <w:highlight w:val="none"/>
                <w:lang w:eastAsia="zh-CN"/>
                <w14:textFill>
                  <w14:solidFill>
                    <w14:schemeClr w14:val="tx1"/>
                  </w14:solidFill>
                </w14:textFill>
              </w:rPr>
              <w:t>☑</w:t>
            </w:r>
          </w:p>
        </w:tc>
        <w:tc>
          <w:tcPr>
            <w:tcW w:w="1196" w:type="pct"/>
            <w:gridSpan w:val="3"/>
            <w:vAlign w:val="center"/>
          </w:tcPr>
          <w:p w14:paraId="4E1964B6">
            <w:pPr>
              <w:pStyle w:val="62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44"/>
                <w:sz w:val="21"/>
                <w:szCs w:val="21"/>
                <w:highlight w:val="none"/>
                <w14:textFill>
                  <w14:solidFill>
                    <w14:schemeClr w14:val="tx1"/>
                  </w14:solidFill>
                </w14:textFill>
              </w:rPr>
              <w:t>大于200</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m</w:t>
            </w:r>
          </w:p>
        </w:tc>
        <w:tc>
          <w:tcPr>
            <w:tcW w:w="1219" w:type="pct"/>
            <w:gridSpan w:val="5"/>
            <w:vAlign w:val="center"/>
          </w:tcPr>
          <w:p w14:paraId="28759E65">
            <w:pPr>
              <w:pStyle w:val="62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44"/>
                <w:sz w:val="21"/>
                <w:szCs w:val="21"/>
                <w:highlight w:val="none"/>
                <w14:textFill>
                  <w14:solidFill>
                    <w14:schemeClr w14:val="tx1"/>
                  </w14:solidFill>
                </w14:textFill>
              </w:rPr>
              <w:t>小于200</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m</w:t>
            </w:r>
          </w:p>
        </w:tc>
      </w:tr>
      <w:tr w14:paraId="5214B5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543" w:type="pct"/>
            <w:vAlign w:val="center"/>
          </w:tcPr>
          <w:p w14:paraId="4099A725">
            <w:pPr>
              <w:pStyle w:val="62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2"/>
                <w:sz w:val="21"/>
                <w:szCs w:val="21"/>
                <w:highlight w:val="none"/>
                <w14:textFill>
                  <w14:solidFill>
                    <w14:schemeClr w14:val="tx1"/>
                  </w14:solidFill>
                </w14:textFill>
              </w:rPr>
              <w:t>评价因子</w:t>
            </w:r>
          </w:p>
        </w:tc>
        <w:tc>
          <w:tcPr>
            <w:tcW w:w="966" w:type="pct"/>
            <w:vAlign w:val="center"/>
          </w:tcPr>
          <w:p w14:paraId="412FE55C">
            <w:pPr>
              <w:pStyle w:val="62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2"/>
                <w:sz w:val="21"/>
                <w:szCs w:val="21"/>
                <w:highlight w:val="none"/>
                <w14:textFill>
                  <w14:solidFill>
                    <w14:schemeClr w14:val="tx1"/>
                  </w14:solidFill>
                </w14:textFill>
              </w:rPr>
              <w:t>评价因子</w:t>
            </w:r>
          </w:p>
        </w:tc>
        <w:tc>
          <w:tcPr>
            <w:tcW w:w="3489" w:type="pct"/>
            <w:gridSpan w:val="11"/>
            <w:vAlign w:val="center"/>
          </w:tcPr>
          <w:p w14:paraId="7295F105">
            <w:pPr>
              <w:pStyle w:val="62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2"/>
                <w:sz w:val="21"/>
                <w:szCs w:val="21"/>
                <w:highlight w:val="none"/>
                <w14:textFill>
                  <w14:solidFill>
                    <w14:schemeClr w14:val="tx1"/>
                  </w14:solidFill>
                </w14:textFill>
              </w:rPr>
              <w:t>等效连续A声级☑   最大A声级口</w:t>
            </w:r>
            <w:r>
              <w:rPr>
                <w:rFonts w:hint="default" w:ascii="Times New Roman" w:hAnsi="Times New Roman" w:cs="Times New Roman" w:eastAsiaTheme="minorEastAsia"/>
                <w:color w:val="000000" w:themeColor="text1"/>
                <w:spacing w:val="2"/>
                <w:sz w:val="21"/>
                <w:szCs w:val="21"/>
                <w:highlight w:val="none"/>
                <w:lang w:val="en-US" w:eastAsia="zh-CN"/>
                <w14:textFill>
                  <w14:solidFill>
                    <w14:schemeClr w14:val="tx1"/>
                  </w14:solidFill>
                </w14:textFill>
              </w:rPr>
              <w:t xml:space="preserve">  </w:t>
            </w:r>
            <w:r>
              <w:rPr>
                <w:rFonts w:hint="default" w:ascii="Times New Roman" w:hAnsi="Times New Roman" w:cs="Times New Roman" w:eastAsiaTheme="minorEastAsia"/>
                <w:color w:val="000000" w:themeColor="text1"/>
                <w:spacing w:val="2"/>
                <w:sz w:val="21"/>
                <w:szCs w:val="21"/>
                <w:highlight w:val="none"/>
                <w14:textFill>
                  <w14:solidFill>
                    <w14:schemeClr w14:val="tx1"/>
                  </w14:solidFill>
                </w14:textFill>
              </w:rPr>
              <w:t>计权等效连续感觉噪声级口</w:t>
            </w:r>
          </w:p>
        </w:tc>
      </w:tr>
      <w:tr w14:paraId="5B2866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543" w:type="pct"/>
            <w:vAlign w:val="center"/>
          </w:tcPr>
          <w:p w14:paraId="442F74D9">
            <w:pPr>
              <w:pStyle w:val="62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2"/>
                <w:sz w:val="21"/>
                <w:szCs w:val="21"/>
                <w:highlight w:val="none"/>
                <w14:textFill>
                  <w14:solidFill>
                    <w14:schemeClr w14:val="tx1"/>
                  </w14:solidFill>
                </w14:textFill>
              </w:rPr>
              <w:t>评价标准</w:t>
            </w:r>
          </w:p>
        </w:tc>
        <w:tc>
          <w:tcPr>
            <w:tcW w:w="966" w:type="pct"/>
            <w:vAlign w:val="center"/>
          </w:tcPr>
          <w:p w14:paraId="376B68D9">
            <w:pPr>
              <w:pStyle w:val="62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2"/>
                <w:sz w:val="21"/>
                <w:szCs w:val="21"/>
                <w:highlight w:val="none"/>
                <w14:textFill>
                  <w14:solidFill>
                    <w14:schemeClr w14:val="tx1"/>
                  </w14:solidFill>
                </w14:textFill>
              </w:rPr>
              <w:t>评价标准</w:t>
            </w:r>
          </w:p>
        </w:tc>
        <w:tc>
          <w:tcPr>
            <w:tcW w:w="1073" w:type="pct"/>
            <w:gridSpan w:val="3"/>
            <w:vAlign w:val="center"/>
          </w:tcPr>
          <w:p w14:paraId="1E41B8E6">
            <w:pPr>
              <w:pStyle w:val="62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国家标准☑</w:t>
            </w:r>
          </w:p>
        </w:tc>
        <w:tc>
          <w:tcPr>
            <w:tcW w:w="1196" w:type="pct"/>
            <w:gridSpan w:val="3"/>
            <w:vAlign w:val="center"/>
          </w:tcPr>
          <w:p w14:paraId="4CE8F63A">
            <w:pPr>
              <w:pStyle w:val="62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6"/>
                <w:sz w:val="21"/>
                <w:szCs w:val="21"/>
                <w:highlight w:val="none"/>
                <w14:textFill>
                  <w14:solidFill>
                    <w14:schemeClr w14:val="tx1"/>
                  </w14:solidFill>
                </w14:textFill>
              </w:rPr>
              <w:t>地方标准□</w:t>
            </w:r>
          </w:p>
        </w:tc>
        <w:tc>
          <w:tcPr>
            <w:tcW w:w="1219" w:type="pct"/>
            <w:gridSpan w:val="5"/>
            <w:vAlign w:val="center"/>
          </w:tcPr>
          <w:p w14:paraId="06531228">
            <w:pPr>
              <w:pStyle w:val="62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6"/>
                <w:sz w:val="21"/>
                <w:szCs w:val="21"/>
                <w:highlight w:val="none"/>
                <w14:textFill>
                  <w14:solidFill>
                    <w14:schemeClr w14:val="tx1"/>
                  </w14:solidFill>
                </w14:textFill>
              </w:rPr>
              <w:t>国外标准□</w:t>
            </w:r>
          </w:p>
        </w:tc>
      </w:tr>
      <w:tr w14:paraId="2A5D94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543" w:type="pct"/>
            <w:vMerge w:val="restart"/>
            <w:tcBorders>
              <w:bottom w:val="nil"/>
            </w:tcBorders>
            <w:vAlign w:val="center"/>
          </w:tcPr>
          <w:p w14:paraId="5745162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p w14:paraId="2AD14BA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p w14:paraId="0237DB55">
            <w:pPr>
              <w:pStyle w:val="62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2"/>
                <w:sz w:val="21"/>
                <w:szCs w:val="21"/>
                <w:highlight w:val="none"/>
                <w14:textFill>
                  <w14:solidFill>
                    <w14:schemeClr w14:val="tx1"/>
                  </w14:solidFill>
                </w14:textFill>
              </w:rPr>
              <w:t>现状评价</w:t>
            </w:r>
          </w:p>
        </w:tc>
        <w:tc>
          <w:tcPr>
            <w:tcW w:w="966" w:type="pct"/>
            <w:vAlign w:val="center"/>
          </w:tcPr>
          <w:p w14:paraId="58F3DC4D">
            <w:pPr>
              <w:pStyle w:val="62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3"/>
                <w:sz w:val="21"/>
                <w:szCs w:val="21"/>
                <w:highlight w:val="none"/>
                <w14:textFill>
                  <w14:solidFill>
                    <w14:schemeClr w14:val="tx1"/>
                  </w14:solidFill>
                </w14:textFill>
              </w:rPr>
              <w:t>环境功能区</w:t>
            </w:r>
          </w:p>
        </w:tc>
        <w:tc>
          <w:tcPr>
            <w:tcW w:w="467" w:type="pct"/>
            <w:vAlign w:val="center"/>
          </w:tcPr>
          <w:p w14:paraId="10C94279">
            <w:pPr>
              <w:pStyle w:val="62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7"/>
                <w:sz w:val="21"/>
                <w:szCs w:val="21"/>
                <w:highlight w:val="none"/>
                <w14:textFill>
                  <w14:solidFill>
                    <w14:schemeClr w14:val="tx1"/>
                  </w14:solidFill>
                </w14:textFill>
              </w:rPr>
              <w:t>0类区□</w:t>
            </w:r>
          </w:p>
        </w:tc>
        <w:tc>
          <w:tcPr>
            <w:tcW w:w="605" w:type="pct"/>
            <w:gridSpan w:val="2"/>
            <w:vAlign w:val="center"/>
          </w:tcPr>
          <w:p w14:paraId="20653A4A">
            <w:pPr>
              <w:pStyle w:val="62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1类区</w:t>
            </w:r>
            <w:r>
              <w:rPr>
                <w:rFonts w:hint="default" w:ascii="Times New Roman" w:hAnsi="Times New Roman" w:cs="Times New Roman" w:eastAsiaTheme="minorEastAsia"/>
                <w:color w:val="000000" w:themeColor="text1"/>
                <w:spacing w:val="7"/>
                <w:sz w:val="21"/>
                <w:szCs w:val="21"/>
                <w:highlight w:val="none"/>
                <w14:textFill>
                  <w14:solidFill>
                    <w14:schemeClr w14:val="tx1"/>
                  </w14:solidFill>
                </w14:textFill>
              </w:rPr>
              <w:t>□</w:t>
            </w:r>
          </w:p>
        </w:tc>
        <w:tc>
          <w:tcPr>
            <w:tcW w:w="596" w:type="pct"/>
            <w:vAlign w:val="center"/>
          </w:tcPr>
          <w:p w14:paraId="6E6FD302">
            <w:pPr>
              <w:pStyle w:val="62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8"/>
                <w:sz w:val="21"/>
                <w:szCs w:val="21"/>
                <w:highlight w:val="none"/>
                <w14:textFill>
                  <w14:solidFill>
                    <w14:schemeClr w14:val="tx1"/>
                  </w14:solidFill>
                </w14:textFill>
              </w:rPr>
              <w:t>2类区</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w:t>
            </w:r>
          </w:p>
        </w:tc>
        <w:tc>
          <w:tcPr>
            <w:tcW w:w="599" w:type="pct"/>
            <w:gridSpan w:val="2"/>
            <w:vAlign w:val="center"/>
          </w:tcPr>
          <w:p w14:paraId="68B540CE">
            <w:pPr>
              <w:pStyle w:val="62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7"/>
                <w:sz w:val="21"/>
                <w:szCs w:val="21"/>
                <w:highlight w:val="none"/>
                <w14:textFill>
                  <w14:solidFill>
                    <w14:schemeClr w14:val="tx1"/>
                  </w14:solidFill>
                </w14:textFill>
              </w:rPr>
              <w:t>3类区□</w:t>
            </w:r>
          </w:p>
        </w:tc>
        <w:tc>
          <w:tcPr>
            <w:tcW w:w="594" w:type="pct"/>
            <w:gridSpan w:val="3"/>
            <w:vAlign w:val="center"/>
          </w:tcPr>
          <w:p w14:paraId="3BC86F00">
            <w:pPr>
              <w:pStyle w:val="62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6"/>
                <w:sz w:val="21"/>
                <w:szCs w:val="21"/>
                <w:highlight w:val="none"/>
                <w14:textFill>
                  <w14:solidFill>
                    <w14:schemeClr w14:val="tx1"/>
                  </w14:solidFill>
                </w14:textFill>
              </w:rPr>
              <w:t>4a类区口</w:t>
            </w:r>
          </w:p>
        </w:tc>
        <w:tc>
          <w:tcPr>
            <w:tcW w:w="625" w:type="pct"/>
            <w:gridSpan w:val="2"/>
            <w:vAlign w:val="center"/>
          </w:tcPr>
          <w:p w14:paraId="1C6D4533">
            <w:pPr>
              <w:pStyle w:val="62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6"/>
                <w:sz w:val="21"/>
                <w:szCs w:val="21"/>
                <w:highlight w:val="none"/>
                <w14:textFill>
                  <w14:solidFill>
                    <w14:schemeClr w14:val="tx1"/>
                  </w14:solidFill>
                </w14:textFill>
              </w:rPr>
              <w:t>4b类区□</w:t>
            </w:r>
          </w:p>
        </w:tc>
      </w:tr>
      <w:tr w14:paraId="1B4BA4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543" w:type="pct"/>
            <w:vMerge w:val="continue"/>
            <w:tcBorders>
              <w:top w:val="nil"/>
              <w:bottom w:val="nil"/>
            </w:tcBorders>
            <w:vAlign w:val="center"/>
          </w:tcPr>
          <w:p w14:paraId="5AB3D79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966" w:type="pct"/>
            <w:vAlign w:val="center"/>
          </w:tcPr>
          <w:p w14:paraId="0D06588F">
            <w:pPr>
              <w:pStyle w:val="62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3"/>
                <w:sz w:val="21"/>
                <w:szCs w:val="21"/>
                <w:highlight w:val="none"/>
                <w14:textFill>
                  <w14:solidFill>
                    <w14:schemeClr w14:val="tx1"/>
                  </w14:solidFill>
                </w14:textFill>
              </w:rPr>
              <w:t>评价年度</w:t>
            </w:r>
          </w:p>
        </w:tc>
        <w:tc>
          <w:tcPr>
            <w:tcW w:w="773" w:type="pct"/>
            <w:gridSpan w:val="2"/>
            <w:vAlign w:val="center"/>
          </w:tcPr>
          <w:p w14:paraId="3259DB23">
            <w:pPr>
              <w:pStyle w:val="62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10"/>
                <w:sz w:val="21"/>
                <w:szCs w:val="21"/>
                <w:highlight w:val="none"/>
                <w14:textFill>
                  <w14:solidFill>
                    <w14:schemeClr w14:val="tx1"/>
                  </w14:solidFill>
                </w14:textFill>
              </w:rPr>
              <w:t>初期口</w:t>
            </w:r>
          </w:p>
        </w:tc>
        <w:tc>
          <w:tcPr>
            <w:tcW w:w="897" w:type="pct"/>
            <w:gridSpan w:val="2"/>
            <w:vAlign w:val="center"/>
          </w:tcPr>
          <w:p w14:paraId="4291BAEB">
            <w:pPr>
              <w:pStyle w:val="62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1"/>
                <w:sz w:val="21"/>
                <w:szCs w:val="21"/>
                <w:highlight w:val="none"/>
                <w14:textFill>
                  <w14:solidFill>
                    <w14:schemeClr w14:val="tx1"/>
                  </w14:solidFill>
                </w14:textFill>
              </w:rPr>
              <w:t>近期☑</w:t>
            </w:r>
          </w:p>
        </w:tc>
        <w:tc>
          <w:tcPr>
            <w:tcW w:w="884" w:type="pct"/>
            <w:gridSpan w:val="3"/>
            <w:vAlign w:val="center"/>
          </w:tcPr>
          <w:p w14:paraId="50C7CD82">
            <w:pPr>
              <w:pStyle w:val="62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spacing w:val="-3"/>
                <w:sz w:val="21"/>
                <w:szCs w:val="21"/>
                <w:highlight w:val="none"/>
                <w14:textFill>
                  <w14:solidFill>
                    <w14:schemeClr w14:val="tx1"/>
                  </w14:solidFill>
                </w14:textFill>
              </w:rPr>
              <w:t>中期</w:t>
            </w:r>
            <w:r>
              <w:rPr>
                <w:rFonts w:hint="default" w:ascii="Times New Roman" w:hAnsi="Times New Roman" w:cs="Times New Roman" w:eastAsiaTheme="minorEastAsia"/>
                <w:color w:val="000000" w:themeColor="text1"/>
                <w:spacing w:val="-3"/>
                <w:sz w:val="21"/>
                <w:szCs w:val="21"/>
                <w:highlight w:val="none"/>
                <w:lang w:eastAsia="zh-CN"/>
                <w14:textFill>
                  <w14:solidFill>
                    <w14:schemeClr w14:val="tx1"/>
                  </w14:solidFill>
                </w14:textFill>
              </w:rPr>
              <w:t>□</w:t>
            </w:r>
          </w:p>
        </w:tc>
        <w:tc>
          <w:tcPr>
            <w:tcW w:w="934" w:type="pct"/>
            <w:gridSpan w:val="4"/>
            <w:vAlign w:val="center"/>
          </w:tcPr>
          <w:p w14:paraId="76B68CF6">
            <w:pPr>
              <w:pStyle w:val="62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spacing w:val="1"/>
                <w:sz w:val="21"/>
                <w:szCs w:val="21"/>
                <w:highlight w:val="none"/>
                <w14:textFill>
                  <w14:solidFill>
                    <w14:schemeClr w14:val="tx1"/>
                  </w14:solidFill>
                </w14:textFill>
              </w:rPr>
              <w:t>远期</w:t>
            </w:r>
            <w:r>
              <w:rPr>
                <w:rFonts w:hint="default" w:ascii="Times New Roman" w:hAnsi="Times New Roman" w:cs="Times New Roman" w:eastAsiaTheme="minorEastAsia"/>
                <w:color w:val="000000" w:themeColor="text1"/>
                <w:spacing w:val="1"/>
                <w:sz w:val="21"/>
                <w:szCs w:val="21"/>
                <w:highlight w:val="none"/>
                <w:lang w:eastAsia="zh-CN"/>
                <w14:textFill>
                  <w14:solidFill>
                    <w14:schemeClr w14:val="tx1"/>
                  </w14:solidFill>
                </w14:textFill>
              </w:rPr>
              <w:t>□</w:t>
            </w:r>
          </w:p>
        </w:tc>
      </w:tr>
      <w:tr w14:paraId="5EE964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543" w:type="pct"/>
            <w:vMerge w:val="continue"/>
            <w:tcBorders>
              <w:top w:val="nil"/>
              <w:bottom w:val="nil"/>
            </w:tcBorders>
            <w:vAlign w:val="center"/>
          </w:tcPr>
          <w:p w14:paraId="045FE14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966" w:type="pct"/>
            <w:vAlign w:val="center"/>
          </w:tcPr>
          <w:p w14:paraId="6F880CC4">
            <w:pPr>
              <w:pStyle w:val="62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2"/>
                <w:sz w:val="21"/>
                <w:szCs w:val="21"/>
                <w:highlight w:val="none"/>
                <w14:textFill>
                  <w14:solidFill>
                    <w14:schemeClr w14:val="tx1"/>
                  </w14:solidFill>
                </w14:textFill>
              </w:rPr>
              <w:t>现状调查方法</w:t>
            </w:r>
          </w:p>
        </w:tc>
        <w:tc>
          <w:tcPr>
            <w:tcW w:w="3489" w:type="pct"/>
            <w:gridSpan w:val="11"/>
            <w:vAlign w:val="center"/>
          </w:tcPr>
          <w:p w14:paraId="57CA6777">
            <w:pPr>
              <w:pStyle w:val="62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3"/>
                <w:sz w:val="21"/>
                <w:szCs w:val="21"/>
                <w:highlight w:val="none"/>
                <w14:textFill>
                  <w14:solidFill>
                    <w14:schemeClr w14:val="tx1"/>
                  </w14:solidFill>
                </w14:textFill>
              </w:rPr>
              <w:t>现场实测法☑</w:t>
            </w:r>
            <w:r>
              <w:rPr>
                <w:rFonts w:hint="default" w:ascii="Times New Roman" w:hAnsi="Times New Roman" w:cs="Times New Roman" w:eastAsiaTheme="minorEastAsia"/>
                <w:color w:val="000000" w:themeColor="text1"/>
                <w:spacing w:val="17"/>
                <w:sz w:val="21"/>
                <w:szCs w:val="21"/>
                <w:highlight w:val="none"/>
                <w14:textFill>
                  <w14:solidFill>
                    <w14:schemeClr w14:val="tx1"/>
                  </w14:solidFill>
                </w14:textFill>
              </w:rPr>
              <w:t xml:space="preserve">     </w:t>
            </w:r>
            <w:r>
              <w:rPr>
                <w:rFonts w:hint="default" w:ascii="Times New Roman" w:hAnsi="Times New Roman" w:cs="Times New Roman" w:eastAsiaTheme="minorEastAsia"/>
                <w:color w:val="000000" w:themeColor="text1"/>
                <w:spacing w:val="3"/>
                <w:sz w:val="21"/>
                <w:szCs w:val="21"/>
                <w:highlight w:val="none"/>
                <w14:textFill>
                  <w14:solidFill>
                    <w14:schemeClr w14:val="tx1"/>
                  </w14:solidFill>
                </w14:textFill>
              </w:rPr>
              <w:t>现场实测加模型计算法□</w:t>
            </w:r>
            <w:r>
              <w:rPr>
                <w:rFonts w:hint="default" w:ascii="Times New Roman" w:hAnsi="Times New Roman" w:cs="Times New Roman" w:eastAsiaTheme="minorEastAsia"/>
                <w:color w:val="000000" w:themeColor="text1"/>
                <w:spacing w:val="35"/>
                <w:sz w:val="21"/>
                <w:szCs w:val="21"/>
                <w:highlight w:val="none"/>
                <w14:textFill>
                  <w14:solidFill>
                    <w14:schemeClr w14:val="tx1"/>
                  </w14:solidFill>
                </w14:textFill>
              </w:rPr>
              <w:t xml:space="preserve">  </w:t>
            </w:r>
            <w:r>
              <w:rPr>
                <w:rFonts w:hint="default" w:ascii="Times New Roman" w:hAnsi="Times New Roman" w:cs="Times New Roman" w:eastAsiaTheme="minorEastAsia"/>
                <w:color w:val="000000" w:themeColor="text1"/>
                <w:spacing w:val="3"/>
                <w:sz w:val="21"/>
                <w:szCs w:val="21"/>
                <w:highlight w:val="none"/>
                <w14:textFill>
                  <w14:solidFill>
                    <w14:schemeClr w14:val="tx1"/>
                  </w14:solidFill>
                </w14:textFill>
              </w:rPr>
              <w:t>收集资料口</w:t>
            </w:r>
          </w:p>
        </w:tc>
      </w:tr>
      <w:tr w14:paraId="326AA8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43" w:type="pct"/>
            <w:vMerge w:val="continue"/>
            <w:tcBorders>
              <w:top w:val="nil"/>
            </w:tcBorders>
            <w:vAlign w:val="center"/>
          </w:tcPr>
          <w:p w14:paraId="56E8083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966" w:type="pct"/>
            <w:vAlign w:val="center"/>
          </w:tcPr>
          <w:p w14:paraId="357B98D2">
            <w:pPr>
              <w:pStyle w:val="62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2"/>
                <w:sz w:val="21"/>
                <w:szCs w:val="21"/>
                <w:highlight w:val="none"/>
                <w14:textFill>
                  <w14:solidFill>
                    <w14:schemeClr w14:val="tx1"/>
                  </w14:solidFill>
                </w14:textFill>
              </w:rPr>
              <w:t>现状评价</w:t>
            </w:r>
          </w:p>
        </w:tc>
        <w:tc>
          <w:tcPr>
            <w:tcW w:w="1670" w:type="pct"/>
            <w:gridSpan w:val="4"/>
            <w:vAlign w:val="center"/>
          </w:tcPr>
          <w:p w14:paraId="54B80B89">
            <w:pPr>
              <w:pStyle w:val="62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2"/>
                <w:sz w:val="21"/>
                <w:szCs w:val="21"/>
                <w:highlight w:val="none"/>
                <w14:textFill>
                  <w14:solidFill>
                    <w14:schemeClr w14:val="tx1"/>
                  </w14:solidFill>
                </w14:textFill>
              </w:rPr>
              <w:t>达标百分比</w:t>
            </w:r>
          </w:p>
        </w:tc>
        <w:tc>
          <w:tcPr>
            <w:tcW w:w="1819" w:type="pct"/>
            <w:gridSpan w:val="7"/>
            <w:vAlign w:val="center"/>
          </w:tcPr>
          <w:p w14:paraId="0C813B1B">
            <w:pPr>
              <w:pStyle w:val="62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5"/>
                <w:sz w:val="21"/>
                <w:szCs w:val="21"/>
                <w:highlight w:val="none"/>
                <w14:textFill>
                  <w14:solidFill>
                    <w14:schemeClr w14:val="tx1"/>
                  </w14:solidFill>
                </w14:textFill>
              </w:rPr>
              <w:t>100%</w:t>
            </w:r>
          </w:p>
        </w:tc>
      </w:tr>
      <w:tr w14:paraId="55ED76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9" w:hRule="atLeast"/>
        </w:trPr>
        <w:tc>
          <w:tcPr>
            <w:tcW w:w="543" w:type="pct"/>
            <w:vAlign w:val="center"/>
          </w:tcPr>
          <w:p w14:paraId="010AEE7F">
            <w:pPr>
              <w:pStyle w:val="62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3"/>
                <w:sz w:val="21"/>
                <w:szCs w:val="21"/>
                <w:highlight w:val="none"/>
                <w14:textFill>
                  <w14:solidFill>
                    <w14:schemeClr w14:val="tx1"/>
                  </w14:solidFill>
                </w14:textFill>
              </w:rPr>
              <w:t>噪声源</w:t>
            </w:r>
          </w:p>
          <w:p w14:paraId="7916F04D">
            <w:pPr>
              <w:pStyle w:val="62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5"/>
                <w:sz w:val="21"/>
                <w:szCs w:val="21"/>
                <w:highlight w:val="none"/>
                <w14:textFill>
                  <w14:solidFill>
                    <w14:schemeClr w14:val="tx1"/>
                  </w14:solidFill>
                </w14:textFill>
              </w:rPr>
              <w:t>调查</w:t>
            </w:r>
          </w:p>
        </w:tc>
        <w:tc>
          <w:tcPr>
            <w:tcW w:w="966" w:type="pct"/>
            <w:vAlign w:val="center"/>
          </w:tcPr>
          <w:p w14:paraId="0085A8AE">
            <w:pPr>
              <w:pStyle w:val="62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3"/>
                <w:sz w:val="21"/>
                <w:szCs w:val="21"/>
                <w:highlight w:val="none"/>
                <w14:textFill>
                  <w14:solidFill>
                    <w14:schemeClr w14:val="tx1"/>
                  </w14:solidFill>
                </w14:textFill>
              </w:rPr>
              <w:t>噪声源</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 xml:space="preserve">  </w:t>
            </w:r>
            <w:r>
              <w:rPr>
                <w:rFonts w:hint="default" w:ascii="Times New Roman" w:hAnsi="Times New Roman" w:cs="Times New Roman" w:eastAsiaTheme="minorEastAsia"/>
                <w:color w:val="000000" w:themeColor="text1"/>
                <w:spacing w:val="-3"/>
                <w:sz w:val="21"/>
                <w:szCs w:val="21"/>
                <w:highlight w:val="none"/>
                <w14:textFill>
                  <w14:solidFill>
                    <w14:schemeClr w14:val="tx1"/>
                  </w14:solidFill>
                </w14:textFill>
              </w:rPr>
              <w:t>调查方法</w:t>
            </w:r>
          </w:p>
        </w:tc>
        <w:tc>
          <w:tcPr>
            <w:tcW w:w="1670" w:type="pct"/>
            <w:gridSpan w:val="4"/>
            <w:vAlign w:val="center"/>
          </w:tcPr>
          <w:p w14:paraId="33FD678E">
            <w:pPr>
              <w:pStyle w:val="62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spacing w:val="1"/>
                <w:sz w:val="21"/>
                <w:szCs w:val="21"/>
                <w:highlight w:val="none"/>
                <w14:textFill>
                  <w14:solidFill>
                    <w14:schemeClr w14:val="tx1"/>
                  </w14:solidFill>
                </w14:textFill>
              </w:rPr>
              <w:t>现场实测</w:t>
            </w:r>
            <w:r>
              <w:rPr>
                <w:rFonts w:hint="default" w:ascii="Times New Roman" w:hAnsi="Times New Roman" w:cs="Times New Roman" w:eastAsiaTheme="minorEastAsia"/>
                <w:color w:val="000000" w:themeColor="text1"/>
                <w:spacing w:val="1"/>
                <w:sz w:val="21"/>
                <w:szCs w:val="21"/>
                <w:highlight w:val="none"/>
                <w:lang w:eastAsia="zh-CN"/>
                <w14:textFill>
                  <w14:solidFill>
                    <w14:schemeClr w14:val="tx1"/>
                  </w14:solidFill>
                </w14:textFill>
              </w:rPr>
              <w:t>□</w:t>
            </w:r>
          </w:p>
        </w:tc>
        <w:tc>
          <w:tcPr>
            <w:tcW w:w="1819" w:type="pct"/>
            <w:gridSpan w:val="7"/>
            <w:vAlign w:val="center"/>
          </w:tcPr>
          <w:p w14:paraId="20AE1DB4">
            <w:pPr>
              <w:pStyle w:val="62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4"/>
                <w:sz w:val="21"/>
                <w:szCs w:val="21"/>
                <w:highlight w:val="none"/>
                <w14:textFill>
                  <w14:solidFill>
                    <w14:schemeClr w14:val="tx1"/>
                  </w14:solidFill>
                </w14:textFill>
              </w:rPr>
              <w:t>已有资料</w:t>
            </w:r>
            <w:r>
              <w:rPr>
                <w:rFonts w:hint="default" w:ascii="Times New Roman" w:hAnsi="Times New Roman" w:cs="Times New Roman" w:eastAsiaTheme="minorEastAsia"/>
                <w:color w:val="000000" w:themeColor="text1"/>
                <w:spacing w:val="1"/>
                <w:sz w:val="21"/>
                <w:szCs w:val="21"/>
                <w:highlight w:val="none"/>
                <w14:textFill>
                  <w14:solidFill>
                    <w14:schemeClr w14:val="tx1"/>
                  </w14:solidFill>
                </w14:textFill>
              </w:rPr>
              <w:t>☑</w:t>
            </w:r>
            <w:r>
              <w:rPr>
                <w:rFonts w:hint="default" w:ascii="Times New Roman" w:hAnsi="Times New Roman" w:cs="Times New Roman" w:eastAsiaTheme="minorEastAsia"/>
                <w:color w:val="000000" w:themeColor="text1"/>
                <w:spacing w:val="20"/>
                <w:sz w:val="21"/>
                <w:szCs w:val="21"/>
                <w:highlight w:val="none"/>
                <w14:textFill>
                  <w14:solidFill>
                    <w14:schemeClr w14:val="tx1"/>
                  </w14:solidFill>
                </w14:textFill>
              </w:rPr>
              <w:t xml:space="preserve">     </w:t>
            </w:r>
            <w:r>
              <w:rPr>
                <w:rFonts w:hint="default" w:ascii="Times New Roman" w:hAnsi="Times New Roman" w:cs="Times New Roman" w:eastAsiaTheme="minorEastAsia"/>
                <w:color w:val="000000" w:themeColor="text1"/>
                <w:spacing w:val="4"/>
                <w:sz w:val="21"/>
                <w:szCs w:val="21"/>
                <w:highlight w:val="none"/>
                <w14:textFill>
                  <w14:solidFill>
                    <w14:schemeClr w14:val="tx1"/>
                  </w14:solidFill>
                </w14:textFill>
              </w:rPr>
              <w:t>研究成果□</w:t>
            </w:r>
          </w:p>
        </w:tc>
      </w:tr>
      <w:tr w14:paraId="2F6E14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543" w:type="pct"/>
            <w:vMerge w:val="restart"/>
            <w:vAlign w:val="center"/>
          </w:tcPr>
          <w:p w14:paraId="4D34583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p w14:paraId="56DD351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p w14:paraId="0D810F3D">
            <w:pPr>
              <w:pStyle w:val="62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2"/>
                <w:sz w:val="21"/>
                <w:szCs w:val="21"/>
                <w:highlight w:val="none"/>
                <w14:textFill>
                  <w14:solidFill>
                    <w14:schemeClr w14:val="tx1"/>
                  </w14:solidFill>
                </w14:textFill>
              </w:rPr>
              <w:t>声环境影</w:t>
            </w:r>
          </w:p>
          <w:p w14:paraId="599CD729">
            <w:pPr>
              <w:pStyle w:val="62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4"/>
                <w:sz w:val="21"/>
                <w:szCs w:val="21"/>
                <w:highlight w:val="none"/>
                <w14:textFill>
                  <w14:solidFill>
                    <w14:schemeClr w14:val="tx1"/>
                  </w14:solidFill>
                </w14:textFill>
              </w:rPr>
              <w:t>响预测与</w:t>
            </w:r>
          </w:p>
          <w:p w14:paraId="53D3CF07">
            <w:pPr>
              <w:pStyle w:val="62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2"/>
                <w:sz w:val="21"/>
                <w:szCs w:val="21"/>
                <w:highlight w:val="none"/>
                <w14:textFill>
                  <w14:solidFill>
                    <w14:schemeClr w14:val="tx1"/>
                  </w14:solidFill>
                </w14:textFill>
              </w:rPr>
              <w:t>评价</w:t>
            </w:r>
          </w:p>
        </w:tc>
        <w:tc>
          <w:tcPr>
            <w:tcW w:w="966" w:type="pct"/>
            <w:vAlign w:val="center"/>
          </w:tcPr>
          <w:p w14:paraId="380B826C">
            <w:pPr>
              <w:pStyle w:val="62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3"/>
                <w:sz w:val="21"/>
                <w:szCs w:val="21"/>
                <w:highlight w:val="none"/>
                <w14:textFill>
                  <w14:solidFill>
                    <w14:schemeClr w14:val="tx1"/>
                  </w14:solidFill>
                </w14:textFill>
              </w:rPr>
              <w:t>预测模型</w:t>
            </w:r>
          </w:p>
        </w:tc>
        <w:tc>
          <w:tcPr>
            <w:tcW w:w="1670" w:type="pct"/>
            <w:gridSpan w:val="4"/>
            <w:vAlign w:val="center"/>
          </w:tcPr>
          <w:p w14:paraId="15341308">
            <w:pPr>
              <w:pStyle w:val="62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1"/>
                <w:sz w:val="21"/>
                <w:szCs w:val="21"/>
                <w:highlight w:val="none"/>
                <w14:textFill>
                  <w14:solidFill>
                    <w14:schemeClr w14:val="tx1"/>
                  </w14:solidFill>
                </w14:textFill>
              </w:rPr>
              <w:t>导则推荐模型☑</w:t>
            </w:r>
          </w:p>
        </w:tc>
        <w:tc>
          <w:tcPr>
            <w:tcW w:w="1819" w:type="pct"/>
            <w:gridSpan w:val="7"/>
            <w:vAlign w:val="center"/>
          </w:tcPr>
          <w:p w14:paraId="73B5488B">
            <w:pPr>
              <w:pStyle w:val="62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其他</w:t>
            </w: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w:t>
            </w:r>
          </w:p>
        </w:tc>
      </w:tr>
      <w:tr w14:paraId="3CFDD8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43" w:type="pct"/>
            <w:vMerge w:val="continue"/>
            <w:vAlign w:val="center"/>
          </w:tcPr>
          <w:p w14:paraId="28B397E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966" w:type="pct"/>
            <w:vAlign w:val="center"/>
          </w:tcPr>
          <w:p w14:paraId="1CE62123">
            <w:pPr>
              <w:pStyle w:val="62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5"/>
                <w:sz w:val="21"/>
                <w:szCs w:val="21"/>
                <w:highlight w:val="none"/>
                <w14:textFill>
                  <w14:solidFill>
                    <w14:schemeClr w14:val="tx1"/>
                  </w14:solidFill>
                </w14:textFill>
              </w:rPr>
              <w:t>预测范围</w:t>
            </w:r>
          </w:p>
        </w:tc>
        <w:tc>
          <w:tcPr>
            <w:tcW w:w="3489" w:type="pct"/>
            <w:gridSpan w:val="11"/>
            <w:vAlign w:val="center"/>
          </w:tcPr>
          <w:p w14:paraId="6B93E952">
            <w:pPr>
              <w:pStyle w:val="62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spacing w:val="29"/>
                <w:position w:val="-2"/>
                <w:sz w:val="21"/>
                <w:szCs w:val="21"/>
                <w:highlight w:val="none"/>
                <w:lang w:val="en-US" w:eastAsia="zh-CN"/>
                <w14:textFill>
                  <w14:solidFill>
                    <w14:schemeClr w14:val="tx1"/>
                  </w14:solidFill>
                </w14:textFill>
              </w:rPr>
              <w:t>厂界</w:t>
            </w:r>
            <w:r>
              <w:rPr>
                <w:rFonts w:hint="default" w:ascii="Times New Roman" w:hAnsi="Times New Roman" w:cs="Times New Roman" w:eastAsiaTheme="minorEastAsia"/>
                <w:color w:val="000000" w:themeColor="text1"/>
                <w:spacing w:val="29"/>
                <w:position w:val="-2"/>
                <w:sz w:val="21"/>
                <w:szCs w:val="21"/>
                <w:highlight w:val="none"/>
                <w14:textFill>
                  <w14:solidFill>
                    <w14:schemeClr w14:val="tx1"/>
                  </w14:solidFill>
                </w14:textFill>
              </w:rPr>
              <w:t>200m☑</w:t>
            </w:r>
            <w:r>
              <w:rPr>
                <w:rFonts w:hint="default" w:ascii="Times New Roman" w:hAnsi="Times New Roman" w:cs="Times New Roman" w:eastAsiaTheme="minorEastAsia"/>
                <w:color w:val="000000" w:themeColor="text1"/>
                <w:spacing w:val="9"/>
                <w:position w:val="-2"/>
                <w:sz w:val="21"/>
                <w:szCs w:val="21"/>
                <w:highlight w:val="none"/>
                <w14:textFill>
                  <w14:solidFill>
                    <w14:schemeClr w14:val="tx1"/>
                  </w14:solidFill>
                </w14:textFill>
              </w:rPr>
              <w:t xml:space="preserve">    </w:t>
            </w:r>
            <w:r>
              <w:rPr>
                <w:rFonts w:hint="default" w:ascii="Times New Roman" w:hAnsi="Times New Roman" w:cs="Times New Roman" w:eastAsiaTheme="minorEastAsia"/>
                <w:color w:val="000000" w:themeColor="text1"/>
                <w:spacing w:val="29"/>
                <w:sz w:val="21"/>
                <w:szCs w:val="21"/>
                <w:highlight w:val="none"/>
                <w14:textFill>
                  <w14:solidFill>
                    <w14:schemeClr w14:val="tx1"/>
                  </w14:solidFill>
                </w14:textFill>
              </w:rPr>
              <w:t>大于200</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m</w:t>
            </w:r>
            <w:r>
              <w:rPr>
                <w:rFonts w:hint="default" w:ascii="Times New Roman" w:hAnsi="Times New Roman" w:cs="Times New Roman" w:eastAsiaTheme="minorEastAsia"/>
                <w:color w:val="000000" w:themeColor="text1"/>
                <w:spacing w:val="8"/>
                <w:sz w:val="21"/>
                <w:szCs w:val="21"/>
                <w:highlight w:val="none"/>
                <w14:textFill>
                  <w14:solidFill>
                    <w14:schemeClr w14:val="tx1"/>
                  </w14:solidFill>
                </w14:textFill>
              </w:rPr>
              <w:t>口</w:t>
            </w:r>
            <w:r>
              <w:rPr>
                <w:rFonts w:hint="default" w:ascii="Times New Roman" w:hAnsi="Times New Roman" w:cs="Times New Roman" w:eastAsiaTheme="minorEastAsia"/>
                <w:color w:val="000000" w:themeColor="text1"/>
                <w:spacing w:val="5"/>
                <w:sz w:val="21"/>
                <w:szCs w:val="21"/>
                <w:highlight w:val="none"/>
                <w14:textFill>
                  <w14:solidFill>
                    <w14:schemeClr w14:val="tx1"/>
                  </w14:solidFill>
                </w14:textFill>
              </w:rPr>
              <w:t xml:space="preserve">   </w:t>
            </w:r>
            <w:r>
              <w:rPr>
                <w:rFonts w:hint="default" w:ascii="Times New Roman" w:hAnsi="Times New Roman" w:cs="Times New Roman" w:eastAsiaTheme="minorEastAsia"/>
                <w:color w:val="000000" w:themeColor="text1"/>
                <w:spacing w:val="5"/>
                <w:sz w:val="21"/>
                <w:szCs w:val="21"/>
                <w:highlight w:val="none"/>
                <w:lang w:val="en-US" w:eastAsia="zh-CN"/>
                <w14:textFill>
                  <w14:solidFill>
                    <w14:schemeClr w14:val="tx1"/>
                  </w14:solidFill>
                </w14:textFill>
              </w:rPr>
              <w:t>输电线路</w:t>
            </w:r>
            <w:r>
              <w:rPr>
                <w:rFonts w:hint="default" w:ascii="Times New Roman" w:hAnsi="Times New Roman" w:cs="Times New Roman" w:eastAsiaTheme="minorEastAsia"/>
                <w:color w:val="000000" w:themeColor="text1"/>
                <w:spacing w:val="29"/>
                <w:sz w:val="21"/>
                <w:szCs w:val="21"/>
                <w:highlight w:val="none"/>
                <w14:textFill>
                  <w14:solidFill>
                    <w14:schemeClr w14:val="tx1"/>
                  </w14:solidFill>
                </w14:textFill>
              </w:rPr>
              <w:t>小于200</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m</w:t>
            </w:r>
            <w:r>
              <w:rPr>
                <w:rFonts w:hint="eastAsia" w:ascii="Times New Roman" w:hAnsi="Times New Roman" w:cs="Times New Roman" w:eastAsiaTheme="minorEastAsia"/>
                <w:color w:val="000000" w:themeColor="text1"/>
                <w:spacing w:val="1"/>
                <w:sz w:val="21"/>
                <w:szCs w:val="21"/>
                <w:highlight w:val="none"/>
                <w:lang w:eastAsia="zh-CN"/>
                <w14:textFill>
                  <w14:solidFill>
                    <w14:schemeClr w14:val="tx1"/>
                  </w14:solidFill>
                </w14:textFill>
              </w:rPr>
              <w:t>□</w:t>
            </w:r>
          </w:p>
        </w:tc>
      </w:tr>
      <w:tr w14:paraId="50F00A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543" w:type="pct"/>
            <w:vMerge w:val="continue"/>
            <w:vAlign w:val="center"/>
          </w:tcPr>
          <w:p w14:paraId="53A1C93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966" w:type="pct"/>
            <w:vAlign w:val="center"/>
          </w:tcPr>
          <w:p w14:paraId="61CB509C">
            <w:pPr>
              <w:pStyle w:val="62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2"/>
                <w:sz w:val="21"/>
                <w:szCs w:val="21"/>
                <w:highlight w:val="none"/>
                <w14:textFill>
                  <w14:solidFill>
                    <w14:schemeClr w14:val="tx1"/>
                  </w14:solidFill>
                </w14:textFill>
              </w:rPr>
              <w:t>预测因子</w:t>
            </w:r>
          </w:p>
        </w:tc>
        <w:tc>
          <w:tcPr>
            <w:tcW w:w="3489" w:type="pct"/>
            <w:gridSpan w:val="11"/>
            <w:vAlign w:val="center"/>
          </w:tcPr>
          <w:p w14:paraId="24F9A60D">
            <w:pPr>
              <w:pStyle w:val="62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1"/>
                <w:sz w:val="21"/>
                <w:szCs w:val="21"/>
                <w:highlight w:val="none"/>
                <w14:textFill>
                  <w14:solidFill>
                    <w14:schemeClr w14:val="tx1"/>
                  </w14:solidFill>
                </w14:textFill>
              </w:rPr>
              <w:t>等效连续A声级☑</w:t>
            </w:r>
            <w:r>
              <w:rPr>
                <w:rFonts w:hint="default" w:ascii="Times New Roman" w:hAnsi="Times New Roman" w:cs="Times New Roman" w:eastAsiaTheme="minorEastAsia"/>
                <w:color w:val="000000" w:themeColor="text1"/>
                <w:spacing w:val="1"/>
                <w:sz w:val="21"/>
                <w:szCs w:val="21"/>
                <w:highlight w:val="none"/>
                <w:lang w:val="en-US" w:eastAsia="zh-CN"/>
                <w14:textFill>
                  <w14:solidFill>
                    <w14:schemeClr w14:val="tx1"/>
                  </w14:solidFill>
                </w14:textFill>
              </w:rPr>
              <w:t xml:space="preserve">  </w:t>
            </w:r>
            <w:r>
              <w:rPr>
                <w:rFonts w:hint="default" w:ascii="Times New Roman" w:hAnsi="Times New Roman" w:cs="Times New Roman" w:eastAsiaTheme="minorEastAsia"/>
                <w:color w:val="000000" w:themeColor="text1"/>
                <w:spacing w:val="1"/>
                <w:sz w:val="21"/>
                <w:szCs w:val="21"/>
                <w:highlight w:val="none"/>
                <w14:textFill>
                  <w14:solidFill>
                    <w14:schemeClr w14:val="tx1"/>
                  </w14:solidFill>
                </w14:textFill>
              </w:rPr>
              <w:t>最大A声级口 计权等效连续感觉噪声级口</w:t>
            </w:r>
          </w:p>
        </w:tc>
      </w:tr>
      <w:tr w14:paraId="036561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9" w:hRule="atLeast"/>
        </w:trPr>
        <w:tc>
          <w:tcPr>
            <w:tcW w:w="543" w:type="pct"/>
            <w:vMerge w:val="continue"/>
            <w:vAlign w:val="center"/>
          </w:tcPr>
          <w:p w14:paraId="1F9DFF1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966" w:type="pct"/>
            <w:vAlign w:val="center"/>
          </w:tcPr>
          <w:p w14:paraId="58177AE2">
            <w:pPr>
              <w:pStyle w:val="62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2"/>
                <w:sz w:val="21"/>
                <w:szCs w:val="21"/>
                <w:highlight w:val="none"/>
                <w14:textFill>
                  <w14:solidFill>
                    <w14:schemeClr w14:val="tx1"/>
                  </w14:solidFill>
                </w14:textFill>
              </w:rPr>
              <w:t>厂界噪声贡献</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值</w:t>
            </w:r>
          </w:p>
        </w:tc>
        <w:tc>
          <w:tcPr>
            <w:tcW w:w="1670" w:type="pct"/>
            <w:gridSpan w:val="4"/>
            <w:vAlign w:val="center"/>
          </w:tcPr>
          <w:p w14:paraId="46A177B4">
            <w:pPr>
              <w:pStyle w:val="62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1"/>
                <w:sz w:val="21"/>
                <w:szCs w:val="21"/>
                <w:highlight w:val="none"/>
                <w14:textFill>
                  <w14:solidFill>
                    <w14:schemeClr w14:val="tx1"/>
                  </w14:solidFill>
                </w14:textFill>
              </w:rPr>
              <w:t>达标☑</w:t>
            </w:r>
          </w:p>
        </w:tc>
        <w:tc>
          <w:tcPr>
            <w:tcW w:w="1819" w:type="pct"/>
            <w:gridSpan w:val="7"/>
            <w:vAlign w:val="center"/>
          </w:tcPr>
          <w:p w14:paraId="0972F8CE">
            <w:pPr>
              <w:pStyle w:val="62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8"/>
                <w:sz w:val="21"/>
                <w:szCs w:val="21"/>
                <w:highlight w:val="none"/>
                <w14:textFill>
                  <w14:solidFill>
                    <w14:schemeClr w14:val="tx1"/>
                  </w14:solidFill>
                </w14:textFill>
              </w:rPr>
              <w:t>不达标口</w:t>
            </w:r>
          </w:p>
        </w:tc>
      </w:tr>
      <w:tr w14:paraId="08DA14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8" w:hRule="atLeast"/>
        </w:trPr>
        <w:tc>
          <w:tcPr>
            <w:tcW w:w="543" w:type="pct"/>
            <w:vMerge w:val="continue"/>
            <w:vAlign w:val="center"/>
          </w:tcPr>
          <w:p w14:paraId="3A2517E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966" w:type="pct"/>
            <w:vAlign w:val="center"/>
          </w:tcPr>
          <w:p w14:paraId="6C81718D">
            <w:pPr>
              <w:pStyle w:val="62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cs="Times New Roman" w:eastAsiaTheme="minorEastAsia"/>
                <w:color w:val="000000" w:themeColor="text1"/>
                <w:spacing w:val="6"/>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6"/>
                <w:sz w:val="21"/>
                <w:szCs w:val="21"/>
                <w:highlight w:val="none"/>
                <w14:textFill>
                  <w14:solidFill>
                    <w14:schemeClr w14:val="tx1"/>
                  </w14:solidFill>
                </w14:textFill>
              </w:rPr>
              <w:t>声环境保护目</w:t>
            </w:r>
            <w:r>
              <w:rPr>
                <w:rFonts w:hint="default" w:ascii="Times New Roman" w:hAnsi="Times New Roman" w:cs="Times New Roman" w:eastAsiaTheme="minorEastAsia"/>
                <w:color w:val="000000" w:themeColor="text1"/>
                <w:spacing w:val="6"/>
                <w:sz w:val="21"/>
                <w:szCs w:val="21"/>
                <w:highlight w:val="none"/>
                <w:lang w:val="en-US" w:eastAsia="zh-CN"/>
                <w14:textFill>
                  <w14:solidFill>
                    <w14:schemeClr w14:val="tx1"/>
                  </w14:solidFill>
                </w14:textFill>
              </w:rPr>
              <w:t>标</w:t>
            </w:r>
          </w:p>
          <w:p w14:paraId="65B6F39D">
            <w:pPr>
              <w:pStyle w:val="620"/>
              <w:keepNext w:val="0"/>
              <w:keepLines w:val="0"/>
              <w:pageBreakBefore w:val="0"/>
              <w:widowControl w:val="0"/>
              <w:kinsoku/>
              <w:wordWrap/>
              <w:overflowPunct/>
              <w:topLinePunct w:val="0"/>
              <w:autoSpaceDE/>
              <w:autoSpaceDN/>
              <w:bidi w:val="0"/>
              <w:adjustRightInd w:val="0"/>
              <w:snapToGrid w:val="0"/>
              <w:spacing w:line="240" w:lineRule="auto"/>
              <w:ind w:left="0" w:leftChars="0" w:firstLine="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2"/>
                <w:sz w:val="21"/>
                <w:szCs w:val="21"/>
                <w:highlight w:val="none"/>
                <w14:textFill>
                  <w14:solidFill>
                    <w14:schemeClr w14:val="tx1"/>
                  </w14:solidFill>
                </w14:textFill>
              </w:rPr>
              <w:t>标处噪声值</w:t>
            </w:r>
          </w:p>
        </w:tc>
        <w:tc>
          <w:tcPr>
            <w:tcW w:w="1670" w:type="pct"/>
            <w:gridSpan w:val="4"/>
            <w:vMerge w:val="restart"/>
            <w:vAlign w:val="center"/>
          </w:tcPr>
          <w:p w14:paraId="3091CEA7">
            <w:pPr>
              <w:pStyle w:val="62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10"/>
                <w:sz w:val="21"/>
                <w:szCs w:val="21"/>
                <w:highlight w:val="none"/>
                <w14:textFill>
                  <w14:solidFill>
                    <w14:schemeClr w14:val="tx1"/>
                  </w14:solidFill>
                </w14:textFill>
              </w:rPr>
              <w:t>达标口</w:t>
            </w:r>
          </w:p>
        </w:tc>
        <w:tc>
          <w:tcPr>
            <w:tcW w:w="1819" w:type="pct"/>
            <w:gridSpan w:val="7"/>
            <w:vMerge w:val="restart"/>
            <w:vAlign w:val="center"/>
          </w:tcPr>
          <w:p w14:paraId="14D463BF">
            <w:pPr>
              <w:pStyle w:val="62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8"/>
                <w:sz w:val="21"/>
                <w:szCs w:val="21"/>
                <w:highlight w:val="none"/>
                <w14:textFill>
                  <w14:solidFill>
                    <w14:schemeClr w14:val="tx1"/>
                  </w14:solidFill>
                </w14:textFill>
              </w:rPr>
              <w:t>不达标口</w:t>
            </w:r>
          </w:p>
        </w:tc>
      </w:tr>
      <w:tr w14:paraId="6D76EC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 w:type="pct"/>
          <w:trHeight w:val="348" w:hRule="atLeast"/>
        </w:trPr>
        <w:tc>
          <w:tcPr>
            <w:tcW w:w="543" w:type="pct"/>
            <w:vMerge w:val="restart"/>
            <w:tcBorders>
              <w:bottom w:val="nil"/>
            </w:tcBorders>
            <w:vAlign w:val="center"/>
          </w:tcPr>
          <w:p w14:paraId="111EE6C6">
            <w:pPr>
              <w:pStyle w:val="620"/>
              <w:keepNext w:val="0"/>
              <w:keepLines w:val="0"/>
              <w:pageBreakBefore w:val="0"/>
              <w:widowControl w:val="0"/>
              <w:kinsoku/>
              <w:wordWrap/>
              <w:overflowPunct/>
              <w:topLinePunct w:val="0"/>
              <w:autoSpaceDE/>
              <w:autoSpaceDN/>
              <w:bidi w:val="0"/>
              <w:adjustRightInd w:val="0"/>
              <w:snapToGrid w:val="0"/>
              <w:spacing w:line="240" w:lineRule="auto"/>
              <w:ind w:left="0" w:leftChars="0" w:firstLine="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3"/>
                <w:sz w:val="21"/>
                <w:szCs w:val="21"/>
                <w:highlight w:val="none"/>
                <w14:textFill>
                  <w14:solidFill>
                    <w14:schemeClr w14:val="tx1"/>
                  </w14:solidFill>
                </w14:textFill>
              </w:rPr>
              <w:t>环境监测</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 xml:space="preserve"> </w:t>
            </w:r>
            <w:r>
              <w:rPr>
                <w:rFonts w:hint="default" w:ascii="Times New Roman" w:hAnsi="Times New Roman" w:cs="Times New Roman" w:eastAsiaTheme="minorEastAsia"/>
                <w:color w:val="000000" w:themeColor="text1"/>
                <w:spacing w:val="7"/>
                <w:sz w:val="21"/>
                <w:szCs w:val="21"/>
                <w:highlight w:val="none"/>
                <w14:textFill>
                  <w14:solidFill>
                    <w14:schemeClr w14:val="tx1"/>
                  </w14:solidFill>
                </w14:textFill>
              </w:rPr>
              <w:t>计划</w:t>
            </w:r>
          </w:p>
        </w:tc>
        <w:tc>
          <w:tcPr>
            <w:tcW w:w="966" w:type="pct"/>
            <w:vAlign w:val="center"/>
          </w:tcPr>
          <w:p w14:paraId="6F5784BD">
            <w:pPr>
              <w:pStyle w:val="620"/>
              <w:keepNext w:val="0"/>
              <w:keepLines w:val="0"/>
              <w:pageBreakBefore w:val="0"/>
              <w:widowControl w:val="0"/>
              <w:kinsoku/>
              <w:wordWrap/>
              <w:overflowPunct/>
              <w:topLinePunct w:val="0"/>
              <w:autoSpaceDE/>
              <w:autoSpaceDN/>
              <w:bidi w:val="0"/>
              <w:adjustRightInd w:val="0"/>
              <w:snapToGrid w:val="0"/>
              <w:spacing w:line="240" w:lineRule="auto"/>
              <w:ind w:left="0" w:leftChars="0" w:firstLine="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4"/>
                <w:sz w:val="21"/>
                <w:szCs w:val="21"/>
                <w:highlight w:val="none"/>
                <w14:textFill>
                  <w14:solidFill>
                    <w14:schemeClr w14:val="tx1"/>
                  </w14:solidFill>
                </w14:textFill>
              </w:rPr>
              <w:t>排放监测</w:t>
            </w:r>
          </w:p>
        </w:tc>
        <w:tc>
          <w:tcPr>
            <w:tcW w:w="3487" w:type="pct"/>
            <w:gridSpan w:val="10"/>
            <w:vAlign w:val="center"/>
          </w:tcPr>
          <w:p w14:paraId="53DF3621">
            <w:pPr>
              <w:pStyle w:val="620"/>
              <w:keepNext w:val="0"/>
              <w:keepLines w:val="0"/>
              <w:pageBreakBefore w:val="0"/>
              <w:widowControl w:val="0"/>
              <w:kinsoku/>
              <w:wordWrap/>
              <w:overflowPunct/>
              <w:topLinePunct w:val="0"/>
              <w:autoSpaceDE/>
              <w:autoSpaceDN/>
              <w:bidi w:val="0"/>
              <w:adjustRightInd w:val="0"/>
              <w:snapToGrid w:val="0"/>
              <w:spacing w:line="240" w:lineRule="auto"/>
              <w:ind w:left="0" w:leftChars="0" w:firstLine="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1"/>
                <w:sz w:val="21"/>
                <w:szCs w:val="21"/>
                <w:highlight w:val="none"/>
                <w14:textFill>
                  <w14:solidFill>
                    <w14:schemeClr w14:val="tx1"/>
                  </w14:solidFill>
                </w14:textFill>
              </w:rPr>
              <w:t>厂界监测</w:t>
            </w:r>
            <w:r>
              <w:rPr>
                <w:rFonts w:hint="default" w:ascii="Times New Roman" w:hAnsi="Times New Roman" w:cs="Times New Roman" w:eastAsiaTheme="minorEastAsia"/>
                <w:color w:val="000000" w:themeColor="text1"/>
                <w:spacing w:val="1"/>
                <w:sz w:val="21"/>
                <w:szCs w:val="2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pacing w:val="1"/>
                <w:sz w:val="21"/>
                <w:szCs w:val="21"/>
                <w:highlight w:val="none"/>
                <w14:textFill>
                  <w14:solidFill>
                    <w14:schemeClr w14:val="tx1"/>
                  </w14:solidFill>
                </w14:textFill>
              </w:rPr>
              <w:t>固定位置监测</w:t>
            </w:r>
            <w:r>
              <w:rPr>
                <w:rFonts w:hint="default" w:ascii="Times New Roman" w:hAnsi="Times New Roman" w:cs="Times New Roman" w:eastAsiaTheme="minorEastAsia"/>
                <w:color w:val="000000" w:themeColor="text1"/>
                <w:spacing w:val="1"/>
                <w:sz w:val="21"/>
                <w:szCs w:val="2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pacing w:val="1"/>
                <w:sz w:val="21"/>
                <w:szCs w:val="21"/>
                <w:highlight w:val="none"/>
                <w14:textFill>
                  <w14:solidFill>
                    <w14:schemeClr w14:val="tx1"/>
                  </w14:solidFill>
                </w14:textFill>
              </w:rPr>
              <w:t>自动监测口手动监测口</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无监测口</w:t>
            </w:r>
          </w:p>
        </w:tc>
      </w:tr>
      <w:tr w14:paraId="48D17F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 w:type="pct"/>
          <w:trHeight w:val="647" w:hRule="atLeast"/>
        </w:trPr>
        <w:tc>
          <w:tcPr>
            <w:tcW w:w="543" w:type="pct"/>
            <w:vMerge w:val="continue"/>
            <w:tcBorders>
              <w:top w:val="nil"/>
            </w:tcBorders>
            <w:vAlign w:val="center"/>
          </w:tcPr>
          <w:p w14:paraId="07F5B11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966" w:type="pct"/>
            <w:vAlign w:val="center"/>
          </w:tcPr>
          <w:p w14:paraId="043B6AEC">
            <w:pPr>
              <w:pStyle w:val="620"/>
              <w:keepNext w:val="0"/>
              <w:keepLines w:val="0"/>
              <w:pageBreakBefore w:val="0"/>
              <w:widowControl w:val="0"/>
              <w:kinsoku/>
              <w:wordWrap/>
              <w:overflowPunct/>
              <w:topLinePunct w:val="0"/>
              <w:autoSpaceDE/>
              <w:autoSpaceDN/>
              <w:bidi w:val="0"/>
              <w:adjustRightInd w:val="0"/>
              <w:snapToGrid w:val="0"/>
              <w:spacing w:line="240" w:lineRule="auto"/>
              <w:ind w:left="0" w:leftChars="0" w:firstLine="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1"/>
                <w:sz w:val="21"/>
                <w:szCs w:val="21"/>
                <w:highlight w:val="none"/>
                <w14:textFill>
                  <w14:solidFill>
                    <w14:schemeClr w14:val="tx1"/>
                  </w14:solidFill>
                </w14:textFill>
              </w:rPr>
              <w:t>声环境保护目</w:t>
            </w:r>
            <w:r>
              <w:rPr>
                <w:rFonts w:hint="default" w:ascii="Times New Roman" w:hAnsi="Times New Roman" w:cs="Times New Roman" w:eastAsiaTheme="minorEastAsia"/>
                <w:color w:val="000000" w:themeColor="text1"/>
                <w:spacing w:val="-4"/>
                <w:sz w:val="21"/>
                <w:szCs w:val="21"/>
                <w:highlight w:val="none"/>
                <w14:textFill>
                  <w14:solidFill>
                    <w14:schemeClr w14:val="tx1"/>
                  </w14:solidFill>
                </w14:textFill>
              </w:rPr>
              <w:t>标处噪声监测</w:t>
            </w:r>
          </w:p>
        </w:tc>
        <w:tc>
          <w:tcPr>
            <w:tcW w:w="1671" w:type="pct"/>
            <w:gridSpan w:val="5"/>
            <w:vAlign w:val="center"/>
          </w:tcPr>
          <w:p w14:paraId="3BCEB148">
            <w:pPr>
              <w:pStyle w:val="620"/>
              <w:keepNext w:val="0"/>
              <w:keepLines w:val="0"/>
              <w:pageBreakBefore w:val="0"/>
              <w:widowControl w:val="0"/>
              <w:kinsoku/>
              <w:wordWrap/>
              <w:overflowPunct/>
              <w:topLinePunct w:val="0"/>
              <w:autoSpaceDE/>
              <w:autoSpaceDN/>
              <w:bidi w:val="0"/>
              <w:adjustRightInd w:val="0"/>
              <w:snapToGrid w:val="0"/>
              <w:spacing w:line="240" w:lineRule="auto"/>
              <w:ind w:left="0" w:leftChars="0" w:firstLine="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3"/>
                <w:sz w:val="21"/>
                <w:szCs w:val="21"/>
                <w:highlight w:val="none"/>
                <w14:textFill>
                  <w14:solidFill>
                    <w14:schemeClr w14:val="tx1"/>
                  </w14:solidFill>
                </w14:textFill>
              </w:rPr>
              <w:t>监测因子：()</w:t>
            </w:r>
          </w:p>
        </w:tc>
        <w:tc>
          <w:tcPr>
            <w:tcW w:w="1128" w:type="pct"/>
            <w:gridSpan w:val="3"/>
            <w:vAlign w:val="center"/>
          </w:tcPr>
          <w:p w14:paraId="1DA4EABF">
            <w:pPr>
              <w:pStyle w:val="620"/>
              <w:keepNext w:val="0"/>
              <w:keepLines w:val="0"/>
              <w:pageBreakBefore w:val="0"/>
              <w:widowControl w:val="0"/>
              <w:kinsoku/>
              <w:wordWrap/>
              <w:overflowPunct/>
              <w:topLinePunct w:val="0"/>
              <w:autoSpaceDE/>
              <w:autoSpaceDN/>
              <w:bidi w:val="0"/>
              <w:adjustRightInd w:val="0"/>
              <w:snapToGrid w:val="0"/>
              <w:spacing w:line="240" w:lineRule="auto"/>
              <w:ind w:left="0" w:leftChars="0" w:firstLine="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7"/>
                <w:sz w:val="21"/>
                <w:szCs w:val="21"/>
                <w:highlight w:val="none"/>
                <w14:textFill>
                  <w14:solidFill>
                    <w14:schemeClr w14:val="tx1"/>
                  </w14:solidFill>
                </w14:textFill>
              </w:rPr>
              <w:t>监测点位数()</w:t>
            </w:r>
          </w:p>
        </w:tc>
        <w:tc>
          <w:tcPr>
            <w:tcW w:w="687" w:type="pct"/>
            <w:gridSpan w:val="2"/>
            <w:vAlign w:val="center"/>
          </w:tcPr>
          <w:p w14:paraId="0A36C217">
            <w:pPr>
              <w:pStyle w:val="620"/>
              <w:keepNext w:val="0"/>
              <w:keepLines w:val="0"/>
              <w:pageBreakBefore w:val="0"/>
              <w:widowControl w:val="0"/>
              <w:kinsoku/>
              <w:wordWrap/>
              <w:overflowPunct/>
              <w:topLinePunct w:val="0"/>
              <w:autoSpaceDE/>
              <w:autoSpaceDN/>
              <w:bidi w:val="0"/>
              <w:adjustRightInd w:val="0"/>
              <w:snapToGrid w:val="0"/>
              <w:spacing w:line="240" w:lineRule="auto"/>
              <w:ind w:left="0" w:leftChars="0" w:firstLine="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8"/>
                <w:sz w:val="21"/>
                <w:szCs w:val="21"/>
                <w:highlight w:val="none"/>
                <w14:textFill>
                  <w14:solidFill>
                    <w14:schemeClr w14:val="tx1"/>
                  </w14:solidFill>
                </w14:textFill>
              </w:rPr>
              <w:t>无监测口</w:t>
            </w:r>
          </w:p>
        </w:tc>
      </w:tr>
      <w:tr w14:paraId="3F2E1E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 w:type="pct"/>
          <w:trHeight w:val="318" w:hRule="atLeast"/>
        </w:trPr>
        <w:tc>
          <w:tcPr>
            <w:tcW w:w="543" w:type="pct"/>
            <w:vAlign w:val="center"/>
          </w:tcPr>
          <w:p w14:paraId="1F604416">
            <w:pPr>
              <w:pStyle w:val="620"/>
              <w:keepNext w:val="0"/>
              <w:keepLines w:val="0"/>
              <w:pageBreakBefore w:val="0"/>
              <w:widowControl w:val="0"/>
              <w:kinsoku/>
              <w:wordWrap/>
              <w:overflowPunct/>
              <w:topLinePunct w:val="0"/>
              <w:autoSpaceDE/>
              <w:autoSpaceDN/>
              <w:bidi w:val="0"/>
              <w:adjustRightInd w:val="0"/>
              <w:snapToGrid w:val="0"/>
              <w:spacing w:line="240" w:lineRule="auto"/>
              <w:ind w:left="0" w:leftChars="0" w:firstLine="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3"/>
                <w:sz w:val="21"/>
                <w:szCs w:val="21"/>
                <w:highlight w:val="none"/>
                <w14:textFill>
                  <w14:solidFill>
                    <w14:schemeClr w14:val="tx1"/>
                  </w14:solidFill>
                </w14:textFill>
              </w:rPr>
              <w:t>评价结论</w:t>
            </w:r>
          </w:p>
        </w:tc>
        <w:tc>
          <w:tcPr>
            <w:tcW w:w="966" w:type="pct"/>
            <w:vAlign w:val="center"/>
          </w:tcPr>
          <w:p w14:paraId="597F346A">
            <w:pPr>
              <w:pStyle w:val="620"/>
              <w:keepNext w:val="0"/>
              <w:keepLines w:val="0"/>
              <w:pageBreakBefore w:val="0"/>
              <w:widowControl w:val="0"/>
              <w:kinsoku/>
              <w:wordWrap/>
              <w:overflowPunct/>
              <w:topLinePunct w:val="0"/>
              <w:autoSpaceDE/>
              <w:autoSpaceDN/>
              <w:bidi w:val="0"/>
              <w:adjustRightInd w:val="0"/>
              <w:snapToGrid w:val="0"/>
              <w:spacing w:line="240" w:lineRule="auto"/>
              <w:ind w:left="0" w:leftChars="0" w:firstLine="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4"/>
                <w:sz w:val="21"/>
                <w:szCs w:val="21"/>
                <w:highlight w:val="none"/>
                <w14:textFill>
                  <w14:solidFill>
                    <w14:schemeClr w14:val="tx1"/>
                  </w14:solidFill>
                </w14:textFill>
              </w:rPr>
              <w:t>环境影响</w:t>
            </w:r>
          </w:p>
        </w:tc>
        <w:tc>
          <w:tcPr>
            <w:tcW w:w="3487" w:type="pct"/>
            <w:gridSpan w:val="10"/>
            <w:vAlign w:val="center"/>
          </w:tcPr>
          <w:p w14:paraId="188D8AFC">
            <w:pPr>
              <w:pStyle w:val="620"/>
              <w:keepNext w:val="0"/>
              <w:keepLines w:val="0"/>
              <w:pageBreakBefore w:val="0"/>
              <w:widowControl w:val="0"/>
              <w:kinsoku/>
              <w:wordWrap/>
              <w:overflowPunct/>
              <w:topLinePunct w:val="0"/>
              <w:autoSpaceDE/>
              <w:autoSpaceDN/>
              <w:bidi w:val="0"/>
              <w:adjustRightInd w:val="0"/>
              <w:snapToGrid w:val="0"/>
              <w:spacing w:line="240" w:lineRule="auto"/>
              <w:ind w:left="0" w:leftChars="0" w:firstLine="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4"/>
                <w:position w:val="1"/>
                <w:sz w:val="21"/>
                <w:szCs w:val="21"/>
                <w:highlight w:val="none"/>
                <w14:textFill>
                  <w14:solidFill>
                    <w14:schemeClr w14:val="tx1"/>
                  </w14:solidFill>
                </w14:textFill>
              </w:rPr>
              <w:t>可行☑</w:t>
            </w:r>
            <w:r>
              <w:rPr>
                <w:rFonts w:hint="default" w:ascii="Times New Roman" w:hAnsi="Times New Roman" w:cs="Times New Roman" w:eastAsiaTheme="minorEastAsia"/>
                <w:color w:val="000000" w:themeColor="text1"/>
                <w:spacing w:val="16"/>
                <w:position w:val="1"/>
                <w:sz w:val="21"/>
                <w:szCs w:val="21"/>
                <w:highlight w:val="none"/>
                <w14:textFill>
                  <w14:solidFill>
                    <w14:schemeClr w14:val="tx1"/>
                  </w14:solidFill>
                </w14:textFill>
              </w:rPr>
              <w:t xml:space="preserve">     </w:t>
            </w:r>
            <w:r>
              <w:rPr>
                <w:rFonts w:hint="default" w:ascii="Times New Roman" w:hAnsi="Times New Roman" w:cs="Times New Roman" w:eastAsiaTheme="minorEastAsia"/>
                <w:color w:val="000000" w:themeColor="text1"/>
                <w:spacing w:val="4"/>
                <w:sz w:val="21"/>
                <w:szCs w:val="21"/>
                <w:highlight w:val="none"/>
                <w14:textFill>
                  <w14:solidFill>
                    <w14:schemeClr w14:val="tx1"/>
                  </w14:solidFill>
                </w14:textFill>
              </w:rPr>
              <w:t>不可行口</w:t>
            </w:r>
          </w:p>
        </w:tc>
      </w:tr>
      <w:tr w14:paraId="7A6441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 w:type="pct"/>
          <w:trHeight w:val="353" w:hRule="atLeast"/>
        </w:trPr>
        <w:tc>
          <w:tcPr>
            <w:tcW w:w="4997" w:type="pct"/>
            <w:gridSpan w:val="12"/>
            <w:vAlign w:val="center"/>
          </w:tcPr>
          <w:p w14:paraId="6C7EF95F">
            <w:pPr>
              <w:pStyle w:val="620"/>
              <w:keepNext w:val="0"/>
              <w:keepLines w:val="0"/>
              <w:pageBreakBefore w:val="0"/>
              <w:widowControl w:val="0"/>
              <w:kinsoku/>
              <w:wordWrap/>
              <w:overflowPunct/>
              <w:topLinePunct w:val="0"/>
              <w:autoSpaceDE/>
              <w:autoSpaceDN/>
              <w:bidi w:val="0"/>
              <w:adjustRightInd w:val="0"/>
              <w:snapToGrid w:val="0"/>
              <w:spacing w:line="240" w:lineRule="auto"/>
              <w:ind w:left="0" w:leftChars="0" w:firstLine="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5"/>
                <w:sz w:val="21"/>
                <w:szCs w:val="21"/>
                <w:highlight w:val="none"/>
                <w14:textFill>
                  <w14:solidFill>
                    <w14:schemeClr w14:val="tx1"/>
                  </w14:solidFill>
                </w14:textFill>
              </w:rPr>
              <w:t>注：“”为勾选项，可</w:t>
            </w:r>
            <w:r>
              <w:rPr>
                <w:rFonts w:hint="default" w:ascii="Times New Roman" w:hAnsi="Times New Roman" w:cs="Times New Roman" w:eastAsiaTheme="minorEastAsia"/>
                <w:color w:val="000000" w:themeColor="text1"/>
                <w:spacing w:val="-44"/>
                <w:sz w:val="21"/>
                <w:szCs w:val="21"/>
                <w:highlight w:val="none"/>
                <w14:textFill>
                  <w14:solidFill>
                    <w14:schemeClr w14:val="tx1"/>
                  </w14:solidFill>
                </w14:textFill>
              </w:rPr>
              <w:t xml:space="preserve"> </w:t>
            </w:r>
            <w:r>
              <w:rPr>
                <w:rFonts w:hint="default" w:ascii="Times New Roman" w:hAnsi="Times New Roman" w:cs="Times New Roman" w:eastAsiaTheme="minorEastAsia"/>
                <w:color w:val="000000" w:themeColor="text1"/>
                <w:spacing w:val="-5"/>
                <w:sz w:val="21"/>
                <w:szCs w:val="21"/>
                <w:highlight w:val="none"/>
                <w14:textFill>
                  <w14:solidFill>
                    <w14:schemeClr w14:val="tx1"/>
                  </w14:solidFill>
                </w14:textFill>
              </w:rPr>
              <w:t>√</w:t>
            </w:r>
            <w:r>
              <w:rPr>
                <w:rFonts w:hint="default" w:ascii="Times New Roman" w:hAnsi="Times New Roman" w:cs="Times New Roman" w:eastAsiaTheme="minorEastAsia"/>
                <w:color w:val="000000" w:themeColor="text1"/>
                <w:spacing w:val="-67"/>
                <w:sz w:val="21"/>
                <w:szCs w:val="21"/>
                <w:highlight w:val="none"/>
                <w14:textFill>
                  <w14:solidFill>
                    <w14:schemeClr w14:val="tx1"/>
                  </w14:solidFill>
                </w14:textFill>
              </w:rPr>
              <w:t xml:space="preserve"> </w:t>
            </w:r>
            <w:r>
              <w:rPr>
                <w:rFonts w:hint="default" w:ascii="Times New Roman" w:hAnsi="Times New Roman" w:cs="Times New Roman" w:eastAsiaTheme="minorEastAsia"/>
                <w:color w:val="000000" w:themeColor="text1"/>
                <w:spacing w:val="-5"/>
                <w:sz w:val="21"/>
                <w:szCs w:val="2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pacing w:val="-5"/>
                <w:sz w:val="21"/>
                <w:szCs w:val="21"/>
                <w:highlight w:val="none"/>
                <w14:textFill>
                  <w14:solidFill>
                    <w14:schemeClr w14:val="tx1"/>
                  </w14:solidFill>
                </w14:textFill>
              </w:rPr>
              <w:t>“()”为内容填写项。</w:t>
            </w:r>
          </w:p>
        </w:tc>
      </w:tr>
    </w:tbl>
    <w:p w14:paraId="0F3F7DF1">
      <w:pPr>
        <w:rPr>
          <w:rFonts w:hint="default" w:ascii="Times New Roman" w:hAnsi="Times New Roman" w:cs="Times New Roman" w:eastAsiaTheme="minorEastAsia"/>
          <w:snapToGrid w:val="0"/>
          <w:color w:val="FF0000"/>
          <w:sz w:val="24"/>
          <w:highlight w:val="none"/>
          <w:lang w:val="en-US" w:eastAsia="zh-CN"/>
        </w:rPr>
      </w:pPr>
      <w:r>
        <w:rPr>
          <w:rFonts w:hint="default" w:ascii="Times New Roman" w:hAnsi="Times New Roman" w:cs="Times New Roman" w:eastAsiaTheme="minorEastAsia"/>
          <w:snapToGrid w:val="0"/>
          <w:color w:val="FF0000"/>
          <w:sz w:val="24"/>
          <w:highlight w:val="none"/>
          <w:lang w:val="en-US" w:eastAsia="zh-CN"/>
        </w:rPr>
        <w:br w:type="page"/>
      </w:r>
    </w:p>
    <w:p w14:paraId="3471D3EF">
      <w:pPr>
        <w:pStyle w:val="11"/>
        <w:keepNext/>
        <w:keepLines/>
        <w:pageBreakBefore w:val="0"/>
        <w:widowControl w:val="0"/>
        <w:kinsoku/>
        <w:wordWrap/>
        <w:overflowPunct/>
        <w:topLinePunct w:val="0"/>
        <w:autoSpaceDE/>
        <w:autoSpaceDN/>
        <w:bidi w:val="0"/>
        <w:adjustRightInd/>
        <w:snapToGrid w:val="0"/>
        <w:spacing w:beforeLines="0" w:afterLines="0" w:line="360" w:lineRule="auto"/>
        <w:ind w:left="0"/>
        <w:textAlignment w:val="auto"/>
        <w:outlineLvl w:val="2"/>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bookmarkStart w:id="469" w:name="_Toc26826"/>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5.2.</w:t>
      </w:r>
      <w:r>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t>4</w:t>
      </w: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 xml:space="preserve"> 固体废物影响</w:t>
      </w:r>
      <w:bookmarkEnd w:id="469"/>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评价</w:t>
      </w:r>
    </w:p>
    <w:p w14:paraId="062F6553">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bookmarkStart w:id="470" w:name="OLE_LINK1"/>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本项目运营期产生的固体废物主要包括生活垃圾、废</w:t>
      </w:r>
      <w:r>
        <w:rPr>
          <w:rFonts w:hint="eastAsia" w:cs="Times New Roman" w:eastAsiaTheme="minorEastAsia"/>
          <w:snapToGrid w:val="0"/>
          <w:color w:val="000000" w:themeColor="text1"/>
          <w:sz w:val="24"/>
          <w:highlight w:val="none"/>
          <w:lang w:val="en-US" w:eastAsia="zh-CN"/>
          <w14:textFill>
            <w14:solidFill>
              <w14:schemeClr w14:val="tx1"/>
            </w14:solidFill>
          </w14:textFill>
        </w:rPr>
        <w:t>矿物油</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、含油抹布和废手套、风机报废零部件、废风机叶片等。</w:t>
      </w:r>
    </w:p>
    <w:p w14:paraId="5945663B">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(1)生活垃圾</w:t>
      </w:r>
    </w:p>
    <w:p w14:paraId="50692F42">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本项目风电场区运营期不产生生活垃圾，仅在</w:t>
      </w:r>
      <w:r>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集电</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线路检修过程中产生少量生活垃圾</w:t>
      </w:r>
      <w:r>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产生量约0.05t/a。巡检时产生的生活垃圾由检修人员随车拉运至就近生活垃圾转运站，由环卫部门统一处置。</w:t>
      </w:r>
    </w:p>
    <w:p w14:paraId="5D771E59">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(2)风机报废零部件</w:t>
      </w:r>
    </w:p>
    <w:p w14:paraId="53B1E7AF">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风电机组本身不产生固废，在维修时会产生废电器元器件、开关、断路器及传感器等报废零部件，根据《固体废物分类与代码目录》(2024版)废零部件属于“SW17可再生类固体废物”，废物代码为“900-008-S17”固废名称为：“废弃电器电子产品。”，废零部件集中收集后由厂家回收处置，产生及回收量约0.1t/a。</w:t>
      </w:r>
    </w:p>
    <w:p w14:paraId="0382FBD4">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(3)废风机叶片</w:t>
      </w:r>
    </w:p>
    <w:p w14:paraId="0E4495C9">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本项目风机使用寿命20~25年，只有在风电站技改或者退役时，会产生废风机叶片，根据《固体废物分类与代码目录》(2024版)废零部件属于“SW17  可再生类固体废物”，废物代码为“900-016-S17”固废名称为：“风力发电站在技改或者退役过程中产生的废风机叶片。”，本项目</w:t>
      </w:r>
      <w:r>
        <w:rPr>
          <w:rFonts w:hint="eastAsia" w:cs="Times New Roman" w:eastAsiaTheme="minorEastAsia"/>
          <w:snapToGrid w:val="0"/>
          <w:color w:val="000000" w:themeColor="text1"/>
          <w:sz w:val="24"/>
          <w:highlight w:val="none"/>
          <w:lang w:val="en-US" w:eastAsia="zh-CN"/>
          <w14:textFill>
            <w14:solidFill>
              <w14:schemeClr w14:val="tx1"/>
            </w14:solidFill>
          </w14:textFill>
        </w:rPr>
        <w:t>20</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台风机共</w:t>
      </w:r>
      <w:r>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63</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片风机叶片，约</w:t>
      </w:r>
      <w:r>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63</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0t重，废风机叶片集中收集后由厂家回收处置。</w:t>
      </w:r>
    </w:p>
    <w:bookmarkEnd w:id="470"/>
    <w:p w14:paraId="77E4B70A">
      <w:pPr>
        <w:keepNext w:val="0"/>
        <w:keepLines w:val="0"/>
        <w:pageBreakBefore w:val="0"/>
        <w:widowControl/>
        <w:kinsoku/>
        <w:wordWrap/>
        <w:overflowPunct w:val="0"/>
        <w:topLinePunct w:val="0"/>
        <w:autoSpaceDE w:val="0"/>
        <w:autoSpaceDN w:val="0"/>
        <w:bidi w:val="0"/>
        <w:adjustRightInd w:val="0"/>
        <w:snapToGrid w:val="0"/>
        <w:spacing w:line="360" w:lineRule="auto"/>
        <w:ind w:left="489"/>
        <w:textAlignment w:val="baseline"/>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14:textFill>
            <w14:solidFill>
              <w14:schemeClr w14:val="tx1"/>
            </w14:solidFill>
          </w14:textFill>
        </w:rPr>
        <w:t>(</w:t>
      </w:r>
      <w:r>
        <w:rPr>
          <w:rFonts w:hint="eastAsia" w:eastAsia="宋体" w:cs="Times New Roman"/>
          <w:color w:val="000000" w:themeColor="text1"/>
          <w:spacing w:val="-2"/>
          <w:sz w:val="24"/>
          <w:szCs w:val="24"/>
          <w:lang w:val="en-US" w:eastAsia="zh-CN"/>
          <w14:textFill>
            <w14:solidFill>
              <w14:schemeClr w14:val="tx1"/>
            </w14:solidFill>
          </w14:textFill>
        </w:rPr>
        <w:t>4</w:t>
      </w:r>
      <w:r>
        <w:rPr>
          <w:rFonts w:hint="default" w:ascii="Times New Roman" w:hAnsi="Times New Roman" w:eastAsia="宋体" w:cs="Times New Roman"/>
          <w:color w:val="000000" w:themeColor="text1"/>
          <w:spacing w:val="-2"/>
          <w:sz w:val="24"/>
          <w:szCs w:val="24"/>
          <w14:textFill>
            <w14:solidFill>
              <w14:schemeClr w14:val="tx1"/>
            </w14:solidFill>
          </w14:textFill>
        </w:rPr>
        <w:t>)废</w:t>
      </w:r>
      <w:r>
        <w:rPr>
          <w:rFonts w:hint="eastAsia" w:eastAsia="宋体" w:cs="Times New Roman"/>
          <w:color w:val="000000" w:themeColor="text1"/>
          <w:spacing w:val="-2"/>
          <w:sz w:val="24"/>
          <w:szCs w:val="24"/>
          <w:lang w:val="en-US" w:eastAsia="zh-CN"/>
          <w14:textFill>
            <w14:solidFill>
              <w14:schemeClr w14:val="tx1"/>
            </w14:solidFill>
          </w14:textFill>
        </w:rPr>
        <w:t>矿物油</w:t>
      </w:r>
    </w:p>
    <w:p w14:paraId="6FAD59AA">
      <w:pPr>
        <w:keepNext w:val="0"/>
        <w:keepLines w:val="0"/>
        <w:pageBreakBefore w:val="0"/>
        <w:widowControl w:val="0"/>
        <w:kinsoku/>
        <w:wordWrap/>
        <w:overflowPunct/>
        <w:topLinePunct w:val="0"/>
        <w:autoSpaceDE/>
        <w:autoSpaceDN/>
        <w:bidi w:val="0"/>
        <w:snapToGrid w:val="0"/>
        <w:spacing w:line="360" w:lineRule="auto"/>
        <w:ind w:left="0" w:leftChars="0" w:firstLine="480" w:firstLineChars="200"/>
        <w:jc w:val="left"/>
        <w:textAlignment w:val="auto"/>
        <w:rPr>
          <w:rFonts w:hint="eastAsia" w:ascii="宋体" w:hAnsi="宋体" w:eastAsia="宋体"/>
          <w:sz w:val="24"/>
        </w:rPr>
      </w:pPr>
      <w:r>
        <w:rPr>
          <w:rFonts w:hint="eastAsia" w:ascii="宋体" w:hAnsi="宋体" w:eastAsia="宋体"/>
          <w:sz w:val="24"/>
        </w:rPr>
        <w:t>本项目风力发电机组中转动部件采用润滑油或润滑脂润滑</w:t>
      </w:r>
      <w:r>
        <w:rPr>
          <w:rFonts w:hint="eastAsia" w:ascii="宋体" w:hAnsi="宋体" w:eastAsia="宋体"/>
          <w:sz w:val="24"/>
          <w:lang w:eastAsia="zh-CN"/>
        </w:rPr>
        <w:t>，</w:t>
      </w:r>
      <w:r>
        <w:rPr>
          <w:rFonts w:hint="eastAsia" w:ascii="宋体" w:hAnsi="宋体" w:eastAsia="宋体"/>
          <w:sz w:val="24"/>
        </w:rPr>
        <w:t>一般情况下</w:t>
      </w:r>
      <w:r>
        <w:rPr>
          <w:rFonts w:hint="eastAsia" w:ascii="TimesNewRomanPSMT" w:hAnsi="TimesNewRomanPSMT" w:eastAsia="TimesNewRomanPSMT"/>
          <w:sz w:val="24"/>
        </w:rPr>
        <w:t>4</w:t>
      </w:r>
      <w:r>
        <w:rPr>
          <w:rFonts w:hint="eastAsia" w:ascii="宋体" w:hAnsi="宋体" w:eastAsia="宋体"/>
          <w:sz w:val="24"/>
        </w:rPr>
        <w:t>～</w:t>
      </w:r>
      <w:r>
        <w:rPr>
          <w:rFonts w:hint="eastAsia" w:ascii="TimesNewRomanPSMT" w:hAnsi="TimesNewRomanPSMT" w:eastAsia="TimesNewRomanPSMT"/>
          <w:sz w:val="24"/>
        </w:rPr>
        <w:t xml:space="preserve">5 </w:t>
      </w:r>
      <w:r>
        <w:rPr>
          <w:rFonts w:hint="eastAsia" w:ascii="宋体" w:hAnsi="宋体" w:eastAsia="宋体"/>
          <w:sz w:val="24"/>
        </w:rPr>
        <w:t>年更换一次。根据《国家危险废物名录》（</w:t>
      </w:r>
      <w:r>
        <w:rPr>
          <w:rFonts w:hint="eastAsia" w:ascii="TimesNewRomanPSMT" w:hAnsi="TimesNewRomanPSMT" w:eastAsia="TimesNewRomanPSMT"/>
          <w:sz w:val="24"/>
        </w:rPr>
        <w:t>202</w:t>
      </w:r>
      <w:r>
        <w:rPr>
          <w:rFonts w:hint="eastAsia" w:ascii="TimesNewRomanPSMT" w:hAnsi="TimesNewRomanPSMT" w:eastAsia="宋体"/>
          <w:sz w:val="24"/>
          <w:lang w:val="en-US" w:eastAsia="zh-CN"/>
        </w:rPr>
        <w:t>5</w:t>
      </w:r>
      <w:r>
        <w:rPr>
          <w:rFonts w:hint="eastAsia" w:ascii="宋体" w:hAnsi="宋体" w:eastAsia="宋体"/>
          <w:sz w:val="24"/>
        </w:rPr>
        <w:t>年版），风电机组中转动部件产生的废矿物油属于危险废物“</w:t>
      </w:r>
      <w:r>
        <w:rPr>
          <w:rFonts w:hint="eastAsia" w:ascii="TimesNewRomanPSMT" w:hAnsi="TimesNewRomanPSMT" w:eastAsia="TimesNewRomanPSMT"/>
          <w:sz w:val="24"/>
        </w:rPr>
        <w:t xml:space="preserve">HW08 </w:t>
      </w:r>
      <w:r>
        <w:rPr>
          <w:rFonts w:hint="eastAsia" w:ascii="宋体" w:hAnsi="宋体" w:eastAsia="宋体"/>
          <w:sz w:val="24"/>
        </w:rPr>
        <w:t>类废矿物与含矿物油废物”的“使用工业齿轮油进行机械设备润滑过程中产生的废润滑油”，危废代码为“</w:t>
      </w:r>
      <w:r>
        <w:rPr>
          <w:rFonts w:hint="eastAsia" w:ascii="TimesNewRomanPSMT" w:hAnsi="TimesNewRomanPSMT" w:eastAsia="TimesNewRomanPSMT"/>
          <w:sz w:val="24"/>
        </w:rPr>
        <w:t>900-217-08</w:t>
      </w:r>
      <w:r>
        <w:rPr>
          <w:rFonts w:hint="eastAsia" w:ascii="宋体" w:hAnsi="宋体" w:eastAsia="宋体"/>
          <w:sz w:val="24"/>
        </w:rPr>
        <w:t>”“液压设备维护、更换和拆解过程中产生的废液压油”，危废代码为“</w:t>
      </w:r>
      <w:r>
        <w:rPr>
          <w:rFonts w:hint="eastAsia" w:ascii="TimesNewRomanPSMT" w:hAnsi="TimesNewRomanPSMT" w:eastAsia="TimesNewRomanPSMT"/>
          <w:sz w:val="24"/>
        </w:rPr>
        <w:t>900-218-08</w:t>
      </w:r>
      <w:r>
        <w:rPr>
          <w:rFonts w:hint="eastAsia" w:ascii="宋体" w:hAnsi="宋体" w:eastAsia="宋体"/>
          <w:sz w:val="24"/>
        </w:rPr>
        <w:t>”；最大产生量约为</w:t>
      </w:r>
      <w:r>
        <w:rPr>
          <w:rFonts w:hint="eastAsia" w:ascii="TimesNewRomanPSMT" w:hAnsi="TimesNewRomanPSMT" w:eastAsia="宋体"/>
          <w:sz w:val="24"/>
          <w:lang w:val="en-US" w:eastAsia="zh-CN"/>
        </w:rPr>
        <w:t>62.5</w:t>
      </w:r>
      <w:r>
        <w:rPr>
          <w:rFonts w:hint="eastAsia" w:ascii="宋体" w:hAnsi="宋体" w:eastAsia="宋体"/>
          <w:sz w:val="24"/>
          <w:lang w:val="en-US" w:eastAsia="zh-CN"/>
        </w:rPr>
        <w:t>kg</w:t>
      </w:r>
      <w:r>
        <w:rPr>
          <w:rFonts w:hint="eastAsia" w:ascii="TimesNewRomanPSMT" w:hAnsi="TimesNewRomanPSMT" w:eastAsia="TimesNewRomanPSMT"/>
          <w:sz w:val="24"/>
        </w:rPr>
        <w:t>/</w:t>
      </w:r>
      <w:r>
        <w:rPr>
          <w:rFonts w:hint="eastAsia" w:ascii="宋体" w:hAnsi="宋体" w:eastAsia="宋体"/>
          <w:sz w:val="24"/>
          <w:lang w:val="en-US" w:eastAsia="zh-CN"/>
        </w:rPr>
        <w:t>a(核算过程详见3.2.2.2章节相关内容)，</w:t>
      </w:r>
      <w:r>
        <w:rPr>
          <w:rFonts w:hint="eastAsia" w:ascii="宋体" w:hAnsi="宋体" w:eastAsia="宋体"/>
          <w:sz w:val="24"/>
        </w:rPr>
        <w:t>废矿物油即产即清，交由有资质单位处置，不在场内暂存。</w:t>
      </w:r>
    </w:p>
    <w:p w14:paraId="3720B3CA">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w:t>
      </w:r>
      <w:r>
        <w:rPr>
          <w:rFonts w:hint="eastAsia" w:cs="Times New Roman" w:eastAsiaTheme="minorEastAsia"/>
          <w:snapToGrid w:val="0"/>
          <w:color w:val="000000" w:themeColor="text1"/>
          <w:sz w:val="24"/>
          <w:highlight w:val="none"/>
          <w:lang w:val="en-US" w:eastAsia="zh-CN"/>
          <w14:textFill>
            <w14:solidFill>
              <w14:schemeClr w14:val="tx1"/>
            </w14:solidFill>
          </w14:textFill>
        </w:rPr>
        <w:t>5</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)含油抹布和废手套</w:t>
      </w:r>
    </w:p>
    <w:p w14:paraId="6CAB6B1E">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eastAsia" w:cs="Times New Roman" w:eastAsiaTheme="minorEastAsia"/>
          <w:snapToGrid w:val="0"/>
          <w:color w:val="000000" w:themeColor="text1"/>
          <w:sz w:val="24"/>
          <w:highlight w:val="none"/>
          <w:lang w:val="en-US" w:eastAsia="zh-CN"/>
          <w14:textFill>
            <w14:solidFill>
              <w14:schemeClr w14:val="tx1"/>
            </w14:solidFill>
          </w14:textFill>
        </w:rPr>
        <w:t>风电场</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检修过程中产生少量含油抹布及废手套，产生量0.05t/a。根据《国家危险废物名录(202</w:t>
      </w:r>
      <w:r>
        <w:rPr>
          <w:rFonts w:hint="eastAsia" w:cs="Times New Roman" w:eastAsiaTheme="minorEastAsia"/>
          <w:snapToGrid w:val="0"/>
          <w:color w:val="000000" w:themeColor="text1"/>
          <w:sz w:val="24"/>
          <w:highlight w:val="none"/>
          <w:lang w:val="en-US" w:eastAsia="zh-CN"/>
          <w14:textFill>
            <w14:solidFill>
              <w14:schemeClr w14:val="tx1"/>
            </w14:solidFill>
          </w14:textFill>
        </w:rPr>
        <w:t>5</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年版)》，含油抹布及废手套属于危险废物“HW49  其他废物”，危废代码“900-041-49”，危险废物名称：“含有或沾染毒性、感染性危险废物的废弃包装物、容器、过滤吸附介质”</w:t>
      </w:r>
      <w:r>
        <w:rPr>
          <w:rFonts w:hint="eastAsia" w:cs="Times New Roman" w:eastAsiaTheme="minorEastAsia"/>
          <w:snapToGrid w:val="0"/>
          <w:color w:val="000000" w:themeColor="text1"/>
          <w:sz w:val="24"/>
          <w:highlight w:val="none"/>
          <w:lang w:val="en-US" w:eastAsia="zh-CN"/>
          <w14:textFill>
            <w14:solidFill>
              <w14:schemeClr w14:val="tx1"/>
            </w14:solidFill>
          </w14:textFill>
        </w:rPr>
        <w:t>，</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本</w:t>
      </w:r>
      <w:r>
        <w:rPr>
          <w:rFonts w:hint="eastAsia" w:cs="Times New Roman" w:eastAsiaTheme="minorEastAsia"/>
          <w:snapToGrid w:val="0"/>
          <w:color w:val="000000" w:themeColor="text1"/>
          <w:sz w:val="24"/>
          <w:highlight w:val="none"/>
          <w:lang w:val="en-US" w:eastAsia="zh-CN"/>
          <w14:textFill>
            <w14:solidFill>
              <w14:schemeClr w14:val="tx1"/>
            </w14:solidFill>
          </w14:textFill>
        </w:rPr>
        <w:t>次评价</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建议</w:t>
      </w:r>
      <w:r>
        <w:rPr>
          <w:rFonts w:hint="eastAsia" w:cs="Times New Roman" w:eastAsiaTheme="minorEastAsia"/>
          <w:snapToGrid w:val="0"/>
          <w:color w:val="000000" w:themeColor="text1"/>
          <w:sz w:val="24"/>
          <w:highlight w:val="none"/>
          <w:lang w:val="en-US" w:eastAsia="zh-CN"/>
          <w14:textFill>
            <w14:solidFill>
              <w14:schemeClr w14:val="tx1"/>
            </w14:solidFill>
          </w14:textFill>
        </w:rPr>
        <w:t>将维修过程中</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产生的含油抹布和废手套按照危险废物管理，即产即清，收集后委托有资质单位处置。</w:t>
      </w:r>
    </w:p>
    <w:p w14:paraId="1D31503F">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综上，本项目运营期各类固体废物均得到妥善合理处置，不外排，对项目区周边环境影响较小。</w:t>
      </w:r>
    </w:p>
    <w:p w14:paraId="535B7690">
      <w:pPr>
        <w:pStyle w:val="11"/>
        <w:keepNext/>
        <w:keepLines/>
        <w:pageBreakBefore w:val="0"/>
        <w:widowControl w:val="0"/>
        <w:kinsoku/>
        <w:wordWrap/>
        <w:overflowPunct/>
        <w:topLinePunct w:val="0"/>
        <w:autoSpaceDE/>
        <w:autoSpaceDN/>
        <w:bidi w:val="0"/>
        <w:adjustRightInd/>
        <w:snapToGrid w:val="0"/>
        <w:spacing w:beforeLines="0" w:afterLines="0"/>
        <w:ind w:left="0"/>
        <w:textAlignment w:val="auto"/>
        <w:outlineLvl w:val="2"/>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bookmarkStart w:id="471" w:name="_Toc4653"/>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5.2.</w:t>
      </w:r>
      <w:r>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t>5</w:t>
      </w: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 xml:space="preserve"> 生态环境影响评价</w:t>
      </w:r>
      <w:bookmarkEnd w:id="471"/>
    </w:p>
    <w:p w14:paraId="5894A212">
      <w:pPr>
        <w:keepNext w:val="0"/>
        <w:keepLines w:val="0"/>
        <w:pageBreakBefore w:val="0"/>
        <w:widowControl w:val="0"/>
        <w:numPr>
          <w:ilvl w:val="0"/>
          <w:numId w:val="0"/>
        </w:numPr>
        <w:tabs>
          <w:tab w:val="left" w:pos="1260"/>
        </w:tabs>
        <w:kinsoku/>
        <w:wordWrap/>
        <w:overflowPunct/>
        <w:topLinePunct w:val="0"/>
        <w:autoSpaceDE/>
        <w:autoSpaceDN/>
        <w:bidi w:val="0"/>
        <w:adjustRightInd/>
        <w:snapToGrid w:val="0"/>
        <w:spacing w:line="360" w:lineRule="auto"/>
        <w:textAlignment w:val="auto"/>
        <w:outlineLvl w:val="9"/>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t>5.2.</w:t>
      </w:r>
      <w:r>
        <w:rPr>
          <w:rFonts w:hint="eastAsia"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t>5</w:t>
      </w:r>
      <w:r>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t>.1 对植被影响分析</w:t>
      </w:r>
    </w:p>
    <w:p w14:paraId="0457BD93">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本项目建成后，永久占地内的植被将完全被破坏，形成建筑及其他用地类型。施工道路、施工临时生活办公区、施工区等临时占地，被占用的未利用地将随着施工的结束而得到恢复，其影响将逐步减小</w:t>
      </w:r>
      <w:r>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，甚至</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消失。</w:t>
      </w:r>
    </w:p>
    <w:p w14:paraId="023ADFBB">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项目运营过程中产生的固体废物未集中收集并妥善处置，会对土壤、植被造成污染，影响植物的生长。建设单位应该加强运营期环境管理，防止污染土壤及植被。</w:t>
      </w:r>
    </w:p>
    <w:p w14:paraId="2DBA1A66">
      <w:pPr>
        <w:keepNext w:val="0"/>
        <w:keepLines w:val="0"/>
        <w:pageBreakBefore w:val="0"/>
        <w:widowControl w:val="0"/>
        <w:numPr>
          <w:ilvl w:val="0"/>
          <w:numId w:val="0"/>
        </w:numPr>
        <w:tabs>
          <w:tab w:val="left" w:pos="1260"/>
        </w:tabs>
        <w:kinsoku/>
        <w:wordWrap/>
        <w:overflowPunct/>
        <w:topLinePunct w:val="0"/>
        <w:autoSpaceDE/>
        <w:autoSpaceDN/>
        <w:bidi w:val="0"/>
        <w:adjustRightInd/>
        <w:snapToGrid w:val="0"/>
        <w:spacing w:line="360" w:lineRule="auto"/>
        <w:textAlignment w:val="auto"/>
        <w:outlineLvl w:val="9"/>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t>5.2.</w:t>
      </w:r>
      <w:r>
        <w:rPr>
          <w:rFonts w:hint="eastAsia"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t>5</w:t>
      </w:r>
      <w:r>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t>.2 对动物影响分析</w:t>
      </w:r>
    </w:p>
    <w:p w14:paraId="6146A747">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本项目在运营期对陆生动物的影响主要为风机、检修道路等带来的影响，其中鸟类受其影响最大。</w:t>
      </w:r>
    </w:p>
    <w:p w14:paraId="00864630">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(1)生境质量下降对动物的影响</w:t>
      </w:r>
    </w:p>
    <w:p w14:paraId="545000A3">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项目竣工后，风机设施运转、</w:t>
      </w:r>
      <w:r>
        <w:rPr>
          <w:rFonts w:hint="eastAsia" w:cs="Times New Roman" w:eastAsiaTheme="minorEastAsia"/>
          <w:snapToGrid w:val="0"/>
          <w:color w:val="000000" w:themeColor="text1"/>
          <w:sz w:val="24"/>
          <w:highlight w:val="none"/>
          <w:lang w:val="en-US" w:eastAsia="zh-CN"/>
          <w14:textFill>
            <w14:solidFill>
              <w14:schemeClr w14:val="tx1"/>
            </w14:solidFill>
          </w14:textFill>
        </w:rPr>
        <w:t>集电线路</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的巡检、维护人员的活动等会干扰影响野生动物生境。根据现场调查，评价区内人为活动频繁，评价区内分</w:t>
      </w:r>
      <w:r>
        <w:rPr>
          <w:rFonts w:hint="default" w:ascii="Times New Roman" w:hAnsi="Times New Roman" w:cs="Times New Roman" w:eastAsiaTheme="minorEastAsia"/>
          <w:snapToGrid w:val="0"/>
          <w:color w:val="000000" w:themeColor="text1"/>
          <w:sz w:val="24"/>
          <w:szCs w:val="24"/>
          <w:highlight w:val="none"/>
          <w:lang w:val="en-US" w:eastAsia="zh-CN"/>
          <w14:textFill>
            <w14:solidFill>
              <w14:schemeClr w14:val="tx1"/>
            </w14:solidFill>
          </w14:textFill>
        </w:rPr>
        <w:t>布的动物以区</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域内常见种为主，且适应性、抗干扰性强。以上分析表明，生境质量下降会对动物数量造成一定的影响，尤其是鸟类，在运营初期有一段时间数量是下降的，但随着植被的逐渐恢复，动物种类，鸟类种群数量可逐渐上升，恢复到原有水平；由于当地现存动物大部分是一些分布广泛、适应能力强或者本身就是已经适应人类干扰环境的种类，因此生境质量下降不会导致有物种消失。</w:t>
      </w:r>
    </w:p>
    <w:p w14:paraId="1A80E7C0">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(2)风机对野生动物的影响</w:t>
      </w:r>
    </w:p>
    <w:p w14:paraId="45E92CD2">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①对鸟类栖息、觅食等生存活动的直接影响</w:t>
      </w:r>
    </w:p>
    <w:p w14:paraId="16570216">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风机对区域鸟类的生存活动的直接影响主要包括两个方面。一方面是风机运行，包括叶片运动、噪声等对鸟类的干扰影响；另一方面是风机可能与鸟类发生碰撞。</w:t>
      </w:r>
    </w:p>
    <w:p w14:paraId="5833B9BA">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风机在运转过程中会产生叶片扫风噪声和机械运转噪声，由于大多数鸟类对噪声具有较高的敏感性，在该噪声环境条件下，大多数鸟类会选择回避，这将造成鸟类活动范围的缩减。但动物对长期持续而无害的噪音会产生一定的适应性，随着运行时间的延长，这种影响会逐渐减小甚至消失。根据资料收集及现场走访活动，本项目区块均不在鸟类迁徙的主要通道上，根据走访调查表明，项目区域附近均未发现鸟类聚集现象。</w:t>
      </w:r>
    </w:p>
    <w:p w14:paraId="01873F3D">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本项目运营后风机的影响高度通常在50m～270m间。鸟类在迁飞过程中飞行高度在200m～400m左右，觅食过程中会大幅度降低高度。风力发电场对鸟类影响最严重的后果是鸟类飞行中由于不能避让正在旋转中的风机叶片而致死或致伤，这种影响主要表现在风机转速和恶劣天气与鸟类撞击的关系。</w:t>
      </w:r>
    </w:p>
    <w:p w14:paraId="4B48CFE4">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有研究说明，鸟类与风机发生撞击而造成死亡与风机的运转速度呈一定的相关关系，一般变速的风机对鸟类的影响较大(Percival，2003)。本项目各机位风机运转速度较慢，而鸟类的视觉极为敏锐，反应机警，区域内发生鸟类碰撞风机致死现象的可能性较小(贺志明，2008)，风电场的鸟类均能正常回避。此外，有研究表明，恶劣天气条件下如雾或雨天能见度低，增加了鸟类撞击的可能性。很强的逆风也会使鸟类降低飞行高度，从而也会增加相撞的几率。根据调查，本项目不涉及鸟类觅食的集中区域及迁徙通道。</w:t>
      </w:r>
    </w:p>
    <w:p w14:paraId="7AEADAAE">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②对鸟类迁徙的影响</w:t>
      </w:r>
    </w:p>
    <w:p w14:paraId="462062D4">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鸟类迁徙通道泛指鸟类中的某些种类，每年春季和秋季，有规律的、沿相对固定的路线、定时地在繁殖地区和越冬地区之间进行的长距离的往返移居的行为现象。根据资料收集及现场走访活动，本项目区块均不在鸟类迁徙的主要通道上，根据</w:t>
      </w:r>
      <w:r>
        <w:rPr>
          <w:rFonts w:hint="eastAsia" w:cs="Times New Roman" w:eastAsiaTheme="minorEastAsia"/>
          <w:snapToGrid w:val="0"/>
          <w:color w:val="000000" w:themeColor="text1"/>
          <w:sz w:val="24"/>
          <w:highlight w:val="none"/>
          <w:lang w:val="en-US" w:eastAsia="zh-CN"/>
          <w14:textFill>
            <w14:solidFill>
              <w14:schemeClr w14:val="tx1"/>
            </w14:solidFill>
          </w14:textFill>
        </w:rPr>
        <w:t>查阅资料及</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项目区走访调查表明，项目区域附近均未发现鸟类聚集现象。</w:t>
      </w:r>
    </w:p>
    <w:p w14:paraId="72F56BE4">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目前国内外已开展了风电场工程对鸟类迁徙的研究，其中包括利用雷达对世界上最大风力发电场Horns Rev电场地区鸟类迁徙行为的观察、监测，研究发现春季向北迁飞的鸟群在距离风力发电场400m左右开始变换飞行的方向，向北改为向西飞行。说明鸟类对风力发电场这类障碍物有一定的避让能力。因此，对鸟类迁徙的影响有限。另外，运营期仍需注意异常天气的迁徙鸟群，夜间迁徙的鸟类，在遇到大风、大雾、降雨等恶劣天气以及无月的情况下，容易被迁徙通道上的光源吸引，使其向着光源飞行，极易撞击在光源附近的障碍物上。因此，工程运行后必须采取严格保护措施，加强对风电场光源的管控，必要情况下适当关闭距离迁徙通道较近的风机。在切实执行好相应的保护措施后，对鸟类的迁徙影响不大。</w:t>
      </w:r>
    </w:p>
    <w:p w14:paraId="7B83784A">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③对其他动物栖息和觅食的影响</w:t>
      </w:r>
    </w:p>
    <w:p w14:paraId="4B4B6871">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风机在运转过程中会产生叶片扫风噪声和机械运转噪声，对动物将造成一定的驱赶作用。由于大多数动物对噪声具有较高的敏感性，在该噪声环境条件下，大多数动物会选择回避，这将造成动物活动范围的缩减。但动物对长期持续而无害的噪音会产生一定的适应性，随着运行时间的延长，这种影响会逐渐减小甚至消失。</w:t>
      </w:r>
    </w:p>
    <w:p w14:paraId="48010D45">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w:t>
      </w:r>
      <w:r>
        <w:rPr>
          <w:rFonts w:hint="eastAsia" w:cs="Times New Roman" w:eastAsiaTheme="minorEastAsia"/>
          <w:snapToGrid w:val="0"/>
          <w:color w:val="000000" w:themeColor="text1"/>
          <w:sz w:val="24"/>
          <w:highlight w:val="none"/>
          <w:lang w:val="en-US" w:eastAsia="zh-CN"/>
          <w14:textFill>
            <w14:solidFill>
              <w14:schemeClr w14:val="tx1"/>
            </w14:solidFill>
          </w14:textFill>
        </w:rPr>
        <w:t>3</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)检修道路对动物的影响</w:t>
      </w:r>
    </w:p>
    <w:p w14:paraId="5B50BA28">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本项目运营后，施工、检修道路对评价区内动物的影响主要在于栖息地的破碎使动物的活动范围受到限制，和提高动物在新建道路上穿行的死亡概率，但这种影响主要是对迁移能力较差的动物影响相对较大，对鸟类和哺乳动物影响不大，且由于运营期施工道路主要为检修功能，道路上车流量非常有限，对动物的影响也很小，同时检修道路与区域高差较小。综上所述，道路对动物的阻隔作用影响较小，导致动物穿行死亡的频率较小。</w:t>
      </w:r>
    </w:p>
    <w:p w14:paraId="6A6D0C87">
      <w:pPr>
        <w:keepNext w:val="0"/>
        <w:keepLines w:val="0"/>
        <w:pageBreakBefore w:val="0"/>
        <w:widowControl w:val="0"/>
        <w:numPr>
          <w:ilvl w:val="0"/>
          <w:numId w:val="0"/>
        </w:numPr>
        <w:tabs>
          <w:tab w:val="left" w:pos="1260"/>
        </w:tabs>
        <w:kinsoku/>
        <w:wordWrap/>
        <w:overflowPunct/>
        <w:topLinePunct w:val="0"/>
        <w:autoSpaceDE/>
        <w:autoSpaceDN/>
        <w:bidi w:val="0"/>
        <w:adjustRightInd/>
        <w:snapToGrid w:val="0"/>
        <w:spacing w:line="360" w:lineRule="auto"/>
        <w:textAlignment w:val="auto"/>
        <w:outlineLvl w:val="9"/>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t>5.2.</w:t>
      </w:r>
      <w:r>
        <w:rPr>
          <w:rFonts w:hint="eastAsia"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t>5</w:t>
      </w:r>
      <w:r>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t>.3 对生态系统影响分析</w:t>
      </w:r>
    </w:p>
    <w:p w14:paraId="35A1B4D0">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(1)对生态系统结构的影响</w:t>
      </w:r>
    </w:p>
    <w:p w14:paraId="0A787E3A">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本项目建设后，临时占地区会进行生态恢复，对生态系统组分结构产生的影响主要为永久占地。由于工程永久占地，区域戈壁荒漠生态系统面积减少，而建设用地的面积有所增加，根据工程建设后区域生态系统面积变化可知，本项目建设占用生态系统的面积较小，区域生态系统仍以戈壁荒漠生态系统占优势。由此可知，项目建设后，重点评价区生态系统组分结构发生了小幅变化，但变化范围及程度较小。</w:t>
      </w:r>
    </w:p>
    <w:p w14:paraId="612982A5">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生态系统的分布主要受地形地貌及人为活动等的影响，本项目所在区域以戈壁荒漠生态系统为主。本项目建设虽会切割区域自然生态系统，改变区域生态系统格局，但项目建设规模较小，占地面积较小。根据现场调查，区域人为活动频繁，生态系统类型及结构简单，项目建设对区域生态系统水平结构的影响有限。本项目所在区域以戈壁荒漠生态系统为主，不存在垂直结构。项目建设对区域生态系统时空分布格局的影响有限。</w:t>
      </w:r>
    </w:p>
    <w:p w14:paraId="7FCC5769">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评价区内的生产者包括灌木、草本等能进行光合作用的生物类群，消费者为栖息于植物群落中的动物等。本项目施工占地将扰动地表，破坏地表植物及其生境，动物生境面积减少，生态系统内生产者减少，物质流动及能量流动减弱，生态系统内营养结构简化。此外，项目运营后，设备运行也会驱散周边生态系统中的动物，会对生态系统内食物网结构等产生不利影响。</w:t>
      </w:r>
    </w:p>
    <w:p w14:paraId="367100D2">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(2)对生态系统功能的影响</w:t>
      </w:r>
    </w:p>
    <w:p w14:paraId="02570EB1">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本项目风机、箱变</w:t>
      </w:r>
      <w:r>
        <w:rPr>
          <w:rFonts w:hint="eastAsia" w:cs="Times New Roman" w:eastAsiaTheme="minorEastAsia"/>
          <w:snapToGrid w:val="0"/>
          <w:color w:val="000000" w:themeColor="text1"/>
          <w:sz w:val="24"/>
          <w:highlight w:val="none"/>
          <w:lang w:val="en-US" w:eastAsia="zh-CN"/>
          <w14:textFill>
            <w14:solidFill>
              <w14:schemeClr w14:val="tx1"/>
            </w14:solidFill>
          </w14:textFill>
        </w:rPr>
        <w:t>及集电</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线路塔基永久占地对生态系统功能有一定的影响</w:t>
      </w:r>
      <w:r>
        <w:rPr>
          <w:rFonts w:hint="eastAsia" w:cs="Times New Roman" w:eastAsiaTheme="minorEastAsia"/>
          <w:snapToGrid w:val="0"/>
          <w:color w:val="000000" w:themeColor="text1"/>
          <w:sz w:val="24"/>
          <w:highlight w:val="none"/>
          <w:lang w:val="en-US" w:eastAsia="zh-CN"/>
          <w14:textFill>
            <w14:solidFill>
              <w14:schemeClr w14:val="tx1"/>
            </w14:solidFill>
          </w14:textFill>
        </w:rPr>
        <w:t>。</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本项目施工结束后对临时用地进行生态恢复。总体而言，项目建设对区域生态系统功能影响较小。</w:t>
      </w:r>
    </w:p>
    <w:p w14:paraId="7BC9290D">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本项目建设扰动地表，破坏地表植被，将削弱区域生态系统水土保持功能。本项目在施工过程中将会造成新增水土流失，对项目区生态环境产生一定影响，但影响是局部的、暂时的，通过采取合理有效的水土保持措施后，可有效防治工程建设产生的水土流失，项目区位于乌鲁木齐市</w:t>
      </w:r>
      <w:r>
        <w:rPr>
          <w:rFonts w:hint="eastAsia" w:cs="Times New Roman" w:eastAsiaTheme="minorEastAsia"/>
          <w:snapToGrid w:val="0"/>
          <w:color w:val="000000" w:themeColor="text1"/>
          <w:sz w:val="24"/>
          <w:highlight w:val="none"/>
          <w:lang w:val="en-US" w:eastAsia="zh-CN"/>
          <w14:textFill>
            <w14:solidFill>
              <w14:schemeClr w14:val="tx1"/>
            </w14:solidFill>
          </w14:textFill>
        </w:rPr>
        <w:t>沙依巴克区</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，主体工程选址涉及水土流失重点治理区，经优化施工工艺、提高防治标准后，满足水土保持要求，工程建设是可行的。</w:t>
      </w:r>
    </w:p>
    <w:p w14:paraId="62BBC3A4">
      <w:pPr>
        <w:keepNext w:val="0"/>
        <w:keepLines w:val="0"/>
        <w:pageBreakBefore w:val="0"/>
        <w:widowControl w:val="0"/>
        <w:numPr>
          <w:ilvl w:val="0"/>
          <w:numId w:val="0"/>
        </w:numPr>
        <w:tabs>
          <w:tab w:val="left" w:pos="302"/>
          <w:tab w:val="left" w:pos="1260"/>
        </w:tabs>
        <w:kinsoku/>
        <w:wordWrap/>
        <w:overflowPunct/>
        <w:topLinePunct w:val="0"/>
        <w:autoSpaceDE/>
        <w:autoSpaceDN/>
        <w:bidi w:val="0"/>
        <w:adjustRightInd/>
        <w:snapToGrid/>
        <w:spacing w:line="360" w:lineRule="auto"/>
        <w:textAlignment w:val="auto"/>
        <w:outlineLvl w:val="9"/>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t>5.2.6.4 对景观影响分析</w:t>
      </w:r>
    </w:p>
    <w:p w14:paraId="14677623">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景观的稳定性包括两种特征，即恢复稳定性和阻抗稳定性。恢复稳定性是系统改变后返回原来状态的能力，阻抗稳定性是系统在环境变化或潜在干扰时反抗或阻止变化的能力。对恢复稳定性的度量采取自然生产能力进行度量的方法，阻抗稳定性的度量是通过对景观体系控制性(模地)异质性的改变程度进行度量。</w:t>
      </w:r>
    </w:p>
    <w:p w14:paraId="290E7B98">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(1)恢复稳定性分析</w:t>
      </w:r>
    </w:p>
    <w:p w14:paraId="4BBE4154">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工程施工会占用评价区内的戈壁荒漠生态系统。从评价区域内植被的现状来看，植被恢复力较强，在工程施工结束后，采取洒水措施，区域植被自然会及时恢复，区域内的自然生物量也会逐渐恢复到未施工前的水平。因此不会对生态系统的结构和功能造成太大的影响。</w:t>
      </w:r>
    </w:p>
    <w:p w14:paraId="02F8196F">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(2)阻抗定性分析</w:t>
      </w:r>
    </w:p>
    <w:p w14:paraId="44EA146A">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项目建成后，景观内新增加了非控制性组分人工建筑物如升压站、风机等，这种干扰拼块的增加不利于自然系统生态平衡的维护。建筑物增加的局部区域，戈壁荒漠减少，区域广域分布的戈壁荒漠生态系统在评价区仍占主要优势，景观的多样性、异质性变化不大。因此工程建成后评价区的生产能力和稳定状况及组分异质化程度仍维持在原有的水平，评价区的自然体系抗干扰能力仍较强，评价区的阻抗稳定性较好。</w:t>
      </w:r>
    </w:p>
    <w:p w14:paraId="1DD1B2CE">
      <w:pPr>
        <w:keepNext w:val="0"/>
        <w:keepLines w:val="0"/>
        <w:pageBreakBefore w:val="0"/>
        <w:widowControl w:val="0"/>
        <w:kinsoku/>
        <w:wordWrap/>
        <w:overflowPunct/>
        <w:topLinePunct w:val="0"/>
        <w:autoSpaceDE/>
        <w:autoSpaceDN/>
        <w:bidi w:val="0"/>
        <w:adjustRightInd/>
        <w:snapToGrid/>
        <w:spacing w:line="360" w:lineRule="auto"/>
        <w:ind w:left="0" w:leftChars="0" w:firstLine="448" w:firstLineChars="200"/>
        <w:textAlignment w:val="auto"/>
        <w:rPr>
          <w:rFonts w:hint="default" w:ascii="Times New Roman" w:hAnsi="Times New Roman" w:cs="Times New Roman" w:eastAsiaTheme="minorEastAsia"/>
          <w:color w:val="FF0000"/>
          <w:spacing w:val="-13"/>
          <w:sz w:val="25"/>
          <w:szCs w:val="25"/>
          <w:highlight w:val="none"/>
        </w:rPr>
      </w:pPr>
      <w:r>
        <w:rPr>
          <w:rFonts w:hint="default" w:ascii="Times New Roman" w:hAnsi="Times New Roman" w:cs="Times New Roman" w:eastAsiaTheme="minorEastAsia"/>
          <w:color w:val="000000" w:themeColor="text1"/>
          <w:spacing w:val="-13"/>
          <w:sz w:val="25"/>
          <w:szCs w:val="25"/>
          <w:highlight w:val="none"/>
          <w:lang w:val="en-US" w:eastAsia="zh-CN"/>
          <w14:textFill>
            <w14:solidFill>
              <w14:schemeClr w14:val="tx1"/>
            </w14:solidFill>
          </w14:textFill>
        </w:rPr>
        <w:t>本项目</w:t>
      </w:r>
      <w:r>
        <w:rPr>
          <w:rFonts w:hint="default" w:ascii="Times New Roman" w:hAnsi="Times New Roman" w:cs="Times New Roman" w:eastAsiaTheme="minorEastAsia"/>
          <w:color w:val="000000" w:themeColor="text1"/>
          <w:spacing w:val="-13"/>
          <w:sz w:val="25"/>
          <w:szCs w:val="25"/>
          <w:highlight w:val="none"/>
          <w14:textFill>
            <w14:solidFill>
              <w14:schemeClr w14:val="tx1"/>
            </w14:solidFill>
          </w14:textFill>
        </w:rPr>
        <w:t>生态影响评价自查表，见下表。</w:t>
      </w:r>
    </w:p>
    <w:p w14:paraId="2689BEE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b/>
          <w:bCs/>
          <w:color w:val="000000" w:themeColor="text1"/>
          <w:spacing w:val="-3"/>
          <w:sz w:val="24"/>
          <w:szCs w:val="24"/>
          <w:highlight w:val="none"/>
          <w14:textFill>
            <w14:solidFill>
              <w14:schemeClr w14:val="tx1"/>
            </w14:solidFill>
          </w14:textFill>
        </w:rPr>
        <w:t>表5.</w:t>
      </w:r>
      <w:r>
        <w:rPr>
          <w:rFonts w:hint="default" w:ascii="Times New Roman" w:hAnsi="Times New Roman" w:cs="Times New Roman" w:eastAsiaTheme="minorEastAsia"/>
          <w:b/>
          <w:bCs/>
          <w:color w:val="000000" w:themeColor="text1"/>
          <w:spacing w:val="-3"/>
          <w:sz w:val="24"/>
          <w:szCs w:val="24"/>
          <w:highlight w:val="none"/>
          <w:lang w:val="en-US" w:eastAsia="zh-CN"/>
          <w14:textFill>
            <w14:solidFill>
              <w14:schemeClr w14:val="tx1"/>
            </w14:solidFill>
          </w14:textFill>
        </w:rPr>
        <w:t>2</w:t>
      </w:r>
      <w:r>
        <w:rPr>
          <w:rFonts w:hint="default" w:ascii="Times New Roman" w:hAnsi="Times New Roman" w:cs="Times New Roman" w:eastAsiaTheme="minorEastAsia"/>
          <w:b/>
          <w:bCs/>
          <w:color w:val="000000" w:themeColor="text1"/>
          <w:spacing w:val="-3"/>
          <w:sz w:val="24"/>
          <w:szCs w:val="24"/>
          <w:highlight w:val="none"/>
          <w14:textFill>
            <w14:solidFill>
              <w14:schemeClr w14:val="tx1"/>
            </w14:solidFill>
          </w14:textFill>
        </w:rPr>
        <w:t>-</w:t>
      </w:r>
      <w:r>
        <w:rPr>
          <w:rFonts w:hint="default" w:ascii="Times New Roman" w:hAnsi="Times New Roman" w:cs="Times New Roman" w:eastAsiaTheme="minorEastAsia"/>
          <w:b/>
          <w:bCs/>
          <w:color w:val="000000" w:themeColor="text1"/>
          <w:spacing w:val="-3"/>
          <w:sz w:val="24"/>
          <w:szCs w:val="24"/>
          <w:highlight w:val="none"/>
          <w:lang w:val="en-US" w:eastAsia="zh-CN"/>
          <w14:textFill>
            <w14:solidFill>
              <w14:schemeClr w14:val="tx1"/>
            </w14:solidFill>
          </w14:textFill>
        </w:rPr>
        <w:t>10</w:t>
      </w:r>
      <w:r>
        <w:rPr>
          <w:rFonts w:hint="default" w:ascii="Times New Roman" w:hAnsi="Times New Roman" w:cs="Times New Roman" w:eastAsiaTheme="minorEastAsia"/>
          <w:color w:val="000000" w:themeColor="text1"/>
          <w:spacing w:val="-3"/>
          <w:sz w:val="24"/>
          <w:szCs w:val="24"/>
          <w:highlight w:val="none"/>
          <w14:textFill>
            <w14:solidFill>
              <w14:schemeClr w14:val="tx1"/>
            </w14:solidFill>
          </w14:textFill>
        </w:rPr>
        <w:t xml:space="preserve">   </w:t>
      </w:r>
      <w:r>
        <w:rPr>
          <w:rFonts w:hint="default" w:ascii="Times New Roman" w:hAnsi="Times New Roman" w:cs="Times New Roman" w:eastAsiaTheme="minorEastAsia"/>
          <w:b/>
          <w:bCs/>
          <w:color w:val="000000" w:themeColor="text1"/>
          <w:spacing w:val="-3"/>
          <w:sz w:val="24"/>
          <w:szCs w:val="24"/>
          <w:highlight w:val="none"/>
          <w14:textFill>
            <w14:solidFill>
              <w14:schemeClr w14:val="tx1"/>
            </w14:solidFill>
          </w14:textFill>
        </w:rPr>
        <w:t>生态影响评价自查表</w:t>
      </w:r>
    </w:p>
    <w:p w14:paraId="7F21AEEF">
      <w:pPr>
        <w:spacing w:line="71" w:lineRule="exact"/>
        <w:rPr>
          <w:rFonts w:hint="default" w:ascii="Times New Roman" w:hAnsi="Times New Roman" w:cs="Times New Roman" w:eastAsiaTheme="minorEastAsia"/>
          <w:color w:val="000000" w:themeColor="text1"/>
          <w:highlight w:val="none"/>
          <w14:textFill>
            <w14:solidFill>
              <w14:schemeClr w14:val="tx1"/>
            </w14:solidFill>
          </w14:textFill>
        </w:rPr>
      </w:pPr>
    </w:p>
    <w:tbl>
      <w:tblPr>
        <w:tblStyle w:val="612"/>
        <w:tblW w:w="5004"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885"/>
        <w:gridCol w:w="1106"/>
        <w:gridCol w:w="6984"/>
      </w:tblGrid>
      <w:tr w14:paraId="5ED3B5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1109" w:type="pct"/>
            <w:gridSpan w:val="2"/>
            <w:vAlign w:val="center"/>
          </w:tcPr>
          <w:p w14:paraId="670EBDBE">
            <w:pPr>
              <w:pStyle w:val="62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spacing w:val="-5"/>
                <w:sz w:val="21"/>
                <w:szCs w:val="21"/>
                <w:highlight w:val="none"/>
                <w14:textFill>
                  <w14:solidFill>
                    <w14:schemeClr w14:val="tx1"/>
                  </w14:solidFill>
                </w14:textFill>
              </w:rPr>
              <w:t>工作内容</w:t>
            </w:r>
          </w:p>
        </w:tc>
        <w:tc>
          <w:tcPr>
            <w:tcW w:w="3890" w:type="pct"/>
            <w:vAlign w:val="center"/>
          </w:tcPr>
          <w:p w14:paraId="77750689">
            <w:pPr>
              <w:pStyle w:val="62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spacing w:val="6"/>
                <w:sz w:val="21"/>
                <w:szCs w:val="21"/>
                <w:highlight w:val="none"/>
                <w14:textFill>
                  <w14:solidFill>
                    <w14:schemeClr w14:val="tx1"/>
                  </w14:solidFill>
                </w14:textFill>
              </w:rPr>
              <w:t>自查项目</w:t>
            </w:r>
          </w:p>
        </w:tc>
      </w:tr>
      <w:tr w14:paraId="0CF225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4" w:hRule="atLeast"/>
          <w:jc w:val="center"/>
        </w:trPr>
        <w:tc>
          <w:tcPr>
            <w:tcW w:w="493" w:type="pct"/>
            <w:vMerge w:val="restart"/>
            <w:tcBorders>
              <w:bottom w:val="nil"/>
            </w:tcBorders>
            <w:vAlign w:val="center"/>
          </w:tcPr>
          <w:p w14:paraId="2B27BC3A">
            <w:pPr>
              <w:pStyle w:val="62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cs="Times New Roman" w:eastAsiaTheme="minorEastAsia"/>
                <w:color w:val="000000" w:themeColor="text1"/>
                <w:spacing w:val="-4"/>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4"/>
                <w:sz w:val="21"/>
                <w:szCs w:val="21"/>
                <w:highlight w:val="none"/>
                <w14:textFill>
                  <w14:solidFill>
                    <w14:schemeClr w14:val="tx1"/>
                  </w14:solidFill>
                </w14:textFill>
              </w:rPr>
              <w:t>生态影</w:t>
            </w:r>
          </w:p>
          <w:p w14:paraId="4A82218E">
            <w:pPr>
              <w:pStyle w:val="62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6"/>
                <w:sz w:val="21"/>
                <w:szCs w:val="21"/>
                <w:highlight w:val="none"/>
                <w14:textFill>
                  <w14:solidFill>
                    <w14:schemeClr w14:val="tx1"/>
                  </w14:solidFill>
                </w14:textFill>
              </w:rPr>
              <w:t>响识别</w:t>
            </w:r>
          </w:p>
        </w:tc>
        <w:tc>
          <w:tcPr>
            <w:tcW w:w="616" w:type="pct"/>
            <w:vAlign w:val="center"/>
          </w:tcPr>
          <w:p w14:paraId="15F22C50">
            <w:pPr>
              <w:pStyle w:val="62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4"/>
                <w:sz w:val="21"/>
                <w:szCs w:val="21"/>
                <w:highlight w:val="none"/>
                <w14:textFill>
                  <w14:solidFill>
                    <w14:schemeClr w14:val="tx1"/>
                  </w14:solidFill>
                </w14:textFill>
              </w:rPr>
              <w:t>生态保护</w:t>
            </w:r>
            <w:r>
              <w:rPr>
                <w:rFonts w:hint="default" w:ascii="Times New Roman" w:hAnsi="Times New Roman" w:cs="Times New Roman" w:eastAsiaTheme="minorEastAsia"/>
                <w:color w:val="000000" w:themeColor="text1"/>
                <w:spacing w:val="8"/>
                <w:sz w:val="21"/>
                <w:szCs w:val="21"/>
                <w:highlight w:val="none"/>
                <w14:textFill>
                  <w14:solidFill>
                    <w14:schemeClr w14:val="tx1"/>
                  </w14:solidFill>
                </w14:textFill>
              </w:rPr>
              <w:t>目标</w:t>
            </w:r>
          </w:p>
        </w:tc>
        <w:tc>
          <w:tcPr>
            <w:tcW w:w="3890" w:type="pct"/>
            <w:vAlign w:val="center"/>
          </w:tcPr>
          <w:p w14:paraId="5F9E6593">
            <w:pPr>
              <w:pStyle w:val="62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left"/>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7"/>
                <w:sz w:val="21"/>
                <w:szCs w:val="21"/>
                <w:highlight w:val="none"/>
                <w14:textFill>
                  <w14:solidFill>
                    <w14:schemeClr w14:val="tx1"/>
                  </w14:solidFill>
                </w14:textFill>
              </w:rPr>
              <w:t>重要物种国家公园口；自然保护区口；自然公园</w:t>
            </w:r>
            <w:r>
              <w:rPr>
                <w:rFonts w:hint="default" w:ascii="Times New Roman" w:hAnsi="Times New Roman" w:cs="Times New Roman" w:eastAsiaTheme="minorEastAsia"/>
                <w:color w:val="000000" w:themeColor="text1"/>
                <w:spacing w:val="-7"/>
                <w:sz w:val="21"/>
                <w:szCs w:val="2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pacing w:val="-7"/>
                <w:sz w:val="21"/>
                <w:szCs w:val="21"/>
                <w:highlight w:val="none"/>
                <w14:textFill>
                  <w14:solidFill>
                    <w14:schemeClr w14:val="tx1"/>
                  </w14:solidFill>
                </w14:textFill>
              </w:rPr>
              <w:t>世界自然遗产口；</w:t>
            </w:r>
            <w:r>
              <w:rPr>
                <w:rFonts w:hint="default" w:ascii="Times New Roman" w:hAnsi="Times New Roman" w:cs="Times New Roman" w:eastAsiaTheme="minorEastAsia"/>
                <w:color w:val="000000" w:themeColor="text1"/>
                <w:spacing w:val="-14"/>
                <w:sz w:val="21"/>
                <w:szCs w:val="21"/>
                <w:highlight w:val="none"/>
                <w14:textFill>
                  <w14:solidFill>
                    <w14:schemeClr w14:val="tx1"/>
                  </w14:solidFill>
                </w14:textFill>
              </w:rPr>
              <w:t>生态保护红线口；重要生境口；其他具有重要生态功能、对保护生物多</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样性具有重要意义的区域口；其他</w:t>
            </w: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受保护野生动植物、天然牧草地、地表砾幕层等</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w:t>
            </w:r>
          </w:p>
        </w:tc>
      </w:tr>
      <w:tr w14:paraId="39376D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493" w:type="pct"/>
            <w:vMerge w:val="continue"/>
            <w:tcBorders>
              <w:top w:val="nil"/>
              <w:bottom w:val="nil"/>
            </w:tcBorders>
            <w:vAlign w:val="center"/>
          </w:tcPr>
          <w:p w14:paraId="1F1D35A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616" w:type="pct"/>
            <w:vAlign w:val="center"/>
          </w:tcPr>
          <w:p w14:paraId="5AE3FF5F">
            <w:pPr>
              <w:pStyle w:val="62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2"/>
                <w:sz w:val="21"/>
                <w:szCs w:val="21"/>
                <w:highlight w:val="none"/>
                <w14:textFill>
                  <w14:solidFill>
                    <w14:schemeClr w14:val="tx1"/>
                  </w14:solidFill>
                </w14:textFill>
              </w:rPr>
              <w:t>影响方式</w:t>
            </w:r>
          </w:p>
        </w:tc>
        <w:tc>
          <w:tcPr>
            <w:tcW w:w="3890" w:type="pct"/>
            <w:vAlign w:val="center"/>
          </w:tcPr>
          <w:p w14:paraId="19A0F222">
            <w:pPr>
              <w:pStyle w:val="62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left"/>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1"/>
                <w:sz w:val="21"/>
                <w:szCs w:val="21"/>
                <w:highlight w:val="none"/>
                <w14:textFill>
                  <w14:solidFill>
                    <w14:schemeClr w14:val="tx1"/>
                  </w14:solidFill>
                </w14:textFill>
              </w:rPr>
              <w:t>工程占用☑</w:t>
            </w:r>
            <w:r>
              <w:rPr>
                <w:rFonts w:hint="default" w:ascii="Times New Roman" w:hAnsi="Times New Roman" w:cs="Times New Roman" w:eastAsiaTheme="minorEastAsia"/>
                <w:color w:val="000000" w:themeColor="text1"/>
                <w:spacing w:val="1"/>
                <w:sz w:val="21"/>
                <w:szCs w:val="2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pacing w:val="1"/>
                <w:sz w:val="21"/>
                <w:szCs w:val="21"/>
                <w:highlight w:val="none"/>
                <w14:textFill>
                  <w14:solidFill>
                    <w14:schemeClr w14:val="tx1"/>
                  </w14:solidFill>
                </w14:textFill>
              </w:rPr>
              <w:t>施工活动干扰☑</w:t>
            </w:r>
            <w:r>
              <w:rPr>
                <w:rFonts w:hint="default" w:ascii="Times New Roman" w:hAnsi="Times New Roman" w:cs="Times New Roman" w:eastAsiaTheme="minorEastAsia"/>
                <w:color w:val="000000" w:themeColor="text1"/>
                <w:spacing w:val="1"/>
                <w:sz w:val="21"/>
                <w:szCs w:val="2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pacing w:val="1"/>
                <w:sz w:val="21"/>
                <w:szCs w:val="21"/>
                <w:highlight w:val="none"/>
                <w14:textFill>
                  <w14:solidFill>
                    <w14:schemeClr w14:val="tx1"/>
                  </w14:solidFill>
                </w14:textFill>
              </w:rPr>
              <w:t>改变环境条件口；其他口</w:t>
            </w:r>
          </w:p>
        </w:tc>
      </w:tr>
      <w:tr w14:paraId="13BFA6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71" w:hRule="atLeast"/>
          <w:jc w:val="center"/>
        </w:trPr>
        <w:tc>
          <w:tcPr>
            <w:tcW w:w="493" w:type="pct"/>
            <w:vMerge w:val="continue"/>
            <w:tcBorders>
              <w:top w:val="nil"/>
              <w:bottom w:val="nil"/>
            </w:tcBorders>
            <w:vAlign w:val="center"/>
          </w:tcPr>
          <w:p w14:paraId="4328AA9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616" w:type="pct"/>
            <w:tcBorders>
              <w:bottom w:val="nil"/>
            </w:tcBorders>
            <w:vAlign w:val="center"/>
          </w:tcPr>
          <w:p w14:paraId="563EC945">
            <w:pPr>
              <w:pStyle w:val="62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2"/>
                <w:sz w:val="21"/>
                <w:szCs w:val="21"/>
                <w:highlight w:val="none"/>
                <w14:textFill>
                  <w14:solidFill>
                    <w14:schemeClr w14:val="tx1"/>
                  </w14:solidFill>
                </w14:textFill>
              </w:rPr>
              <w:t>评价因子</w:t>
            </w:r>
          </w:p>
        </w:tc>
        <w:tc>
          <w:tcPr>
            <w:tcW w:w="3890" w:type="pct"/>
            <w:vAlign w:val="center"/>
          </w:tcPr>
          <w:p w14:paraId="4F71A604">
            <w:pPr>
              <w:pStyle w:val="62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left"/>
              <w:textAlignment w:val="auto"/>
              <w:rPr>
                <w:rFonts w:hint="default" w:ascii="Times New Roman" w:hAnsi="Times New Roman" w:cs="Times New Roman" w:eastAsiaTheme="minorEastAsia"/>
                <w:color w:val="000000" w:themeColor="text1"/>
                <w:spacing w:val="1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2"/>
                <w:sz w:val="21"/>
                <w:szCs w:val="21"/>
                <w:highlight w:val="none"/>
                <w14:textFill>
                  <w14:solidFill>
                    <w14:schemeClr w14:val="tx1"/>
                  </w14:solidFill>
                </w14:textFill>
              </w:rPr>
              <w:t>物种☑(分布范围、种群数量)</w:t>
            </w:r>
          </w:p>
          <w:p w14:paraId="6074ECE1">
            <w:pPr>
              <w:pStyle w:val="62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left"/>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1"/>
                <w:sz w:val="21"/>
                <w:szCs w:val="21"/>
                <w:highlight w:val="none"/>
                <w14:textFill>
                  <w14:solidFill>
                    <w14:schemeClr w14:val="tx1"/>
                  </w14:solidFill>
                </w14:textFill>
              </w:rPr>
              <w:t>生境</w:t>
            </w:r>
            <w:r>
              <w:rPr>
                <w:rFonts w:hint="default" w:ascii="Times New Roman" w:hAnsi="Times New Roman" w:cs="Times New Roman" w:eastAsiaTheme="minorEastAsia"/>
                <w:color w:val="000000" w:themeColor="text1"/>
                <w:spacing w:val="1"/>
                <w:sz w:val="21"/>
                <w:szCs w:val="2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pacing w:val="1"/>
                <w:sz w:val="21"/>
                <w:szCs w:val="21"/>
                <w:highlight w:val="none"/>
                <w14:textFill>
                  <w14:solidFill>
                    <w14:schemeClr w14:val="tx1"/>
                  </w14:solidFill>
                </w14:textFill>
              </w:rPr>
              <w:t>()</w:t>
            </w:r>
          </w:p>
          <w:p w14:paraId="3F6A0C5E">
            <w:pPr>
              <w:pStyle w:val="62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left"/>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1"/>
                <w:sz w:val="21"/>
                <w:szCs w:val="21"/>
                <w:highlight w:val="none"/>
                <w14:textFill>
                  <w14:solidFill>
                    <w14:schemeClr w14:val="tx1"/>
                  </w14:solidFill>
                </w14:textFill>
              </w:rPr>
              <w:t>生物群落</w:t>
            </w:r>
            <w:r>
              <w:rPr>
                <w:rFonts w:hint="default" w:ascii="Times New Roman" w:hAnsi="Times New Roman" w:cs="Times New Roman" w:eastAsiaTheme="minorEastAsia"/>
                <w:color w:val="000000" w:themeColor="text1"/>
                <w:spacing w:val="1"/>
                <w:sz w:val="21"/>
                <w:szCs w:val="2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pacing w:val="1"/>
                <w:sz w:val="21"/>
                <w:szCs w:val="21"/>
                <w:highlight w:val="none"/>
                <w14:textFill>
                  <w14:solidFill>
                    <w14:schemeClr w14:val="tx1"/>
                  </w14:solidFill>
                </w14:textFill>
              </w:rPr>
              <w:t>(</w:t>
            </w:r>
            <w:r>
              <w:rPr>
                <w:rFonts w:hint="default" w:ascii="Times New Roman" w:hAnsi="Times New Roman" w:cs="Times New Roman" w:eastAsiaTheme="minorEastAsia"/>
                <w:color w:val="000000" w:themeColor="text1"/>
                <w:spacing w:val="1"/>
                <w:position w:val="-1"/>
                <w:sz w:val="21"/>
                <w:szCs w:val="21"/>
                <w:highlight w:val="none"/>
                <w14:textFill>
                  <w14:solidFill>
                    <w14:schemeClr w14:val="tx1"/>
                  </w14:solidFill>
                </w14:textFill>
              </w:rPr>
              <w:t>)</w:t>
            </w:r>
          </w:p>
          <w:p w14:paraId="247FDBB3">
            <w:pPr>
              <w:pStyle w:val="62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left"/>
              <w:textAlignment w:val="auto"/>
              <w:rPr>
                <w:rFonts w:hint="default" w:ascii="Times New Roman" w:hAnsi="Times New Roman" w:cs="Times New Roman" w:eastAsiaTheme="minorEastAsia"/>
                <w:color w:val="000000" w:themeColor="text1"/>
                <w:spacing w:val="2"/>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2"/>
                <w:sz w:val="21"/>
                <w:szCs w:val="21"/>
                <w:highlight w:val="none"/>
                <w14:textFill>
                  <w14:solidFill>
                    <w14:schemeClr w14:val="tx1"/>
                  </w14:solidFill>
                </w14:textFill>
              </w:rPr>
              <w:t>生态系统☑(生物量、生态系统结构及功能)</w:t>
            </w:r>
          </w:p>
          <w:p w14:paraId="3F29202D">
            <w:pPr>
              <w:pStyle w:val="62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left"/>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1"/>
                <w:sz w:val="21"/>
                <w:szCs w:val="21"/>
                <w:highlight w:val="none"/>
                <w14:textFill>
                  <w14:solidFill>
                    <w14:schemeClr w14:val="tx1"/>
                  </w14:solidFill>
                </w14:textFill>
              </w:rPr>
              <w:t>生物多样性</w:t>
            </w:r>
            <w:r>
              <w:rPr>
                <w:rFonts w:hint="default" w:ascii="Times New Roman" w:hAnsi="Times New Roman" w:cs="Times New Roman" w:eastAsiaTheme="minorEastAsia"/>
                <w:color w:val="000000" w:themeColor="text1"/>
                <w:spacing w:val="-1"/>
                <w:sz w:val="21"/>
                <w:szCs w:val="21"/>
                <w:highlight w:val="none"/>
                <w14:textFill>
                  <w14:solidFill>
                    <w14:schemeClr w14:val="tx1"/>
                  </w14:solidFill>
                </w14:textFill>
              </w:rPr>
              <w:t>☑</w:t>
            </w:r>
            <w:r>
              <w:rPr>
                <w:rFonts w:hint="default" w:ascii="Times New Roman" w:hAnsi="Times New Roman" w:cs="Times New Roman" w:eastAsiaTheme="minorEastAsia"/>
                <w:color w:val="000000" w:themeColor="text1"/>
                <w:spacing w:val="1"/>
                <w:sz w:val="21"/>
                <w:szCs w:val="21"/>
                <w:highlight w:val="none"/>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w:t>
            </w:r>
          </w:p>
          <w:p w14:paraId="5C4540C3">
            <w:pPr>
              <w:pStyle w:val="62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left"/>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1"/>
                <w:sz w:val="21"/>
                <w:szCs w:val="21"/>
                <w:highlight w:val="none"/>
                <w14:textFill>
                  <w14:solidFill>
                    <w14:schemeClr w14:val="tx1"/>
                  </w14:solidFill>
                </w14:textFill>
              </w:rPr>
              <w:t>生态敏感区口(</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w:t>
            </w:r>
          </w:p>
          <w:p w14:paraId="46C42E58">
            <w:pPr>
              <w:pStyle w:val="62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left"/>
              <w:textAlignment w:val="auto"/>
              <w:rPr>
                <w:rFonts w:hint="default" w:ascii="Times New Roman" w:hAnsi="Times New Roman" w:cs="Times New Roman" w:eastAsiaTheme="minorEastAsia"/>
                <w:color w:val="000000" w:themeColor="text1"/>
                <w:spacing w:val="7"/>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1"/>
                <w:sz w:val="21"/>
                <w:szCs w:val="21"/>
                <w:highlight w:val="none"/>
                <w14:textFill>
                  <w14:solidFill>
                    <w14:schemeClr w14:val="tx1"/>
                  </w14:solidFill>
                </w14:textFill>
              </w:rPr>
              <w:t>自然景观☑(</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w:t>
            </w:r>
          </w:p>
          <w:p w14:paraId="369F8AF1">
            <w:pPr>
              <w:pStyle w:val="62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left"/>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1"/>
                <w:sz w:val="21"/>
                <w:szCs w:val="21"/>
                <w:highlight w:val="none"/>
                <w14:textFill>
                  <w14:solidFill>
                    <w14:schemeClr w14:val="tx1"/>
                  </w14:solidFill>
                </w14:textFill>
              </w:rPr>
              <w:t>自然遗迹□(</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w:t>
            </w:r>
          </w:p>
          <w:p w14:paraId="47B0FB15">
            <w:pPr>
              <w:pStyle w:val="62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left"/>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3"/>
                <w:sz w:val="21"/>
                <w:szCs w:val="21"/>
                <w:highlight w:val="none"/>
                <w14:textFill>
                  <w14:solidFill>
                    <w14:schemeClr w14:val="tx1"/>
                  </w14:solidFill>
                </w14:textFill>
              </w:rPr>
              <w:t>其他</w:t>
            </w:r>
            <w:r>
              <w:rPr>
                <w:rFonts w:hint="default" w:ascii="Times New Roman" w:hAnsi="Times New Roman" w:cs="Times New Roman" w:eastAsiaTheme="minorEastAsia"/>
                <w:color w:val="000000" w:themeColor="text1"/>
                <w:spacing w:val="-3"/>
                <w:sz w:val="21"/>
                <w:szCs w:val="2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pacing w:val="-3"/>
                <w:sz w:val="21"/>
                <w:szCs w:val="21"/>
                <w:highlight w:val="none"/>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w:t>
            </w:r>
          </w:p>
        </w:tc>
      </w:tr>
      <w:tr w14:paraId="3F6D34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1109" w:type="pct"/>
            <w:gridSpan w:val="2"/>
            <w:vAlign w:val="center"/>
          </w:tcPr>
          <w:p w14:paraId="198110E7">
            <w:pPr>
              <w:pStyle w:val="62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3"/>
                <w:sz w:val="21"/>
                <w:szCs w:val="21"/>
                <w:highlight w:val="none"/>
                <w14:textFill>
                  <w14:solidFill>
                    <w14:schemeClr w14:val="tx1"/>
                  </w14:solidFill>
                </w14:textFill>
              </w:rPr>
              <w:t>评价等级</w:t>
            </w:r>
          </w:p>
        </w:tc>
        <w:tc>
          <w:tcPr>
            <w:tcW w:w="3890" w:type="pct"/>
            <w:vAlign w:val="center"/>
          </w:tcPr>
          <w:p w14:paraId="274AF5D4">
            <w:pPr>
              <w:pStyle w:val="62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left"/>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1"/>
                <w:sz w:val="21"/>
                <w:szCs w:val="21"/>
                <w:highlight w:val="none"/>
                <w14:textFill>
                  <w14:solidFill>
                    <w14:schemeClr w14:val="tx1"/>
                  </w14:solidFill>
                </w14:textFill>
              </w:rPr>
              <w:t>一级口 二级口  三级☑  生态影响简单分析口</w:t>
            </w:r>
          </w:p>
        </w:tc>
      </w:tr>
      <w:tr w14:paraId="254455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09" w:type="pct"/>
            <w:gridSpan w:val="2"/>
            <w:vAlign w:val="center"/>
          </w:tcPr>
          <w:p w14:paraId="0AA62358">
            <w:pPr>
              <w:pStyle w:val="62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5"/>
                <w:sz w:val="21"/>
                <w:szCs w:val="21"/>
                <w:highlight w:val="none"/>
                <w14:textFill>
                  <w14:solidFill>
                    <w14:schemeClr w14:val="tx1"/>
                  </w14:solidFill>
                </w14:textFill>
              </w:rPr>
              <w:t>评价范围</w:t>
            </w:r>
          </w:p>
        </w:tc>
        <w:tc>
          <w:tcPr>
            <w:tcW w:w="3890" w:type="pct"/>
            <w:vAlign w:val="center"/>
          </w:tcPr>
          <w:p w14:paraId="75B015BA">
            <w:pPr>
              <w:pStyle w:val="62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left"/>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11"/>
                <w:sz w:val="21"/>
                <w:szCs w:val="21"/>
                <w:highlight w:val="none"/>
                <w14:textFill>
                  <w14:solidFill>
                    <w14:schemeClr w14:val="tx1"/>
                  </w14:solidFill>
                </w14:textFill>
              </w:rPr>
              <w:t>陆域面积：(</w:t>
            </w:r>
            <w:r>
              <w:rPr>
                <w:rFonts w:hint="eastAsia" w:ascii="Times New Roman" w:hAnsi="Times New Roman" w:cs="Times New Roman" w:eastAsiaTheme="minorEastAsia"/>
                <w:color w:val="000000" w:themeColor="text1"/>
                <w:spacing w:val="11"/>
                <w:sz w:val="21"/>
                <w:szCs w:val="21"/>
                <w:highlight w:val="none"/>
                <w:lang w:val="en-US" w:eastAsia="zh-CN"/>
                <w14:textFill>
                  <w14:solidFill>
                    <w14:schemeClr w14:val="tx1"/>
                  </w14:solidFill>
                </w14:textFill>
              </w:rPr>
              <w:t>3.8</w:t>
            </w:r>
            <w:r>
              <w:rPr>
                <w:rFonts w:hint="default" w:ascii="Times New Roman" w:hAnsi="Times New Roman" w:cs="Times New Roman" w:eastAsiaTheme="minorEastAsia"/>
                <w:color w:val="000000" w:themeColor="text1"/>
                <w:spacing w:val="11"/>
                <w:sz w:val="21"/>
                <w:szCs w:val="21"/>
                <w:highlight w:val="none"/>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km</w:t>
            </w:r>
            <w:r>
              <w:rPr>
                <w:rFonts w:hint="default" w:ascii="Times New Roman" w:hAnsi="Times New Roman" w:cs="Times New Roman" w:eastAsiaTheme="minorEastAsia"/>
                <w:color w:val="000000" w:themeColor="text1"/>
                <w:spacing w:val="11"/>
                <w:sz w:val="21"/>
                <w:szCs w:val="21"/>
                <w:highlight w:val="none"/>
                <w14:textFill>
                  <w14:solidFill>
                    <w14:schemeClr w14:val="tx1"/>
                  </w14:solidFill>
                </w14:textFill>
              </w:rPr>
              <w:t>²</w:t>
            </w:r>
            <w:r>
              <w:rPr>
                <w:rFonts w:hint="default" w:ascii="Times New Roman" w:hAnsi="Times New Roman" w:cs="Times New Roman" w:eastAsiaTheme="minorEastAsia"/>
                <w:color w:val="000000" w:themeColor="text1"/>
                <w:spacing w:val="11"/>
                <w:sz w:val="21"/>
                <w:szCs w:val="2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pacing w:val="11"/>
                <w:sz w:val="21"/>
                <w:szCs w:val="21"/>
                <w:highlight w:val="none"/>
                <w14:textFill>
                  <w14:solidFill>
                    <w14:schemeClr w14:val="tx1"/>
                  </w14:solidFill>
                </w14:textFill>
              </w:rPr>
              <w:t>水域面积：()</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km</w:t>
            </w:r>
            <w:r>
              <w:rPr>
                <w:rFonts w:hint="default" w:ascii="Times New Roman" w:hAnsi="Times New Roman" w:cs="Times New Roman" w:eastAsiaTheme="minorEastAsia"/>
                <w:color w:val="000000" w:themeColor="text1"/>
                <w:spacing w:val="11"/>
                <w:sz w:val="21"/>
                <w:szCs w:val="21"/>
                <w:highlight w:val="none"/>
                <w14:textFill>
                  <w14:solidFill>
                    <w14:schemeClr w14:val="tx1"/>
                  </w14:solidFill>
                </w14:textFill>
              </w:rPr>
              <w:t>²</w:t>
            </w:r>
          </w:p>
        </w:tc>
      </w:tr>
      <w:tr w14:paraId="26C4DA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jc w:val="center"/>
        </w:trPr>
        <w:tc>
          <w:tcPr>
            <w:tcW w:w="493" w:type="pct"/>
            <w:vMerge w:val="restart"/>
            <w:tcBorders>
              <w:bottom w:val="nil"/>
            </w:tcBorders>
            <w:vAlign w:val="center"/>
          </w:tcPr>
          <w:p w14:paraId="057E46E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p w14:paraId="00F2D5D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p w14:paraId="4FF71BE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p w14:paraId="7522A49C">
            <w:pPr>
              <w:pStyle w:val="62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4"/>
                <w:sz w:val="21"/>
                <w:szCs w:val="21"/>
                <w:highlight w:val="none"/>
                <w14:textFill>
                  <w14:solidFill>
                    <w14:schemeClr w14:val="tx1"/>
                  </w14:solidFill>
                </w14:textFill>
              </w:rPr>
              <w:t>生态现</w:t>
            </w:r>
            <w:r>
              <w:rPr>
                <w:rFonts w:hint="default" w:ascii="Times New Roman" w:hAnsi="Times New Roman" w:cs="Times New Roman" w:eastAsiaTheme="minorEastAsia"/>
                <w:color w:val="000000" w:themeColor="text1"/>
                <w:spacing w:val="-3"/>
                <w:sz w:val="21"/>
                <w:szCs w:val="21"/>
                <w:highlight w:val="none"/>
                <w14:textFill>
                  <w14:solidFill>
                    <w14:schemeClr w14:val="tx1"/>
                  </w14:solidFill>
                </w14:textFill>
              </w:rPr>
              <w:t>状调查</w:t>
            </w:r>
            <w:r>
              <w:rPr>
                <w:rFonts w:hint="default" w:ascii="Times New Roman" w:hAnsi="Times New Roman" w:cs="Times New Roman" w:eastAsiaTheme="minorEastAsia"/>
                <w:color w:val="000000" w:themeColor="text1"/>
                <w:spacing w:val="3"/>
                <w:sz w:val="21"/>
                <w:szCs w:val="21"/>
                <w:highlight w:val="none"/>
                <w14:textFill>
                  <w14:solidFill>
                    <w14:schemeClr w14:val="tx1"/>
                  </w14:solidFill>
                </w14:textFill>
              </w:rPr>
              <w:t>与评价</w:t>
            </w:r>
          </w:p>
        </w:tc>
        <w:tc>
          <w:tcPr>
            <w:tcW w:w="616" w:type="pct"/>
            <w:vAlign w:val="center"/>
          </w:tcPr>
          <w:p w14:paraId="4028DF6A">
            <w:pPr>
              <w:pStyle w:val="62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2"/>
                <w:sz w:val="21"/>
                <w:szCs w:val="21"/>
                <w:highlight w:val="none"/>
                <w14:textFill>
                  <w14:solidFill>
                    <w14:schemeClr w14:val="tx1"/>
                  </w14:solidFill>
                </w14:textFill>
              </w:rPr>
              <w:t>调查方法</w:t>
            </w:r>
          </w:p>
        </w:tc>
        <w:tc>
          <w:tcPr>
            <w:tcW w:w="3890" w:type="pct"/>
            <w:vAlign w:val="center"/>
          </w:tcPr>
          <w:p w14:paraId="3C73364B">
            <w:pPr>
              <w:pStyle w:val="62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left"/>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11"/>
                <w:sz w:val="21"/>
                <w:szCs w:val="21"/>
                <w:highlight w:val="none"/>
                <w14:textFill>
                  <w14:solidFill>
                    <w14:schemeClr w14:val="tx1"/>
                  </w14:solidFill>
                </w14:textFill>
              </w:rPr>
              <w:t>资料收集☑</w:t>
            </w:r>
            <w:r>
              <w:rPr>
                <w:rFonts w:hint="default" w:ascii="Times New Roman" w:hAnsi="Times New Roman" w:cs="Times New Roman" w:eastAsiaTheme="minorEastAsia"/>
                <w:color w:val="000000" w:themeColor="text1"/>
                <w:spacing w:val="-11"/>
                <w:sz w:val="21"/>
                <w:szCs w:val="2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pacing w:val="-11"/>
                <w:sz w:val="21"/>
                <w:szCs w:val="21"/>
                <w:highlight w:val="none"/>
                <w14:textFill>
                  <w14:solidFill>
                    <w14:schemeClr w14:val="tx1"/>
                  </w14:solidFill>
                </w14:textFill>
              </w:rPr>
              <w:t>遥感调查</w:t>
            </w:r>
            <w:r>
              <w:rPr>
                <w:rFonts w:hint="default" w:ascii="Times New Roman" w:hAnsi="Times New Roman" w:cs="Times New Roman" w:eastAsiaTheme="minorEastAsia"/>
                <w:color w:val="000000" w:themeColor="text1"/>
                <w:spacing w:val="-11"/>
                <w:sz w:val="21"/>
                <w:szCs w:val="2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pacing w:val="-11"/>
                <w:sz w:val="21"/>
                <w:szCs w:val="21"/>
                <w:highlight w:val="none"/>
                <w14:textFill>
                  <w14:solidFill>
                    <w14:schemeClr w14:val="tx1"/>
                  </w14:solidFill>
                </w14:textFill>
              </w:rPr>
              <w:t>调查样方、样线口；调查点位、断面口；专家</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和公众咨询法☑</w:t>
            </w: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其他☑</w:t>
            </w:r>
          </w:p>
        </w:tc>
      </w:tr>
      <w:tr w14:paraId="2E9E10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9" w:hRule="atLeast"/>
          <w:jc w:val="center"/>
        </w:trPr>
        <w:tc>
          <w:tcPr>
            <w:tcW w:w="493" w:type="pct"/>
            <w:vMerge w:val="continue"/>
            <w:tcBorders>
              <w:top w:val="nil"/>
              <w:bottom w:val="nil"/>
            </w:tcBorders>
            <w:vAlign w:val="center"/>
          </w:tcPr>
          <w:p w14:paraId="5DC1431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616" w:type="pct"/>
            <w:vAlign w:val="center"/>
          </w:tcPr>
          <w:p w14:paraId="076D3383">
            <w:pPr>
              <w:pStyle w:val="62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5"/>
                <w:sz w:val="21"/>
                <w:szCs w:val="21"/>
                <w:highlight w:val="none"/>
                <w14:textFill>
                  <w14:solidFill>
                    <w14:schemeClr w14:val="tx1"/>
                  </w14:solidFill>
                </w14:textFill>
              </w:rPr>
              <w:t>调查时间</w:t>
            </w:r>
          </w:p>
        </w:tc>
        <w:tc>
          <w:tcPr>
            <w:tcW w:w="3890" w:type="pct"/>
            <w:vAlign w:val="center"/>
          </w:tcPr>
          <w:p w14:paraId="6206F55B">
            <w:pPr>
              <w:pStyle w:val="62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left"/>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1"/>
                <w:sz w:val="21"/>
                <w:szCs w:val="21"/>
                <w:highlight w:val="none"/>
                <w14:textFill>
                  <w14:solidFill>
                    <w14:schemeClr w14:val="tx1"/>
                  </w14:solidFill>
                </w14:textFill>
              </w:rPr>
              <w:t>春季□</w:t>
            </w:r>
            <w:r>
              <w:rPr>
                <w:rFonts w:hint="default" w:ascii="Times New Roman" w:hAnsi="Times New Roman" w:cs="Times New Roman" w:eastAsiaTheme="minorEastAsia"/>
                <w:color w:val="000000" w:themeColor="text1"/>
                <w:spacing w:val="1"/>
                <w:sz w:val="21"/>
                <w:szCs w:val="2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pacing w:val="1"/>
                <w:sz w:val="21"/>
                <w:szCs w:val="21"/>
                <w:highlight w:val="none"/>
                <w14:textFill>
                  <w14:solidFill>
                    <w14:schemeClr w14:val="tx1"/>
                  </w14:solidFill>
                </w14:textFill>
              </w:rPr>
              <w:t>夏季</w:t>
            </w:r>
            <w:r>
              <w:rPr>
                <w:rFonts w:hint="default" w:ascii="Times New Roman" w:hAnsi="Times New Roman" w:cs="Times New Roman" w:eastAsiaTheme="minorEastAsia"/>
                <w:color w:val="000000" w:themeColor="text1"/>
                <w:spacing w:val="1"/>
                <w:sz w:val="21"/>
                <w:szCs w:val="21"/>
                <w:highlight w:val="none"/>
                <w:lang w:eastAsia="zh-CN"/>
                <w14:textFill>
                  <w14:solidFill>
                    <w14:schemeClr w14:val="tx1"/>
                  </w14:solidFill>
                </w14:textFill>
              </w:rPr>
              <w:sym w:font="Wingdings 2" w:char="0052"/>
            </w:r>
            <w:r>
              <w:rPr>
                <w:rFonts w:hint="default" w:ascii="Times New Roman" w:hAnsi="Times New Roman" w:cs="Times New Roman" w:eastAsiaTheme="minorEastAsia"/>
                <w:color w:val="000000" w:themeColor="text1"/>
                <w:spacing w:val="1"/>
                <w:sz w:val="21"/>
                <w:szCs w:val="2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pacing w:val="1"/>
                <w:sz w:val="21"/>
                <w:szCs w:val="21"/>
                <w:highlight w:val="none"/>
                <w14:textFill>
                  <w14:solidFill>
                    <w14:schemeClr w14:val="tx1"/>
                  </w14:solidFill>
                </w14:textFill>
              </w:rPr>
              <w:t>秋季</w:t>
            </w:r>
            <w:r>
              <w:rPr>
                <w:rFonts w:hint="eastAsia" w:ascii="Times New Roman" w:hAnsi="Times New Roman" w:cs="Times New Roman" w:eastAsiaTheme="minorEastAsia"/>
                <w:color w:val="000000" w:themeColor="text1"/>
                <w:spacing w:val="1"/>
                <w:sz w:val="21"/>
                <w:szCs w:val="2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pacing w:val="1"/>
                <w:sz w:val="21"/>
                <w:szCs w:val="2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pacing w:val="1"/>
                <w:sz w:val="21"/>
                <w:szCs w:val="21"/>
                <w:highlight w:val="none"/>
                <w14:textFill>
                  <w14:solidFill>
                    <w14:schemeClr w14:val="tx1"/>
                  </w14:solidFill>
                </w14:textFill>
              </w:rPr>
              <w:t>冬季□</w:t>
            </w:r>
            <w:r>
              <w:rPr>
                <w:rFonts w:hint="default" w:ascii="Times New Roman" w:hAnsi="Times New Roman" w:cs="Times New Roman" w:eastAsiaTheme="minorEastAsia"/>
                <w:color w:val="000000" w:themeColor="text1"/>
                <w:spacing w:val="10"/>
                <w:sz w:val="21"/>
                <w:szCs w:val="21"/>
                <w:highlight w:val="none"/>
                <w14:textFill>
                  <w14:solidFill>
                    <w14:schemeClr w14:val="tx1"/>
                  </w14:solidFill>
                </w14:textFill>
              </w:rPr>
              <w:t xml:space="preserve"> </w:t>
            </w:r>
            <w:r>
              <w:rPr>
                <w:rFonts w:hint="default" w:ascii="Times New Roman" w:hAnsi="Times New Roman" w:cs="Times New Roman" w:eastAsiaTheme="minorEastAsia"/>
                <w:color w:val="000000" w:themeColor="text1"/>
                <w:spacing w:val="1"/>
                <w:sz w:val="21"/>
                <w:szCs w:val="21"/>
                <w:highlight w:val="none"/>
                <w14:textFill>
                  <w14:solidFill>
                    <w14:schemeClr w14:val="tx1"/>
                  </w14:solidFill>
                </w14:textFill>
              </w:rPr>
              <w:t>丰水期口；枯水期</w:t>
            </w:r>
            <w:r>
              <w:rPr>
                <w:rFonts w:hint="default" w:ascii="Times New Roman" w:hAnsi="Times New Roman" w:cs="Times New Roman" w:eastAsiaTheme="minorEastAsia"/>
                <w:color w:val="000000" w:themeColor="text1"/>
                <w:spacing w:val="1"/>
                <w:sz w:val="21"/>
                <w:szCs w:val="2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pacing w:val="1"/>
                <w:sz w:val="21"/>
                <w:szCs w:val="21"/>
                <w:highlight w:val="none"/>
                <w14:textFill>
                  <w14:solidFill>
                    <w14:schemeClr w14:val="tx1"/>
                  </w14:solidFill>
                </w14:textFill>
              </w:rPr>
              <w:t>平水期口</w:t>
            </w:r>
          </w:p>
        </w:tc>
      </w:tr>
      <w:tr w14:paraId="061FE7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9" w:hRule="atLeast"/>
          <w:jc w:val="center"/>
        </w:trPr>
        <w:tc>
          <w:tcPr>
            <w:tcW w:w="493" w:type="pct"/>
            <w:vMerge w:val="continue"/>
            <w:tcBorders>
              <w:top w:val="nil"/>
              <w:bottom w:val="nil"/>
            </w:tcBorders>
            <w:vAlign w:val="center"/>
          </w:tcPr>
          <w:p w14:paraId="015DE89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616" w:type="pct"/>
            <w:vAlign w:val="center"/>
          </w:tcPr>
          <w:p w14:paraId="14A819C9">
            <w:pPr>
              <w:pStyle w:val="62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2"/>
                <w:sz w:val="21"/>
                <w:szCs w:val="21"/>
                <w:highlight w:val="none"/>
                <w14:textFill>
                  <w14:solidFill>
                    <w14:schemeClr w14:val="tx1"/>
                  </w14:solidFill>
                </w14:textFill>
              </w:rPr>
              <w:t>所在区域</w:t>
            </w:r>
          </w:p>
          <w:p w14:paraId="7A2E1252">
            <w:pPr>
              <w:pStyle w:val="62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6"/>
                <w:sz w:val="21"/>
                <w:szCs w:val="21"/>
                <w:highlight w:val="none"/>
                <w14:textFill>
                  <w14:solidFill>
                    <w14:schemeClr w14:val="tx1"/>
                  </w14:solidFill>
                </w14:textFill>
              </w:rPr>
              <w:t>的生态问</w:t>
            </w:r>
          </w:p>
          <w:p w14:paraId="0BFD530B">
            <w:pPr>
              <w:pStyle w:val="62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题</w:t>
            </w:r>
          </w:p>
        </w:tc>
        <w:tc>
          <w:tcPr>
            <w:tcW w:w="3890" w:type="pct"/>
            <w:vAlign w:val="center"/>
          </w:tcPr>
          <w:p w14:paraId="52B7E536">
            <w:pPr>
              <w:pStyle w:val="62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left"/>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6"/>
                <w:sz w:val="21"/>
                <w:szCs w:val="21"/>
                <w:highlight w:val="none"/>
                <w14:textFill>
                  <w14:solidFill>
                    <w14:schemeClr w14:val="tx1"/>
                  </w14:solidFill>
                </w14:textFill>
              </w:rPr>
              <w:t>水土流失☑</w:t>
            </w:r>
            <w:r>
              <w:rPr>
                <w:rFonts w:hint="default" w:ascii="Times New Roman" w:hAnsi="Times New Roman" w:cs="Times New Roman" w:eastAsiaTheme="minorEastAsia"/>
                <w:color w:val="000000" w:themeColor="text1"/>
                <w:spacing w:val="-6"/>
                <w:sz w:val="21"/>
                <w:szCs w:val="2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pacing w:val="-6"/>
                <w:sz w:val="21"/>
                <w:szCs w:val="21"/>
                <w:highlight w:val="none"/>
                <w14:textFill>
                  <w14:solidFill>
                    <w14:schemeClr w14:val="tx1"/>
                  </w14:solidFill>
                </w14:textFill>
              </w:rPr>
              <w:t>沙漠化☑</w:t>
            </w:r>
            <w:r>
              <w:rPr>
                <w:rFonts w:hint="default" w:ascii="Times New Roman" w:hAnsi="Times New Roman" w:cs="Times New Roman" w:eastAsiaTheme="minorEastAsia"/>
                <w:color w:val="000000" w:themeColor="text1"/>
                <w:spacing w:val="-6"/>
                <w:sz w:val="21"/>
                <w:szCs w:val="2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pacing w:val="-6"/>
                <w:sz w:val="21"/>
                <w:szCs w:val="21"/>
                <w:highlight w:val="none"/>
                <w14:textFill>
                  <w14:solidFill>
                    <w14:schemeClr w14:val="tx1"/>
                  </w14:solidFill>
                </w14:textFill>
              </w:rPr>
              <w:t>石漠化口；盐渍化□</w:t>
            </w:r>
            <w:r>
              <w:rPr>
                <w:rFonts w:hint="default" w:ascii="Times New Roman" w:hAnsi="Times New Roman" w:cs="Times New Roman" w:eastAsiaTheme="minorEastAsia"/>
                <w:color w:val="000000" w:themeColor="text1"/>
                <w:spacing w:val="-6"/>
                <w:sz w:val="21"/>
                <w:szCs w:val="2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pacing w:val="-6"/>
                <w:sz w:val="21"/>
                <w:szCs w:val="21"/>
                <w:highlight w:val="none"/>
                <w14:textFill>
                  <w14:solidFill>
                    <w14:schemeClr w14:val="tx1"/>
                  </w14:solidFill>
                </w14:textFill>
              </w:rPr>
              <w:t>生物入侵□</w:t>
            </w:r>
            <w:r>
              <w:rPr>
                <w:rFonts w:hint="default" w:ascii="Times New Roman" w:hAnsi="Times New Roman" w:cs="Times New Roman" w:eastAsiaTheme="minorEastAsia"/>
                <w:color w:val="000000" w:themeColor="text1"/>
                <w:spacing w:val="-6"/>
                <w:sz w:val="21"/>
                <w:szCs w:val="2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pacing w:val="-6"/>
                <w:sz w:val="21"/>
                <w:szCs w:val="21"/>
                <w:highlight w:val="none"/>
                <w14:textFill>
                  <w14:solidFill>
                    <w14:schemeClr w14:val="tx1"/>
                  </w14:solidFill>
                </w14:textFill>
              </w:rPr>
              <w:t>污染危害□</w:t>
            </w:r>
            <w:r>
              <w:rPr>
                <w:rFonts w:hint="default" w:ascii="Times New Roman" w:hAnsi="Times New Roman" w:cs="Times New Roman" w:eastAsiaTheme="minorEastAsia"/>
                <w:color w:val="000000" w:themeColor="text1"/>
                <w:spacing w:val="-6"/>
                <w:sz w:val="21"/>
                <w:szCs w:val="2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pacing w:val="2"/>
                <w:sz w:val="21"/>
                <w:szCs w:val="21"/>
                <w:highlight w:val="none"/>
                <w14:textFill>
                  <w14:solidFill>
                    <w14:schemeClr w14:val="tx1"/>
                  </w14:solidFill>
                </w14:textFill>
              </w:rPr>
              <w:t xml:space="preserve"> </w:t>
            </w:r>
            <w:r>
              <w:rPr>
                <w:rFonts w:hint="default" w:ascii="Times New Roman" w:hAnsi="Times New Roman" w:cs="Times New Roman" w:eastAsiaTheme="minorEastAsia"/>
                <w:color w:val="000000" w:themeColor="text1"/>
                <w:spacing w:val="10"/>
                <w:sz w:val="21"/>
                <w:szCs w:val="21"/>
                <w:highlight w:val="none"/>
                <w14:textFill>
                  <w14:solidFill>
                    <w14:schemeClr w14:val="tx1"/>
                  </w14:solidFill>
                </w14:textFill>
              </w:rPr>
              <w:t>其他口</w:t>
            </w:r>
          </w:p>
        </w:tc>
      </w:tr>
      <w:tr w14:paraId="5EFDBD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jc w:val="center"/>
        </w:trPr>
        <w:tc>
          <w:tcPr>
            <w:tcW w:w="493" w:type="pct"/>
            <w:vMerge w:val="continue"/>
            <w:tcBorders>
              <w:top w:val="nil"/>
            </w:tcBorders>
            <w:vAlign w:val="center"/>
          </w:tcPr>
          <w:p w14:paraId="0C492D6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616" w:type="pct"/>
            <w:vAlign w:val="center"/>
          </w:tcPr>
          <w:p w14:paraId="736938DC">
            <w:pPr>
              <w:pStyle w:val="62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2"/>
                <w:sz w:val="21"/>
                <w:szCs w:val="21"/>
                <w:highlight w:val="none"/>
                <w14:textFill>
                  <w14:solidFill>
                    <w14:schemeClr w14:val="tx1"/>
                  </w14:solidFill>
                </w14:textFill>
              </w:rPr>
              <w:t>评价内容</w:t>
            </w:r>
          </w:p>
        </w:tc>
        <w:tc>
          <w:tcPr>
            <w:tcW w:w="3890" w:type="pct"/>
            <w:vAlign w:val="center"/>
          </w:tcPr>
          <w:p w14:paraId="672C8BAE">
            <w:pPr>
              <w:pStyle w:val="62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left"/>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4"/>
                <w:sz w:val="21"/>
                <w:szCs w:val="21"/>
                <w:highlight w:val="none"/>
                <w14:textFill>
                  <w14:solidFill>
                    <w14:schemeClr w14:val="tx1"/>
                  </w14:solidFill>
                </w14:textFill>
              </w:rPr>
              <w:t>植被/植物群落</w:t>
            </w:r>
            <w:r>
              <w:rPr>
                <w:rFonts w:hint="default" w:ascii="Times New Roman" w:hAnsi="Times New Roman" w:cs="Times New Roman" w:eastAsiaTheme="minorEastAsia"/>
                <w:color w:val="000000" w:themeColor="text1"/>
                <w:spacing w:val="1"/>
                <w:sz w:val="21"/>
                <w:szCs w:val="21"/>
                <w:highlight w:val="none"/>
                <w14:textFill>
                  <w14:solidFill>
                    <w14:schemeClr w14:val="tx1"/>
                  </w14:solidFill>
                </w14:textFill>
              </w:rPr>
              <w:t>☑</w:t>
            </w:r>
            <w:r>
              <w:rPr>
                <w:rFonts w:hint="default" w:ascii="Times New Roman" w:hAnsi="Times New Roman" w:cs="Times New Roman" w:eastAsiaTheme="minorEastAsia"/>
                <w:color w:val="000000" w:themeColor="text1"/>
                <w:spacing w:val="-4"/>
                <w:sz w:val="21"/>
                <w:szCs w:val="21"/>
                <w:highlight w:val="none"/>
                <w14:textFill>
                  <w14:solidFill>
                    <w14:schemeClr w14:val="tx1"/>
                  </w14:solidFill>
                </w14:textFill>
              </w:rPr>
              <w:t>；土地利用☑</w:t>
            </w:r>
            <w:r>
              <w:rPr>
                <w:rFonts w:hint="default" w:ascii="Times New Roman" w:hAnsi="Times New Roman" w:cs="Times New Roman" w:eastAsiaTheme="minorEastAsia"/>
                <w:color w:val="000000" w:themeColor="text1"/>
                <w:spacing w:val="-4"/>
                <w:sz w:val="21"/>
                <w:szCs w:val="2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pacing w:val="-4"/>
                <w:sz w:val="21"/>
                <w:szCs w:val="21"/>
                <w:highlight w:val="none"/>
                <w14:textFill>
                  <w14:solidFill>
                    <w14:schemeClr w14:val="tx1"/>
                  </w14:solidFill>
                </w14:textFill>
              </w:rPr>
              <w:t>生态系统☑</w:t>
            </w:r>
            <w:r>
              <w:rPr>
                <w:rFonts w:hint="default" w:ascii="Times New Roman" w:hAnsi="Times New Roman" w:cs="Times New Roman" w:eastAsiaTheme="minorEastAsia"/>
                <w:color w:val="000000" w:themeColor="text1"/>
                <w:spacing w:val="-4"/>
                <w:sz w:val="21"/>
                <w:szCs w:val="2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pacing w:val="-4"/>
                <w:sz w:val="21"/>
                <w:szCs w:val="21"/>
                <w:highlight w:val="none"/>
                <w14:textFill>
                  <w14:solidFill>
                    <w14:schemeClr w14:val="tx1"/>
                  </w14:solidFill>
                </w14:textFill>
              </w:rPr>
              <w:t>生物多样性☑</w:t>
            </w:r>
            <w:r>
              <w:rPr>
                <w:rFonts w:hint="default" w:ascii="Times New Roman" w:hAnsi="Times New Roman" w:cs="Times New Roman" w:eastAsiaTheme="minorEastAsia"/>
                <w:color w:val="000000" w:themeColor="text1"/>
                <w:spacing w:val="-4"/>
                <w:sz w:val="21"/>
                <w:szCs w:val="2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pacing w:val="-4"/>
                <w:sz w:val="21"/>
                <w:szCs w:val="21"/>
                <w:highlight w:val="none"/>
                <w14:textFill>
                  <w14:solidFill>
                    <w14:schemeClr w14:val="tx1"/>
                  </w14:solidFill>
                </w14:textFill>
              </w:rPr>
              <w:t>重要物种</w:t>
            </w:r>
            <w:r>
              <w:rPr>
                <w:rFonts w:hint="default" w:ascii="Times New Roman" w:hAnsi="Times New Roman" w:cs="Times New Roman" w:eastAsiaTheme="minorEastAsia"/>
                <w:color w:val="000000" w:themeColor="text1"/>
                <w:spacing w:val="13"/>
                <w:sz w:val="21"/>
                <w:szCs w:val="21"/>
                <w:highlight w:val="none"/>
                <w14:textFill>
                  <w14:solidFill>
                    <w14:schemeClr w14:val="tx1"/>
                  </w14:solidFill>
                </w14:textFill>
              </w:rPr>
              <w:t xml:space="preserve"> </w:t>
            </w:r>
            <w:r>
              <w:rPr>
                <w:rFonts w:hint="default" w:ascii="Times New Roman" w:hAnsi="Times New Roman" w:cs="Times New Roman" w:eastAsiaTheme="minorEastAsia"/>
                <w:color w:val="000000" w:themeColor="text1"/>
                <w:spacing w:val="2"/>
                <w:sz w:val="21"/>
                <w:szCs w:val="2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pacing w:val="2"/>
                <w:sz w:val="21"/>
                <w:szCs w:val="21"/>
                <w:highlight w:val="none"/>
                <w14:textFill>
                  <w14:solidFill>
                    <w14:schemeClr w14:val="tx1"/>
                  </w14:solidFill>
                </w14:textFill>
              </w:rPr>
              <w:t>生态敏感区口；其他口</w:t>
            </w:r>
          </w:p>
        </w:tc>
      </w:tr>
      <w:tr w14:paraId="16BB79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493" w:type="pct"/>
            <w:vMerge w:val="restart"/>
            <w:tcBorders>
              <w:bottom w:val="nil"/>
            </w:tcBorders>
            <w:vAlign w:val="center"/>
          </w:tcPr>
          <w:p w14:paraId="65F4B753">
            <w:pPr>
              <w:pStyle w:val="62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4"/>
                <w:sz w:val="21"/>
                <w:szCs w:val="21"/>
                <w:highlight w:val="none"/>
                <w14:textFill>
                  <w14:solidFill>
                    <w14:schemeClr w14:val="tx1"/>
                  </w14:solidFill>
                </w14:textFill>
              </w:rPr>
              <w:t>生态影</w:t>
            </w:r>
            <w:r>
              <w:rPr>
                <w:rFonts w:hint="default" w:ascii="Times New Roman" w:hAnsi="Times New Roman" w:cs="Times New Roman" w:eastAsiaTheme="minorEastAsia"/>
                <w:color w:val="000000" w:themeColor="text1"/>
                <w:spacing w:val="6"/>
                <w:sz w:val="21"/>
                <w:szCs w:val="21"/>
                <w:highlight w:val="none"/>
                <w14:textFill>
                  <w14:solidFill>
                    <w14:schemeClr w14:val="tx1"/>
                  </w14:solidFill>
                </w14:textFill>
              </w:rPr>
              <w:t>响预测</w:t>
            </w:r>
            <w:r>
              <w:rPr>
                <w:rFonts w:hint="default" w:ascii="Times New Roman" w:hAnsi="Times New Roman" w:cs="Times New Roman" w:eastAsiaTheme="minorEastAsia"/>
                <w:color w:val="000000" w:themeColor="text1"/>
                <w:spacing w:val="3"/>
                <w:sz w:val="21"/>
                <w:szCs w:val="21"/>
                <w:highlight w:val="none"/>
                <w14:textFill>
                  <w14:solidFill>
                    <w14:schemeClr w14:val="tx1"/>
                  </w14:solidFill>
                </w14:textFill>
              </w:rPr>
              <w:t>与评价</w:t>
            </w:r>
          </w:p>
        </w:tc>
        <w:tc>
          <w:tcPr>
            <w:tcW w:w="616" w:type="pct"/>
            <w:vAlign w:val="center"/>
          </w:tcPr>
          <w:p w14:paraId="6AB0891D">
            <w:pPr>
              <w:pStyle w:val="62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2"/>
                <w:sz w:val="21"/>
                <w:szCs w:val="21"/>
                <w:highlight w:val="none"/>
                <w14:textFill>
                  <w14:solidFill>
                    <w14:schemeClr w14:val="tx1"/>
                  </w14:solidFill>
                </w14:textFill>
              </w:rPr>
              <w:t>评价方法</w:t>
            </w:r>
          </w:p>
        </w:tc>
        <w:tc>
          <w:tcPr>
            <w:tcW w:w="3890" w:type="pct"/>
            <w:vAlign w:val="center"/>
          </w:tcPr>
          <w:p w14:paraId="7DFC80B2">
            <w:pPr>
              <w:pStyle w:val="62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left"/>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1"/>
                <w:sz w:val="21"/>
                <w:szCs w:val="21"/>
                <w:highlight w:val="none"/>
                <w14:textFill>
                  <w14:solidFill>
                    <w14:schemeClr w14:val="tx1"/>
                  </w14:solidFill>
                </w14:textFill>
              </w:rPr>
              <w:t>定性口；定性和定量☑</w:t>
            </w:r>
          </w:p>
        </w:tc>
      </w:tr>
      <w:tr w14:paraId="134922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jc w:val="center"/>
        </w:trPr>
        <w:tc>
          <w:tcPr>
            <w:tcW w:w="493" w:type="pct"/>
            <w:vMerge w:val="continue"/>
            <w:tcBorders>
              <w:top w:val="nil"/>
            </w:tcBorders>
            <w:vAlign w:val="center"/>
          </w:tcPr>
          <w:p w14:paraId="0373014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616" w:type="pct"/>
            <w:vAlign w:val="center"/>
          </w:tcPr>
          <w:p w14:paraId="60658C44">
            <w:pPr>
              <w:pStyle w:val="62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2"/>
                <w:sz w:val="21"/>
                <w:szCs w:val="21"/>
                <w:highlight w:val="none"/>
                <w14:textFill>
                  <w14:solidFill>
                    <w14:schemeClr w14:val="tx1"/>
                  </w14:solidFill>
                </w14:textFill>
              </w:rPr>
              <w:t>评价内容</w:t>
            </w:r>
          </w:p>
        </w:tc>
        <w:tc>
          <w:tcPr>
            <w:tcW w:w="3890" w:type="pct"/>
            <w:vAlign w:val="center"/>
          </w:tcPr>
          <w:p w14:paraId="52E1C38C">
            <w:pPr>
              <w:pStyle w:val="62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left"/>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植被/植物群落☑</w:t>
            </w: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土地利用☑</w:t>
            </w: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生态系统☑</w:t>
            </w: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pacing w:val="-1"/>
                <w:sz w:val="21"/>
                <w:szCs w:val="21"/>
                <w:highlight w:val="none"/>
                <w14:textFill>
                  <w14:solidFill>
                    <w14:schemeClr w14:val="tx1"/>
                  </w14:solidFill>
                </w14:textFill>
              </w:rPr>
              <w:t>生物多样性☑</w:t>
            </w:r>
            <w:r>
              <w:rPr>
                <w:rFonts w:hint="default" w:ascii="Times New Roman" w:hAnsi="Times New Roman" w:cs="Times New Roman" w:eastAsiaTheme="minorEastAsia"/>
                <w:color w:val="000000" w:themeColor="text1"/>
                <w:spacing w:val="-1"/>
                <w:sz w:val="21"/>
                <w:szCs w:val="2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pacing w:val="-1"/>
                <w:sz w:val="21"/>
                <w:szCs w:val="21"/>
                <w:highlight w:val="none"/>
                <w14:textFill>
                  <w14:solidFill>
                    <w14:schemeClr w14:val="tx1"/>
                  </w14:solidFill>
                </w14:textFill>
              </w:rPr>
              <w:t>重要物种</w:t>
            </w:r>
            <w:r>
              <w:rPr>
                <w:rFonts w:hint="default" w:ascii="Times New Roman" w:hAnsi="Times New Roman" w:cs="Times New Roman" w:eastAsiaTheme="minorEastAsia"/>
                <w:color w:val="000000" w:themeColor="text1"/>
                <w:spacing w:val="1"/>
                <w:sz w:val="21"/>
                <w:szCs w:val="21"/>
                <w:highlight w:val="none"/>
                <w14:textFill>
                  <w14:solidFill>
                    <w14:schemeClr w14:val="tx1"/>
                  </w14:solidFill>
                </w14:textFill>
              </w:rPr>
              <w:t>□</w:t>
            </w:r>
            <w:r>
              <w:rPr>
                <w:rFonts w:hint="default" w:ascii="Times New Roman" w:hAnsi="Times New Roman" w:cs="Times New Roman" w:eastAsiaTheme="minorEastAsia"/>
                <w:color w:val="000000" w:themeColor="text1"/>
                <w:spacing w:val="1"/>
                <w:sz w:val="21"/>
                <w:szCs w:val="2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pacing w:val="1"/>
                <w:sz w:val="21"/>
                <w:szCs w:val="21"/>
                <w:highlight w:val="none"/>
                <w14:textFill>
                  <w14:solidFill>
                    <w14:schemeClr w14:val="tx1"/>
                  </w14:solidFill>
                </w14:textFill>
              </w:rPr>
              <w:t>生态敏感区口；生物入侵风险口；其他□</w:t>
            </w:r>
          </w:p>
        </w:tc>
      </w:tr>
      <w:tr w14:paraId="56792A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493" w:type="pct"/>
            <w:vMerge w:val="restart"/>
            <w:tcBorders>
              <w:bottom w:val="nil"/>
            </w:tcBorders>
            <w:vAlign w:val="center"/>
          </w:tcPr>
          <w:p w14:paraId="0A633CD6">
            <w:pPr>
              <w:pStyle w:val="62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3"/>
                <w:sz w:val="21"/>
                <w:szCs w:val="21"/>
                <w:highlight w:val="none"/>
                <w14:textFill>
                  <w14:solidFill>
                    <w14:schemeClr w14:val="tx1"/>
                  </w14:solidFill>
                </w14:textFill>
              </w:rPr>
              <w:t>生态保</w:t>
            </w:r>
          </w:p>
          <w:p w14:paraId="6DC11562">
            <w:pPr>
              <w:pStyle w:val="62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3"/>
                <w:sz w:val="21"/>
                <w:szCs w:val="21"/>
                <w:highlight w:val="none"/>
                <w14:textFill>
                  <w14:solidFill>
                    <w14:schemeClr w14:val="tx1"/>
                  </w14:solidFill>
                </w14:textFill>
              </w:rPr>
              <w:t>护对策</w:t>
            </w:r>
          </w:p>
          <w:p w14:paraId="3A99FCF4">
            <w:pPr>
              <w:pStyle w:val="62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3"/>
                <w:sz w:val="21"/>
                <w:szCs w:val="21"/>
                <w:highlight w:val="none"/>
                <w14:textFill>
                  <w14:solidFill>
                    <w14:schemeClr w14:val="tx1"/>
                  </w14:solidFill>
                </w14:textFill>
              </w:rPr>
              <w:t>措施</w:t>
            </w:r>
          </w:p>
        </w:tc>
        <w:tc>
          <w:tcPr>
            <w:tcW w:w="616" w:type="pct"/>
            <w:vAlign w:val="center"/>
          </w:tcPr>
          <w:p w14:paraId="6A8444C7">
            <w:pPr>
              <w:pStyle w:val="62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2"/>
                <w:sz w:val="21"/>
                <w:szCs w:val="21"/>
                <w:highlight w:val="none"/>
                <w14:textFill>
                  <w14:solidFill>
                    <w14:schemeClr w14:val="tx1"/>
                  </w14:solidFill>
                </w14:textFill>
              </w:rPr>
              <w:t>对策措施</w:t>
            </w:r>
          </w:p>
        </w:tc>
        <w:tc>
          <w:tcPr>
            <w:tcW w:w="3890" w:type="pct"/>
            <w:vAlign w:val="center"/>
          </w:tcPr>
          <w:p w14:paraId="4FDEA318">
            <w:pPr>
              <w:pStyle w:val="62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left"/>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1"/>
                <w:sz w:val="21"/>
                <w:szCs w:val="21"/>
                <w:highlight w:val="none"/>
                <w14:textFill>
                  <w14:solidFill>
                    <w14:schemeClr w14:val="tx1"/>
                  </w14:solidFill>
                </w14:textFill>
              </w:rPr>
              <w:t>避让☑</w:t>
            </w:r>
            <w:r>
              <w:rPr>
                <w:rFonts w:hint="default" w:ascii="Times New Roman" w:hAnsi="Times New Roman" w:cs="Times New Roman" w:eastAsiaTheme="minorEastAsia"/>
                <w:color w:val="000000" w:themeColor="text1"/>
                <w:spacing w:val="1"/>
                <w:sz w:val="21"/>
                <w:szCs w:val="2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pacing w:val="1"/>
                <w:sz w:val="21"/>
                <w:szCs w:val="21"/>
                <w:highlight w:val="none"/>
                <w14:textFill>
                  <w14:solidFill>
                    <w14:schemeClr w14:val="tx1"/>
                  </w14:solidFill>
                </w14:textFill>
              </w:rPr>
              <w:t>减缓☑</w:t>
            </w:r>
            <w:r>
              <w:rPr>
                <w:rFonts w:hint="default" w:ascii="Times New Roman" w:hAnsi="Times New Roman" w:cs="Times New Roman" w:eastAsiaTheme="minorEastAsia"/>
                <w:color w:val="000000" w:themeColor="text1"/>
                <w:spacing w:val="1"/>
                <w:sz w:val="21"/>
                <w:szCs w:val="2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pacing w:val="1"/>
                <w:sz w:val="21"/>
                <w:szCs w:val="21"/>
                <w:highlight w:val="none"/>
                <w14:textFill>
                  <w14:solidFill>
                    <w14:schemeClr w14:val="tx1"/>
                  </w14:solidFill>
                </w14:textFill>
              </w:rPr>
              <w:t>生态修复☑</w:t>
            </w:r>
            <w:r>
              <w:rPr>
                <w:rFonts w:hint="default" w:ascii="Times New Roman" w:hAnsi="Times New Roman" w:cs="Times New Roman" w:eastAsiaTheme="minorEastAsia"/>
                <w:color w:val="000000" w:themeColor="text1"/>
                <w:spacing w:val="1"/>
                <w:sz w:val="21"/>
                <w:szCs w:val="2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pacing w:val="1"/>
                <w:sz w:val="21"/>
                <w:szCs w:val="21"/>
                <w:highlight w:val="none"/>
                <w14:textFill>
                  <w14:solidFill>
                    <w14:schemeClr w14:val="tx1"/>
                  </w14:solidFill>
                </w14:textFill>
              </w:rPr>
              <w:t>生态补偿☑</w:t>
            </w: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科研口；其他□</w:t>
            </w:r>
          </w:p>
        </w:tc>
      </w:tr>
      <w:tr w14:paraId="13973D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9" w:hRule="atLeast"/>
          <w:jc w:val="center"/>
        </w:trPr>
        <w:tc>
          <w:tcPr>
            <w:tcW w:w="493" w:type="pct"/>
            <w:vMerge w:val="continue"/>
            <w:tcBorders>
              <w:top w:val="nil"/>
              <w:bottom w:val="nil"/>
            </w:tcBorders>
            <w:vAlign w:val="center"/>
          </w:tcPr>
          <w:p w14:paraId="2CB1FA5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616" w:type="pct"/>
            <w:vAlign w:val="center"/>
          </w:tcPr>
          <w:p w14:paraId="7A5EB85D">
            <w:pPr>
              <w:pStyle w:val="62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4"/>
                <w:sz w:val="21"/>
                <w:szCs w:val="21"/>
                <w:highlight w:val="none"/>
                <w14:textFill>
                  <w14:solidFill>
                    <w14:schemeClr w14:val="tx1"/>
                  </w14:solidFill>
                </w14:textFill>
              </w:rPr>
              <w:t>生态监测</w:t>
            </w:r>
            <w:r>
              <w:rPr>
                <w:rFonts w:hint="default" w:ascii="Times New Roman" w:hAnsi="Times New Roman" w:cs="Times New Roman" w:eastAsiaTheme="minorEastAsia"/>
                <w:color w:val="000000" w:themeColor="text1"/>
                <w:spacing w:val="1"/>
                <w:sz w:val="21"/>
                <w:szCs w:val="21"/>
                <w:highlight w:val="none"/>
                <w14:textFill>
                  <w14:solidFill>
                    <w14:schemeClr w14:val="tx1"/>
                  </w14:solidFill>
                </w14:textFill>
              </w:rPr>
              <w:t xml:space="preserve"> </w:t>
            </w:r>
            <w:r>
              <w:rPr>
                <w:rFonts w:hint="default" w:ascii="Times New Roman" w:hAnsi="Times New Roman" w:cs="Times New Roman" w:eastAsiaTheme="minorEastAsia"/>
                <w:color w:val="000000" w:themeColor="text1"/>
                <w:spacing w:val="8"/>
                <w:sz w:val="21"/>
                <w:szCs w:val="21"/>
                <w:highlight w:val="none"/>
                <w14:textFill>
                  <w14:solidFill>
                    <w14:schemeClr w14:val="tx1"/>
                  </w14:solidFill>
                </w14:textFill>
              </w:rPr>
              <w:t>计划</w:t>
            </w:r>
          </w:p>
        </w:tc>
        <w:tc>
          <w:tcPr>
            <w:tcW w:w="3890" w:type="pct"/>
            <w:vAlign w:val="center"/>
          </w:tcPr>
          <w:p w14:paraId="702039F6">
            <w:pPr>
              <w:pStyle w:val="62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left"/>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1"/>
                <w:sz w:val="21"/>
                <w:szCs w:val="21"/>
                <w:highlight w:val="none"/>
                <w14:textFill>
                  <w14:solidFill>
                    <w14:schemeClr w14:val="tx1"/>
                  </w14:solidFill>
                </w14:textFill>
              </w:rPr>
              <w:t>全生命周期口；长期跟踪</w:t>
            </w:r>
            <w:r>
              <w:rPr>
                <w:rFonts w:hint="default" w:ascii="Times New Roman" w:hAnsi="Times New Roman" w:cs="Times New Roman" w:eastAsiaTheme="minorEastAsia"/>
                <w:color w:val="000000" w:themeColor="text1"/>
                <w:spacing w:val="1"/>
                <w:sz w:val="21"/>
                <w:szCs w:val="2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pacing w:val="1"/>
                <w:sz w:val="21"/>
                <w:szCs w:val="21"/>
                <w:highlight w:val="none"/>
                <w14:textFill>
                  <w14:solidFill>
                    <w14:schemeClr w14:val="tx1"/>
                  </w14:solidFill>
                </w14:textFill>
              </w:rPr>
              <w:t>常规口；无□</w:t>
            </w:r>
          </w:p>
        </w:tc>
      </w:tr>
      <w:tr w14:paraId="7B80C3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jc w:val="center"/>
        </w:trPr>
        <w:tc>
          <w:tcPr>
            <w:tcW w:w="493" w:type="pct"/>
            <w:vMerge w:val="continue"/>
            <w:tcBorders>
              <w:top w:val="nil"/>
            </w:tcBorders>
            <w:vAlign w:val="center"/>
          </w:tcPr>
          <w:p w14:paraId="46C46A4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616" w:type="pct"/>
            <w:vAlign w:val="center"/>
          </w:tcPr>
          <w:p w14:paraId="5917D9C0">
            <w:pPr>
              <w:pStyle w:val="62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2"/>
                <w:sz w:val="21"/>
                <w:szCs w:val="21"/>
                <w:highlight w:val="none"/>
                <w14:textFill>
                  <w14:solidFill>
                    <w14:schemeClr w14:val="tx1"/>
                  </w14:solidFill>
                </w14:textFill>
              </w:rPr>
              <w:t>环境管理</w:t>
            </w:r>
          </w:p>
        </w:tc>
        <w:tc>
          <w:tcPr>
            <w:tcW w:w="3890" w:type="pct"/>
            <w:vAlign w:val="center"/>
          </w:tcPr>
          <w:p w14:paraId="1B2D8675">
            <w:pPr>
              <w:pStyle w:val="62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left"/>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1"/>
                <w:sz w:val="21"/>
                <w:szCs w:val="21"/>
                <w:highlight w:val="none"/>
                <w14:textFill>
                  <w14:solidFill>
                    <w14:schemeClr w14:val="tx1"/>
                  </w14:solidFill>
                </w14:textFill>
              </w:rPr>
              <w:t>环境监理☑</w:t>
            </w:r>
            <w:r>
              <w:rPr>
                <w:rFonts w:hint="default" w:ascii="Times New Roman" w:hAnsi="Times New Roman" w:cs="Times New Roman" w:eastAsiaTheme="minorEastAsia"/>
                <w:color w:val="000000" w:themeColor="text1"/>
                <w:spacing w:val="1"/>
                <w:sz w:val="21"/>
                <w:szCs w:val="2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pacing w:val="1"/>
                <w:sz w:val="21"/>
                <w:szCs w:val="21"/>
                <w:highlight w:val="none"/>
                <w14:textFill>
                  <w14:solidFill>
                    <w14:schemeClr w14:val="tx1"/>
                  </w14:solidFill>
                </w14:textFill>
              </w:rPr>
              <w:t>环境影响后评价□</w:t>
            </w:r>
            <w:r>
              <w:rPr>
                <w:rFonts w:hint="default" w:ascii="Times New Roman" w:hAnsi="Times New Roman" w:cs="Times New Roman" w:eastAsiaTheme="minorEastAsia"/>
                <w:color w:val="000000" w:themeColor="text1"/>
                <w:spacing w:val="1"/>
                <w:sz w:val="21"/>
                <w:szCs w:val="2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pacing w:val="1"/>
                <w:sz w:val="21"/>
                <w:szCs w:val="21"/>
                <w:highlight w:val="none"/>
                <w14:textFill>
                  <w14:solidFill>
                    <w14:schemeClr w14:val="tx1"/>
                  </w14:solidFill>
                </w14:textFill>
              </w:rPr>
              <w:t>其他口</w:t>
            </w:r>
          </w:p>
        </w:tc>
      </w:tr>
      <w:tr w14:paraId="7C68DA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0" w:hRule="atLeast"/>
          <w:jc w:val="center"/>
        </w:trPr>
        <w:tc>
          <w:tcPr>
            <w:tcW w:w="493" w:type="pct"/>
            <w:vAlign w:val="center"/>
          </w:tcPr>
          <w:p w14:paraId="4AF2BD3F">
            <w:pPr>
              <w:pStyle w:val="62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4"/>
                <w:sz w:val="21"/>
                <w:szCs w:val="21"/>
                <w:highlight w:val="none"/>
                <w14:textFill>
                  <w14:solidFill>
                    <w14:schemeClr w14:val="tx1"/>
                  </w14:solidFill>
                </w14:textFill>
              </w:rPr>
              <w:t>评价</w:t>
            </w:r>
            <w:r>
              <w:rPr>
                <w:rFonts w:hint="default" w:ascii="Times New Roman" w:hAnsi="Times New Roman" w:cs="Times New Roman" w:eastAsiaTheme="minorEastAsia"/>
                <w:color w:val="000000" w:themeColor="text1"/>
                <w:spacing w:val="5"/>
                <w:sz w:val="21"/>
                <w:szCs w:val="21"/>
                <w:highlight w:val="none"/>
                <w14:textFill>
                  <w14:solidFill>
                    <w14:schemeClr w14:val="tx1"/>
                  </w14:solidFill>
                </w14:textFill>
              </w:rPr>
              <w:t>结论</w:t>
            </w:r>
          </w:p>
        </w:tc>
        <w:tc>
          <w:tcPr>
            <w:tcW w:w="616" w:type="pct"/>
            <w:vAlign w:val="center"/>
          </w:tcPr>
          <w:p w14:paraId="27876E11">
            <w:pPr>
              <w:pStyle w:val="62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4"/>
                <w:sz w:val="21"/>
                <w:szCs w:val="21"/>
                <w:highlight w:val="none"/>
                <w14:textFill>
                  <w14:solidFill>
                    <w14:schemeClr w14:val="tx1"/>
                  </w14:solidFill>
                </w14:textFill>
              </w:rPr>
              <w:t>生态影响</w:t>
            </w:r>
          </w:p>
        </w:tc>
        <w:tc>
          <w:tcPr>
            <w:tcW w:w="3890" w:type="pct"/>
            <w:vAlign w:val="center"/>
          </w:tcPr>
          <w:p w14:paraId="27B56ABA">
            <w:pPr>
              <w:pStyle w:val="62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left"/>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4"/>
                <w:sz w:val="21"/>
                <w:szCs w:val="21"/>
                <w:highlight w:val="none"/>
                <w14:textFill>
                  <w14:solidFill>
                    <w14:schemeClr w14:val="tx1"/>
                  </w14:solidFill>
                </w14:textFill>
              </w:rPr>
              <w:t>可行</w:t>
            </w:r>
            <w:r>
              <w:rPr>
                <w:rFonts w:hint="default" w:ascii="Times New Roman" w:hAnsi="Times New Roman" w:cs="Times New Roman" w:eastAsiaTheme="minorEastAsia"/>
                <w:color w:val="000000" w:themeColor="text1"/>
                <w:spacing w:val="1"/>
                <w:sz w:val="21"/>
                <w:szCs w:val="21"/>
                <w:highlight w:val="none"/>
                <w14:textFill>
                  <w14:solidFill>
                    <w14:schemeClr w14:val="tx1"/>
                  </w14:solidFill>
                </w14:textFill>
              </w:rPr>
              <w:t>☑</w:t>
            </w:r>
            <w:r>
              <w:rPr>
                <w:rFonts w:hint="default" w:ascii="Times New Roman" w:hAnsi="Times New Roman" w:cs="Times New Roman" w:eastAsiaTheme="minorEastAsia"/>
                <w:color w:val="000000" w:themeColor="text1"/>
                <w:spacing w:val="4"/>
                <w:sz w:val="21"/>
                <w:szCs w:val="21"/>
                <w:highlight w:val="none"/>
                <w14:textFill>
                  <w14:solidFill>
                    <w14:schemeClr w14:val="tx1"/>
                  </w14:solidFill>
                </w14:textFill>
              </w:rPr>
              <w:t>；不可行口</w:t>
            </w:r>
          </w:p>
        </w:tc>
      </w:tr>
      <w:tr w14:paraId="240902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jc w:val="center"/>
        </w:trPr>
        <w:tc>
          <w:tcPr>
            <w:tcW w:w="5000" w:type="pct"/>
            <w:gridSpan w:val="3"/>
            <w:vAlign w:val="center"/>
          </w:tcPr>
          <w:p w14:paraId="240A2914">
            <w:pPr>
              <w:pStyle w:val="62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4"/>
                <w:sz w:val="21"/>
                <w:szCs w:val="21"/>
                <w:highlight w:val="none"/>
                <w14:textFill>
                  <w14:solidFill>
                    <w14:schemeClr w14:val="tx1"/>
                  </w14:solidFill>
                </w14:textFill>
              </w:rPr>
              <w:t>注：“□”为勾选项，可</w:t>
            </w:r>
            <w:r>
              <w:rPr>
                <w:rFonts w:hint="default" w:ascii="Times New Roman" w:hAnsi="Times New Roman" w:cs="Times New Roman" w:eastAsiaTheme="minorEastAsia"/>
                <w:color w:val="000000" w:themeColor="text1"/>
                <w:spacing w:val="-46"/>
                <w:sz w:val="21"/>
                <w:szCs w:val="21"/>
                <w:highlight w:val="none"/>
                <w14:textFill>
                  <w14:solidFill>
                    <w14:schemeClr w14:val="tx1"/>
                  </w14:solidFill>
                </w14:textFill>
              </w:rPr>
              <w:t xml:space="preserve"> </w:t>
            </w:r>
            <w:r>
              <w:rPr>
                <w:rFonts w:hint="default" w:ascii="Times New Roman" w:hAnsi="Times New Roman" w:cs="Times New Roman" w:eastAsiaTheme="minorEastAsia"/>
                <w:color w:val="000000" w:themeColor="text1"/>
                <w:spacing w:val="-4"/>
                <w:sz w:val="21"/>
                <w:szCs w:val="21"/>
                <w:highlight w:val="none"/>
                <w14:textFill>
                  <w14:solidFill>
                    <w14:schemeClr w14:val="tx1"/>
                  </w14:solidFill>
                </w14:textFill>
              </w:rPr>
              <w:t>√</w:t>
            </w:r>
            <w:r>
              <w:rPr>
                <w:rFonts w:hint="default" w:ascii="Times New Roman" w:hAnsi="Times New Roman" w:cs="Times New Roman" w:eastAsiaTheme="minorEastAsia"/>
                <w:color w:val="000000" w:themeColor="text1"/>
                <w:spacing w:val="-64"/>
                <w:sz w:val="21"/>
                <w:szCs w:val="21"/>
                <w:highlight w:val="none"/>
                <w14:textFill>
                  <w14:solidFill>
                    <w14:schemeClr w14:val="tx1"/>
                  </w14:solidFill>
                </w14:textFill>
              </w:rPr>
              <w:t xml:space="preserve"> </w:t>
            </w:r>
            <w:r>
              <w:rPr>
                <w:rFonts w:hint="default" w:ascii="Times New Roman" w:hAnsi="Times New Roman" w:cs="Times New Roman" w:eastAsiaTheme="minorEastAsia"/>
                <w:color w:val="000000" w:themeColor="text1"/>
                <w:spacing w:val="-4"/>
                <w:sz w:val="21"/>
                <w:szCs w:val="2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pacing w:val="-4"/>
                <w:sz w:val="21"/>
                <w:szCs w:val="21"/>
                <w:highlight w:val="none"/>
                <w14:textFill>
                  <w14:solidFill>
                    <w14:schemeClr w14:val="tx1"/>
                  </w14:solidFill>
                </w14:textFill>
              </w:rPr>
              <w:t>(    )为内容填</w:t>
            </w:r>
            <w:r>
              <w:rPr>
                <w:rFonts w:hint="default" w:ascii="Times New Roman" w:hAnsi="Times New Roman" w:cs="Times New Roman" w:eastAsiaTheme="minorEastAsia"/>
                <w:color w:val="000000" w:themeColor="text1"/>
                <w:spacing w:val="-5"/>
                <w:sz w:val="21"/>
                <w:szCs w:val="21"/>
                <w:highlight w:val="none"/>
                <w14:textFill>
                  <w14:solidFill>
                    <w14:schemeClr w14:val="tx1"/>
                  </w14:solidFill>
                </w14:textFill>
              </w:rPr>
              <w:t>写项。</w:t>
            </w:r>
          </w:p>
        </w:tc>
      </w:tr>
    </w:tbl>
    <w:p w14:paraId="2B536281">
      <w:pPr>
        <w:bidi w:val="0"/>
        <w:rPr>
          <w:rFonts w:hint="default" w:ascii="Times New Roman" w:hAnsi="Times New Roman" w:cs="Times New Roman" w:eastAsiaTheme="minorEastAsia"/>
          <w:color w:val="FF0000"/>
          <w:highlight w:val="none"/>
          <w:lang w:val="en-US" w:eastAsia="zh-CN"/>
        </w:rPr>
        <w:sectPr>
          <w:footerReference r:id="rId14" w:type="default"/>
          <w:pgSz w:w="11906" w:h="16838"/>
          <w:pgMar w:top="1417" w:right="1361" w:bottom="1417" w:left="1587" w:header="1134" w:footer="992" w:gutter="0"/>
          <w:pgBorders>
            <w:top w:val="none" w:sz="0" w:space="0"/>
            <w:left w:val="none" w:sz="0" w:space="0"/>
            <w:bottom w:val="none" w:sz="0" w:space="0"/>
            <w:right w:val="none" w:sz="0" w:space="0"/>
          </w:pgBorders>
          <w:pgNumType w:fmt="decimal"/>
          <w:cols w:space="720" w:num="1"/>
          <w:docGrid w:type="lines" w:linePitch="312" w:charSpace="0"/>
        </w:sectPr>
      </w:pPr>
    </w:p>
    <w:p w14:paraId="2C2DB058">
      <w:pPr>
        <w:pStyle w:val="11"/>
        <w:keepNext/>
        <w:keepLines/>
        <w:pageBreakBefore w:val="0"/>
        <w:widowControl w:val="0"/>
        <w:kinsoku/>
        <w:wordWrap/>
        <w:overflowPunct/>
        <w:topLinePunct w:val="0"/>
        <w:autoSpaceDE/>
        <w:autoSpaceDN/>
        <w:bidi w:val="0"/>
        <w:adjustRightInd/>
        <w:snapToGrid/>
        <w:ind w:left="0"/>
        <w:textAlignment w:val="auto"/>
        <w:outlineLvl w:val="2"/>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bookmarkStart w:id="472" w:name="_Toc3529"/>
      <w:bookmarkStart w:id="473" w:name="_Toc11641"/>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5.2.</w:t>
      </w:r>
      <w:r>
        <w:rPr>
          <w:rFonts w:hint="eastAsia" w:cs="Times New Roman" w:eastAsiaTheme="minorEastAsia"/>
          <w:color w:val="000000" w:themeColor="text1"/>
          <w:highlight w:val="none"/>
          <w:lang w:val="en-US" w:eastAsia="zh-CN"/>
          <w14:textFill>
            <w14:solidFill>
              <w14:schemeClr w14:val="tx1"/>
            </w14:solidFill>
          </w14:textFill>
        </w:rPr>
        <w:t>6</w:t>
      </w: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 xml:space="preserve"> 环境风险影响</w:t>
      </w:r>
      <w:bookmarkEnd w:id="472"/>
      <w:bookmarkEnd w:id="473"/>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分析</w:t>
      </w:r>
    </w:p>
    <w:p w14:paraId="4F6D9104">
      <w:pPr>
        <w:keepNext w:val="0"/>
        <w:keepLines w:val="0"/>
        <w:pageBreakBefore w:val="0"/>
        <w:widowControl w:val="0"/>
        <w:numPr>
          <w:ilvl w:val="0"/>
          <w:numId w:val="0"/>
        </w:numPr>
        <w:tabs>
          <w:tab w:val="left" w:pos="1260"/>
        </w:tabs>
        <w:kinsoku/>
        <w:wordWrap/>
        <w:overflowPunct/>
        <w:topLinePunct w:val="0"/>
        <w:autoSpaceDE/>
        <w:autoSpaceDN/>
        <w:bidi w:val="0"/>
        <w:adjustRightInd/>
        <w:snapToGrid/>
        <w:spacing w:line="360" w:lineRule="auto"/>
        <w:textAlignment w:val="auto"/>
        <w:outlineLvl w:val="9"/>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t>5.2.</w:t>
      </w:r>
      <w:r>
        <w:rPr>
          <w:rFonts w:hint="eastAsia" w:cs="Times New Roman" w:eastAsiaTheme="minorEastAsia"/>
          <w:b/>
          <w:bCs/>
          <w:snapToGrid w:val="0"/>
          <w:color w:val="000000" w:themeColor="text1"/>
          <w:kern w:val="0"/>
          <w:sz w:val="24"/>
          <w:highlight w:val="none"/>
          <w:lang w:val="en-US" w:eastAsia="zh-CN"/>
          <w14:textFill>
            <w14:solidFill>
              <w14:schemeClr w14:val="tx1"/>
            </w14:solidFill>
          </w14:textFill>
        </w:rPr>
        <w:t>6</w:t>
      </w:r>
      <w:r>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t>.1 评价依据</w:t>
      </w:r>
    </w:p>
    <w:p w14:paraId="56A1B8AA">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(1)风险源调查</w:t>
      </w:r>
    </w:p>
    <w:p w14:paraId="6A629228">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FF0000"/>
          <w:sz w:val="24"/>
          <w:highlight w:val="none"/>
          <w:lang w:val="en-US" w:eastAsia="zh-CN"/>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本项目风电场箱变采用干式变压器。</w:t>
      </w:r>
      <w:r>
        <w:rPr>
          <w:rFonts w:hint="eastAsia" w:ascii="宋体" w:hAnsi="宋体" w:eastAsia="宋体"/>
          <w:color w:val="000000" w:themeColor="text1"/>
          <w:sz w:val="24"/>
          <w14:textFill>
            <w14:solidFill>
              <w14:schemeClr w14:val="tx1"/>
            </w14:solidFill>
          </w14:textFill>
        </w:rPr>
        <w:t>风力发电机组中转动部件，如偏航轴承、变桨轴承、减速器齿轮、发电机轴承、液压控制系统等采用润滑油或润滑脂润滑。一般情况下</w:t>
      </w:r>
      <w:r>
        <w:rPr>
          <w:rFonts w:hint="eastAsia" w:ascii="TimesNewRomanPSMT" w:hAnsi="TimesNewRomanPSMT" w:eastAsia="TimesNewRomanPSMT"/>
          <w:color w:val="000000" w:themeColor="text1"/>
          <w:sz w:val="24"/>
          <w14:textFill>
            <w14:solidFill>
              <w14:schemeClr w14:val="tx1"/>
            </w14:solidFill>
          </w14:textFill>
        </w:rPr>
        <w:t>4</w:t>
      </w:r>
      <w:r>
        <w:rPr>
          <w:rFonts w:hint="eastAsia" w:ascii="宋体" w:hAnsi="宋体" w:eastAsia="宋体"/>
          <w:color w:val="000000" w:themeColor="text1"/>
          <w:sz w:val="24"/>
          <w14:textFill>
            <w14:solidFill>
              <w14:schemeClr w14:val="tx1"/>
            </w14:solidFill>
          </w14:textFill>
        </w:rPr>
        <w:t>～</w:t>
      </w:r>
      <w:r>
        <w:rPr>
          <w:rFonts w:hint="eastAsia" w:ascii="TimesNewRomanPSMT" w:hAnsi="TimesNewRomanPSMT" w:eastAsia="TimesNewRomanPSMT"/>
          <w:color w:val="000000" w:themeColor="text1"/>
          <w:sz w:val="24"/>
          <w14:textFill>
            <w14:solidFill>
              <w14:schemeClr w14:val="tx1"/>
            </w14:solidFill>
          </w14:textFill>
        </w:rPr>
        <w:t xml:space="preserve">5 </w:t>
      </w:r>
      <w:r>
        <w:rPr>
          <w:rFonts w:hint="eastAsia" w:ascii="宋体" w:hAnsi="宋体" w:eastAsia="宋体"/>
          <w:color w:val="000000" w:themeColor="text1"/>
          <w:sz w:val="24"/>
          <w14:textFill>
            <w14:solidFill>
              <w14:schemeClr w14:val="tx1"/>
            </w14:solidFill>
          </w14:textFill>
        </w:rPr>
        <w:t>年更换一次</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w:t>
      </w:r>
      <w:r>
        <w:rPr>
          <w:rFonts w:hint="eastAsia" w:cs="Times New Roman" w:eastAsiaTheme="minorEastAsia"/>
          <w:snapToGrid w:val="0"/>
          <w:color w:val="000000" w:themeColor="text1"/>
          <w:sz w:val="24"/>
          <w:highlight w:val="none"/>
          <w:lang w:val="en-US" w:eastAsia="zh-CN"/>
          <w14:textFill>
            <w14:solidFill>
              <w14:schemeClr w14:val="tx1"/>
            </w14:solidFill>
          </w14:textFill>
        </w:rPr>
        <w:t>检修及更换过程中</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有可能造成泄漏，污染环境。本项目生产设施和设备所涉及存在风险的物质主要为废</w:t>
      </w:r>
      <w:r>
        <w:rPr>
          <w:rFonts w:hint="eastAsia" w:cs="Times New Roman" w:eastAsiaTheme="minorEastAsia"/>
          <w:snapToGrid w:val="0"/>
          <w:color w:val="000000" w:themeColor="text1"/>
          <w:sz w:val="24"/>
          <w:highlight w:val="none"/>
          <w:lang w:val="en-US" w:eastAsia="zh-CN"/>
          <w14:textFill>
            <w14:solidFill>
              <w14:schemeClr w14:val="tx1"/>
            </w14:solidFill>
          </w14:textFill>
        </w:rPr>
        <w:t>矿物油</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w:t>
      </w:r>
    </w:p>
    <w:p w14:paraId="1BDA5C74">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(2)环境风险趋势初判</w:t>
      </w:r>
    </w:p>
    <w:p w14:paraId="58A009E5">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fldChar w:fldCharType="begin"/>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instrText xml:space="preserve"> = 1 \* GB3 \* MERGEFORMAT </w:instrTex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fldChar w:fldCharType="separate"/>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①</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fldChar w:fldCharType="end"/>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危险物质数量与临界量比值(Q)</w:t>
      </w:r>
    </w:p>
    <w:p w14:paraId="4CE93695">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根据《建设项目环境风险评价技术导则》(HJ 169-2018)，计算所涉及的每种危险物质在厂界内的最大存在总量与其在HJ169-2018附录B中对应临界量的比值Q。</w:t>
      </w:r>
    </w:p>
    <w:p w14:paraId="055FE7AF">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根据HJ169-2018附录C，按下式计算物质总量与其临界量比值(Q)：</w:t>
      </w:r>
    </w:p>
    <w:p w14:paraId="2C40E56B">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jc w:val="center"/>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object>
          <v:shape id="_x0000_i1027" o:spt="75" type="#_x0000_t75" style="height:34pt;width:101pt;" o:ole="t" filled="f" o:preferrelative="t" stroked="f" coordsize="21600,21600">
            <v:path/>
            <v:fill on="f" focussize="0,0"/>
            <v:stroke on="f"/>
            <v:imagedata r:id="rId38" o:title=""/>
            <o:lock v:ext="edit" aspectratio="t"/>
            <w10:wrap type="none"/>
            <w10:anchorlock/>
          </v:shape>
          <o:OLEObject Type="Embed" ProgID="Equation.KSEE3" ShapeID="_x0000_i1027" DrawAspect="Content" ObjectID="_1468075727" r:id="rId37">
            <o:LockedField>false</o:LockedField>
          </o:OLEObject>
        </w:object>
      </w:r>
    </w:p>
    <w:p w14:paraId="2AFC1119">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式中：q</w:t>
      </w:r>
      <w:r>
        <w:rPr>
          <w:rFonts w:hint="default" w:ascii="Times New Roman" w:hAnsi="Times New Roman" w:cs="Times New Roman" w:eastAsiaTheme="minorEastAsia"/>
          <w:snapToGrid w:val="0"/>
          <w:color w:val="000000" w:themeColor="text1"/>
          <w:sz w:val="24"/>
          <w:highlight w:val="none"/>
          <w:vertAlign w:val="subscript"/>
          <w:lang w:val="en-US" w:eastAsia="zh-CN"/>
          <w14:textFill>
            <w14:solidFill>
              <w14:schemeClr w14:val="tx1"/>
            </w14:solidFill>
          </w14:textFill>
        </w:rPr>
        <w:t>1</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，q</w:t>
      </w:r>
      <w:r>
        <w:rPr>
          <w:rFonts w:hint="default" w:ascii="Times New Roman" w:hAnsi="Times New Roman" w:cs="Times New Roman" w:eastAsiaTheme="minorEastAsia"/>
          <w:snapToGrid w:val="0"/>
          <w:color w:val="000000" w:themeColor="text1"/>
          <w:sz w:val="24"/>
          <w:highlight w:val="none"/>
          <w:vertAlign w:val="subscript"/>
          <w:lang w:val="en-US" w:eastAsia="zh-CN"/>
          <w14:textFill>
            <w14:solidFill>
              <w14:schemeClr w14:val="tx1"/>
            </w14:solidFill>
          </w14:textFill>
        </w:rPr>
        <w:t>2</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，...，qn——每种危险物质的最大存在总量，t；</w:t>
      </w:r>
    </w:p>
    <w:p w14:paraId="1FD4C387">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Q</w:t>
      </w:r>
      <w:r>
        <w:rPr>
          <w:rFonts w:hint="default" w:ascii="Times New Roman" w:hAnsi="Times New Roman" w:cs="Times New Roman" w:eastAsiaTheme="minorEastAsia"/>
          <w:snapToGrid w:val="0"/>
          <w:color w:val="000000" w:themeColor="text1"/>
          <w:sz w:val="24"/>
          <w:highlight w:val="none"/>
          <w:vertAlign w:val="subscript"/>
          <w:lang w:val="en-US" w:eastAsia="zh-CN"/>
          <w14:textFill>
            <w14:solidFill>
              <w14:schemeClr w14:val="tx1"/>
            </w14:solidFill>
          </w14:textFill>
        </w:rPr>
        <w:t>1</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，Q</w:t>
      </w:r>
      <w:r>
        <w:rPr>
          <w:rFonts w:hint="default" w:ascii="Times New Roman" w:hAnsi="Times New Roman" w:cs="Times New Roman" w:eastAsiaTheme="minorEastAsia"/>
          <w:snapToGrid w:val="0"/>
          <w:color w:val="000000" w:themeColor="text1"/>
          <w:sz w:val="24"/>
          <w:highlight w:val="none"/>
          <w:vertAlign w:val="subscript"/>
          <w:lang w:val="en-US" w:eastAsia="zh-CN"/>
          <w14:textFill>
            <w14:solidFill>
              <w14:schemeClr w14:val="tx1"/>
            </w14:solidFill>
          </w14:textFill>
        </w:rPr>
        <w:t>2</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，...，Q</w:t>
      </w:r>
      <w:r>
        <w:rPr>
          <w:rFonts w:hint="default" w:ascii="Times New Roman" w:hAnsi="Times New Roman" w:cs="Times New Roman" w:eastAsiaTheme="minorEastAsia"/>
          <w:snapToGrid w:val="0"/>
          <w:color w:val="000000" w:themeColor="text1"/>
          <w:sz w:val="24"/>
          <w:highlight w:val="none"/>
          <w:vertAlign w:val="subscript"/>
          <w:lang w:val="en-US" w:eastAsia="zh-CN"/>
          <w14:textFill>
            <w14:solidFill>
              <w14:schemeClr w14:val="tx1"/>
            </w14:solidFill>
          </w14:textFill>
        </w:rPr>
        <w:t>n</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——每种危险物质的临界量，t。</w:t>
      </w:r>
    </w:p>
    <w:p w14:paraId="792C5E4C">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当Q＜1时，该项目环境风险潜势为Ⅰ。</w:t>
      </w:r>
    </w:p>
    <w:p w14:paraId="44B6467D">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当Q≥1时，将Q值划分为：(1)1≤Q＜10；(2)10≤Q＜100；(3)Q≥100。</w:t>
      </w:r>
    </w:p>
    <w:p w14:paraId="1A92536D">
      <w:pPr>
        <w:keepNext w:val="0"/>
        <w:keepLines w:val="0"/>
        <w:pageBreakBefore w:val="0"/>
        <w:widowControl w:val="0"/>
        <w:kinsoku/>
        <w:wordWrap/>
        <w:overflowPunct/>
        <w:topLinePunct w:val="0"/>
        <w:autoSpaceDE/>
        <w:autoSpaceDN/>
        <w:bidi w:val="0"/>
        <w:adjustRightInd/>
        <w:snapToGrid w:val="0"/>
        <w:ind w:left="0" w:leftChars="0" w:firstLine="480" w:firstLineChars="200"/>
        <w:jc w:val="left"/>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根据《建设项目环境风险评价技术导则》(HJ 169-2018)附录B，本项目涉及的环境风险物质主要为</w:t>
      </w:r>
      <w:r>
        <w:rPr>
          <w:rFonts w:hint="eastAsia" w:cs="Times New Roman" w:eastAsiaTheme="minorEastAsia"/>
          <w:snapToGrid w:val="0"/>
          <w:color w:val="000000" w:themeColor="text1"/>
          <w:sz w:val="24"/>
          <w:highlight w:val="none"/>
          <w:lang w:val="en-US" w:eastAsia="zh-CN"/>
          <w14:textFill>
            <w14:solidFill>
              <w14:schemeClr w14:val="tx1"/>
            </w14:solidFill>
          </w14:textFill>
        </w:rPr>
        <w:t>矿物油，根据“3.2.2.2”章节相关分析结论，项目区</w:t>
      </w:r>
      <w:r>
        <w:rPr>
          <w:rFonts w:hint="eastAsia" w:ascii="宋体" w:hAnsi="宋体" w:eastAsia="宋体"/>
          <w:color w:val="000000" w:themeColor="text1"/>
          <w:sz w:val="24"/>
          <w14:textFill>
            <w14:solidFill>
              <w14:schemeClr w14:val="tx1"/>
            </w14:solidFill>
          </w14:textFill>
        </w:rPr>
        <w:t>每年产生废矿物油的最大产生量约为</w:t>
      </w:r>
      <w:r>
        <w:rPr>
          <w:rFonts w:hint="eastAsia" w:ascii="TimesNewRomanPSMT" w:hAnsi="TimesNewRomanPSMT" w:eastAsia="宋体"/>
          <w:color w:val="000000" w:themeColor="text1"/>
          <w:sz w:val="24"/>
          <w:lang w:val="en-US" w:eastAsia="zh-CN"/>
          <w14:textFill>
            <w14:solidFill>
              <w14:schemeClr w14:val="tx1"/>
            </w14:solidFill>
          </w14:textFill>
        </w:rPr>
        <w:t>62.5</w:t>
      </w:r>
      <w:r>
        <w:rPr>
          <w:rFonts w:hint="eastAsia" w:ascii="宋体" w:hAnsi="宋体" w:eastAsia="宋体"/>
          <w:color w:val="000000" w:themeColor="text1"/>
          <w:sz w:val="24"/>
          <w:lang w:val="en-US" w:eastAsia="zh-CN"/>
          <w14:textFill>
            <w14:solidFill>
              <w14:schemeClr w14:val="tx1"/>
            </w14:solidFill>
          </w14:textFill>
        </w:rPr>
        <w:t>kg</w:t>
      </w:r>
      <w:r>
        <w:rPr>
          <w:rFonts w:hint="eastAsia" w:ascii="TimesNewRomanPSMT" w:hAnsi="TimesNewRomanPSMT" w:eastAsia="TimesNewRomanPSMT"/>
          <w:color w:val="000000" w:themeColor="text1"/>
          <w:sz w:val="24"/>
          <w14:textFill>
            <w14:solidFill>
              <w14:schemeClr w14:val="tx1"/>
            </w14:solidFill>
          </w14:textFill>
        </w:rPr>
        <w:t>/</w:t>
      </w:r>
      <w:r>
        <w:rPr>
          <w:rFonts w:hint="eastAsia" w:ascii="宋体" w:hAnsi="宋体" w:eastAsia="宋体"/>
          <w:color w:val="000000" w:themeColor="text1"/>
          <w:sz w:val="24"/>
          <w:lang w:val="en-US" w:eastAsia="zh-CN"/>
          <w14:textFill>
            <w14:solidFill>
              <w14:schemeClr w14:val="tx1"/>
            </w14:solidFill>
          </w14:textFill>
        </w:rPr>
        <w:t>a</w:t>
      </w:r>
      <w:r>
        <w:rPr>
          <w:rFonts w:hint="eastAsia" w:ascii="宋体" w:hAnsi="宋体" w:eastAsia="宋体"/>
          <w:color w:val="000000" w:themeColor="text1"/>
          <w:sz w:val="24"/>
          <w14:textFill>
            <w14:solidFill>
              <w14:schemeClr w14:val="tx1"/>
            </w14:solidFill>
          </w14:textFill>
        </w:rPr>
        <w:t>。</w:t>
      </w:r>
    </w:p>
    <w:p w14:paraId="45BAB3A0">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与其临界量比值(Q)具体见下表。</w:t>
      </w:r>
    </w:p>
    <w:p w14:paraId="2F4444B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4"/>
          <w:szCs w:val="24"/>
          <w:highlight w:val="none"/>
          <w:lang w:eastAsia="zh-CN"/>
          <w14:textFill>
            <w14:solidFill>
              <w14:schemeClr w14:val="tx1"/>
            </w14:solidFill>
          </w14:textFill>
        </w:rPr>
      </w:pPr>
      <w:r>
        <w:rPr>
          <w:rFonts w:hint="default" w:ascii="Times New Roman" w:hAnsi="Times New Roman" w:cs="Times New Roman" w:eastAsiaTheme="minorEastAsia"/>
          <w:b/>
          <w:color w:val="000000" w:themeColor="text1"/>
          <w:sz w:val="24"/>
          <w:szCs w:val="24"/>
          <w:highlight w:val="none"/>
          <w14:textFill>
            <w14:solidFill>
              <w14:schemeClr w14:val="tx1"/>
            </w14:solidFill>
          </w14:textFill>
        </w:rPr>
        <w:t>表</w:t>
      </w:r>
      <w:r>
        <w:rPr>
          <w:rFonts w:hint="default" w:ascii="Times New Roman" w:hAnsi="Times New Roman" w:cs="Times New Roman" w:eastAsiaTheme="minorEastAsia"/>
          <w:b/>
          <w:color w:val="000000" w:themeColor="text1"/>
          <w:sz w:val="24"/>
          <w:szCs w:val="24"/>
          <w:highlight w:val="none"/>
          <w:lang w:val="en-US" w:eastAsia="zh-CN"/>
          <w14:textFill>
            <w14:solidFill>
              <w14:schemeClr w14:val="tx1"/>
            </w14:solidFill>
          </w14:textFill>
        </w:rPr>
        <w:t>5.2-19</w:t>
      </w:r>
      <w:r>
        <w:rPr>
          <w:rFonts w:hint="default" w:ascii="Times New Roman" w:hAnsi="Times New Roman" w:cs="Times New Roman" w:eastAsiaTheme="minorEastAsia"/>
          <w:b/>
          <w:color w:val="000000" w:themeColor="text1"/>
          <w:sz w:val="24"/>
          <w:szCs w:val="24"/>
          <w:highlight w:val="none"/>
          <w14:textFill>
            <w14:solidFill>
              <w14:schemeClr w14:val="tx1"/>
            </w14:solidFill>
          </w14:textFill>
        </w:rPr>
        <w:t xml:space="preserve">    本项目环境风险物质总量与其临界量比值</w:t>
      </w:r>
      <w:r>
        <w:rPr>
          <w:rFonts w:hint="default" w:ascii="Times New Roman" w:hAnsi="Times New Roman" w:cs="Times New Roman" w:eastAsiaTheme="minorEastAsia"/>
          <w:b/>
          <w:color w:val="000000" w:themeColor="text1"/>
          <w:sz w:val="24"/>
          <w:szCs w:val="24"/>
          <w:highlight w:val="none"/>
          <w:lang w:eastAsia="zh-CN"/>
          <w14:textFill>
            <w14:solidFill>
              <w14:schemeClr w14:val="tx1"/>
            </w14:solidFill>
          </w14:textFill>
        </w:rPr>
        <w:t>(</w:t>
      </w:r>
      <w:r>
        <w:rPr>
          <w:rFonts w:hint="default" w:ascii="Times New Roman" w:hAnsi="Times New Roman" w:cs="Times New Roman" w:eastAsiaTheme="minorEastAsia"/>
          <w:b/>
          <w:color w:val="000000" w:themeColor="text1"/>
          <w:sz w:val="24"/>
          <w:szCs w:val="24"/>
          <w:highlight w:val="none"/>
          <w14:textFill>
            <w14:solidFill>
              <w14:schemeClr w14:val="tx1"/>
            </w14:solidFill>
          </w14:textFill>
        </w:rPr>
        <w:t>Q</w:t>
      </w:r>
      <w:r>
        <w:rPr>
          <w:rFonts w:hint="default" w:ascii="Times New Roman" w:hAnsi="Times New Roman" w:cs="Times New Roman" w:eastAsiaTheme="minorEastAsia"/>
          <w:b/>
          <w:color w:val="000000" w:themeColor="text1"/>
          <w:sz w:val="24"/>
          <w:szCs w:val="24"/>
          <w:highlight w:val="none"/>
          <w:lang w:eastAsia="zh-CN"/>
          <w14:textFill>
            <w14:solidFill>
              <w14:schemeClr w14:val="tx1"/>
            </w14:solidFill>
          </w14:textFill>
        </w:rPr>
        <w:t>)</w:t>
      </w:r>
    </w:p>
    <w:tbl>
      <w:tblPr>
        <w:tblStyle w:val="75"/>
        <w:tblW w:w="907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2328"/>
        <w:gridCol w:w="721"/>
        <w:gridCol w:w="1060"/>
        <w:gridCol w:w="901"/>
        <w:gridCol w:w="1641"/>
        <w:gridCol w:w="1146"/>
        <w:gridCol w:w="1275"/>
      </w:tblGrid>
      <w:tr w14:paraId="4460CC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8" w:hRule="atLeast"/>
        </w:trPr>
        <w:tc>
          <w:tcPr>
            <w:tcW w:w="2328" w:type="dxa"/>
            <w:tcBorders>
              <w:tl2br w:val="nil"/>
              <w:tr2bl w:val="nil"/>
            </w:tcBorders>
            <w:vAlign w:val="center"/>
          </w:tcPr>
          <w:p w14:paraId="0C8A650C">
            <w:pPr>
              <w:keepNext w:val="0"/>
              <w:keepLines w:val="0"/>
              <w:pageBreakBefore w:val="0"/>
              <w:widowControl w:val="0"/>
              <w:tabs>
                <w:tab w:val="left" w:pos="905"/>
              </w:tabs>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物质名称</w:t>
            </w:r>
          </w:p>
        </w:tc>
        <w:tc>
          <w:tcPr>
            <w:tcW w:w="721" w:type="dxa"/>
            <w:tcBorders>
              <w:tl2br w:val="nil"/>
              <w:tr2bl w:val="nil"/>
            </w:tcBorders>
            <w:vAlign w:val="center"/>
          </w:tcPr>
          <w:p w14:paraId="5D871624">
            <w:pPr>
              <w:keepNext w:val="0"/>
              <w:keepLines w:val="0"/>
              <w:pageBreakBefore w:val="0"/>
              <w:widowControl w:val="0"/>
              <w:tabs>
                <w:tab w:val="left" w:pos="905"/>
              </w:tabs>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CAS号</w:t>
            </w:r>
          </w:p>
        </w:tc>
        <w:tc>
          <w:tcPr>
            <w:tcW w:w="1060" w:type="dxa"/>
            <w:tcBorders>
              <w:tl2br w:val="nil"/>
              <w:tr2bl w:val="nil"/>
            </w:tcBorders>
            <w:vAlign w:val="center"/>
          </w:tcPr>
          <w:p w14:paraId="616B169B">
            <w:pPr>
              <w:keepNext w:val="0"/>
              <w:keepLines w:val="0"/>
              <w:pageBreakBefore w:val="0"/>
              <w:widowControl w:val="0"/>
              <w:tabs>
                <w:tab w:val="left" w:pos="905"/>
              </w:tabs>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储存方式</w:t>
            </w:r>
          </w:p>
        </w:tc>
        <w:tc>
          <w:tcPr>
            <w:tcW w:w="901" w:type="dxa"/>
            <w:tcBorders>
              <w:tl2br w:val="nil"/>
              <w:tr2bl w:val="nil"/>
            </w:tcBorders>
            <w:vAlign w:val="center"/>
          </w:tcPr>
          <w:p w14:paraId="7547B49E">
            <w:pPr>
              <w:keepNext w:val="0"/>
              <w:keepLines w:val="0"/>
              <w:pageBreakBefore w:val="0"/>
              <w:widowControl w:val="0"/>
              <w:tabs>
                <w:tab w:val="left" w:pos="905"/>
              </w:tabs>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状态</w:t>
            </w:r>
          </w:p>
        </w:tc>
        <w:tc>
          <w:tcPr>
            <w:tcW w:w="1641" w:type="dxa"/>
            <w:tcBorders>
              <w:tl2br w:val="nil"/>
              <w:tr2bl w:val="nil"/>
            </w:tcBorders>
            <w:vAlign w:val="center"/>
          </w:tcPr>
          <w:p w14:paraId="7F8350DB">
            <w:pPr>
              <w:keepNext w:val="0"/>
              <w:keepLines w:val="0"/>
              <w:pageBreakBefore w:val="0"/>
              <w:widowControl w:val="0"/>
              <w:tabs>
                <w:tab w:val="left" w:pos="905"/>
              </w:tabs>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最大储存量</w:t>
            </w: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t</w:t>
            </w: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w:t>
            </w:r>
          </w:p>
        </w:tc>
        <w:tc>
          <w:tcPr>
            <w:tcW w:w="1146" w:type="dxa"/>
            <w:tcBorders>
              <w:tl2br w:val="nil"/>
              <w:tr2bl w:val="nil"/>
            </w:tcBorders>
            <w:vAlign w:val="center"/>
          </w:tcPr>
          <w:p w14:paraId="38161B12">
            <w:pPr>
              <w:keepNext w:val="0"/>
              <w:keepLines w:val="0"/>
              <w:pageBreakBefore w:val="0"/>
              <w:widowControl w:val="0"/>
              <w:tabs>
                <w:tab w:val="left" w:pos="905"/>
              </w:tabs>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临界量</w:t>
            </w: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t</w:t>
            </w: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w:t>
            </w:r>
          </w:p>
        </w:tc>
        <w:tc>
          <w:tcPr>
            <w:tcW w:w="1275" w:type="dxa"/>
            <w:tcBorders>
              <w:tl2br w:val="nil"/>
              <w:tr2bl w:val="nil"/>
            </w:tcBorders>
            <w:vAlign w:val="center"/>
          </w:tcPr>
          <w:p w14:paraId="3BFFB87E">
            <w:pPr>
              <w:keepNext w:val="0"/>
              <w:keepLines w:val="0"/>
              <w:pageBreakBefore w:val="0"/>
              <w:widowControl w:val="0"/>
              <w:tabs>
                <w:tab w:val="left" w:pos="905"/>
              </w:tabs>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该物质Q值</w:t>
            </w:r>
          </w:p>
        </w:tc>
      </w:tr>
      <w:tr w14:paraId="7085CD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732" w:hRule="atLeast"/>
        </w:trPr>
        <w:tc>
          <w:tcPr>
            <w:tcW w:w="2328" w:type="dxa"/>
            <w:tcBorders>
              <w:tl2br w:val="nil"/>
              <w:tr2bl w:val="nil"/>
            </w:tcBorders>
            <w:vAlign w:val="center"/>
          </w:tcPr>
          <w:p w14:paraId="10F21ED9">
            <w:pPr>
              <w:keepNext w:val="0"/>
              <w:keepLines w:val="0"/>
              <w:pageBreakBefore w:val="0"/>
              <w:widowControl w:val="0"/>
              <w:tabs>
                <w:tab w:val="left" w:pos="905"/>
              </w:tabs>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矿物油(液压油、润滑油)</w:t>
            </w:r>
          </w:p>
        </w:tc>
        <w:tc>
          <w:tcPr>
            <w:tcW w:w="721" w:type="dxa"/>
            <w:tcBorders>
              <w:tl2br w:val="nil"/>
              <w:tr2bl w:val="nil"/>
            </w:tcBorders>
            <w:vAlign w:val="center"/>
          </w:tcPr>
          <w:p w14:paraId="70E5C34D">
            <w:pPr>
              <w:keepNext w:val="0"/>
              <w:keepLines w:val="0"/>
              <w:pageBreakBefore w:val="0"/>
              <w:widowControl w:val="0"/>
              <w:tabs>
                <w:tab w:val="left" w:pos="905"/>
              </w:tabs>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w:t>
            </w:r>
          </w:p>
        </w:tc>
        <w:tc>
          <w:tcPr>
            <w:tcW w:w="1060" w:type="dxa"/>
            <w:tcBorders>
              <w:tl2br w:val="nil"/>
              <w:tr2bl w:val="nil"/>
            </w:tcBorders>
            <w:vAlign w:val="center"/>
          </w:tcPr>
          <w:p w14:paraId="43CF1E60">
            <w:pPr>
              <w:keepNext w:val="0"/>
              <w:keepLines w:val="0"/>
              <w:pageBreakBefore w:val="0"/>
              <w:widowControl w:val="0"/>
              <w:tabs>
                <w:tab w:val="left" w:pos="905"/>
              </w:tabs>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lang w:val="en-US"/>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机械设备</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内</w:t>
            </w:r>
          </w:p>
        </w:tc>
        <w:tc>
          <w:tcPr>
            <w:tcW w:w="901" w:type="dxa"/>
            <w:tcBorders>
              <w:tl2br w:val="nil"/>
              <w:tr2bl w:val="nil"/>
            </w:tcBorders>
            <w:vAlign w:val="center"/>
          </w:tcPr>
          <w:p w14:paraId="18907F74">
            <w:pPr>
              <w:keepNext w:val="0"/>
              <w:keepLines w:val="0"/>
              <w:pageBreakBefore w:val="0"/>
              <w:widowControl w:val="0"/>
              <w:tabs>
                <w:tab w:val="left" w:pos="905"/>
              </w:tabs>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液</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态</w:t>
            </w:r>
          </w:p>
        </w:tc>
        <w:tc>
          <w:tcPr>
            <w:tcW w:w="1641" w:type="dxa"/>
            <w:tcBorders>
              <w:tl2br w:val="nil"/>
              <w:tr2bl w:val="nil"/>
            </w:tcBorders>
            <w:vAlign w:val="center"/>
          </w:tcPr>
          <w:p w14:paraId="0B34D61F">
            <w:pPr>
              <w:keepNext w:val="0"/>
              <w:keepLines w:val="0"/>
              <w:pageBreakBefore w:val="0"/>
              <w:widowControl w:val="0"/>
              <w:tabs>
                <w:tab w:val="left" w:pos="905"/>
              </w:tabs>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0.0625</w:t>
            </w:r>
          </w:p>
        </w:tc>
        <w:tc>
          <w:tcPr>
            <w:tcW w:w="1146" w:type="dxa"/>
            <w:tcBorders>
              <w:tl2br w:val="nil"/>
              <w:tr2bl w:val="nil"/>
            </w:tcBorders>
            <w:vAlign w:val="center"/>
          </w:tcPr>
          <w:p w14:paraId="2A5FD59B">
            <w:pPr>
              <w:keepNext w:val="0"/>
              <w:keepLines w:val="0"/>
              <w:pageBreakBefore w:val="0"/>
              <w:widowControl w:val="0"/>
              <w:tabs>
                <w:tab w:val="left" w:pos="905"/>
              </w:tabs>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2500</w:t>
            </w:r>
          </w:p>
        </w:tc>
        <w:tc>
          <w:tcPr>
            <w:tcW w:w="1275" w:type="dxa"/>
            <w:tcBorders>
              <w:tl2br w:val="nil"/>
              <w:tr2bl w:val="nil"/>
            </w:tcBorders>
            <w:vAlign w:val="center"/>
          </w:tcPr>
          <w:p w14:paraId="3520EC4C">
            <w:pPr>
              <w:keepNext w:val="0"/>
              <w:keepLines w:val="0"/>
              <w:pageBreakBefore w:val="0"/>
              <w:widowControl w:val="0"/>
              <w:tabs>
                <w:tab w:val="left" w:pos="905"/>
              </w:tabs>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0.00</w:t>
            </w:r>
            <w:r>
              <w:rPr>
                <w:rFonts w:hint="eastAsia" w:cs="Times New Roman" w:eastAsiaTheme="minorEastAsia"/>
                <w:color w:val="000000" w:themeColor="text1"/>
                <w:sz w:val="21"/>
                <w:szCs w:val="21"/>
                <w:highlight w:val="none"/>
                <w:lang w:val="en-US" w:eastAsia="zh-CN"/>
                <w14:textFill>
                  <w14:solidFill>
                    <w14:schemeClr w14:val="tx1"/>
                  </w14:solidFill>
                </w14:textFill>
              </w:rPr>
              <w:t>0025</w:t>
            </w:r>
          </w:p>
        </w:tc>
      </w:tr>
      <w:tr w14:paraId="0EF6E8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76" w:hRule="atLeast"/>
        </w:trPr>
        <w:tc>
          <w:tcPr>
            <w:tcW w:w="7797" w:type="dxa"/>
            <w:gridSpan w:val="6"/>
            <w:tcBorders>
              <w:tl2br w:val="nil"/>
              <w:tr2bl w:val="nil"/>
            </w:tcBorders>
            <w:vAlign w:val="center"/>
          </w:tcPr>
          <w:p w14:paraId="452CD81E">
            <w:pPr>
              <w:keepNext w:val="0"/>
              <w:keepLines w:val="0"/>
              <w:pageBreakBefore w:val="0"/>
              <w:widowControl w:val="0"/>
              <w:tabs>
                <w:tab w:val="left" w:pos="905"/>
              </w:tabs>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合计</w:t>
            </w:r>
          </w:p>
        </w:tc>
        <w:tc>
          <w:tcPr>
            <w:tcW w:w="1275" w:type="dxa"/>
            <w:tcBorders>
              <w:tl2br w:val="nil"/>
              <w:tr2bl w:val="nil"/>
            </w:tcBorders>
            <w:vAlign w:val="center"/>
          </w:tcPr>
          <w:p w14:paraId="5686EF45">
            <w:pPr>
              <w:keepNext w:val="0"/>
              <w:keepLines w:val="0"/>
              <w:pageBreakBefore w:val="0"/>
              <w:widowControl w:val="0"/>
              <w:tabs>
                <w:tab w:val="left" w:pos="905"/>
              </w:tabs>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0.0</w:t>
            </w:r>
            <w:r>
              <w:rPr>
                <w:rFonts w:hint="eastAsia" w:cs="Times New Roman" w:eastAsiaTheme="minorEastAsia"/>
                <w:color w:val="000000" w:themeColor="text1"/>
                <w:sz w:val="21"/>
                <w:szCs w:val="21"/>
                <w:highlight w:val="none"/>
                <w:lang w:val="en-US" w:eastAsia="zh-CN"/>
                <w14:textFill>
                  <w14:solidFill>
                    <w14:schemeClr w14:val="tx1"/>
                  </w14:solidFill>
                </w14:textFill>
              </w:rPr>
              <w:t>00025</w:t>
            </w:r>
          </w:p>
        </w:tc>
      </w:tr>
    </w:tbl>
    <w:p w14:paraId="062E89B2">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FF0000"/>
          <w:sz w:val="24"/>
          <w:highlight w:val="none"/>
          <w:lang w:val="en-US" w:eastAsia="zh-CN"/>
        </w:rPr>
      </w:pPr>
    </w:p>
    <w:p w14:paraId="376E7528">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根据上表计算结果，本项目环境风险物质总量与其临界量比值Q＜1。</w:t>
      </w:r>
    </w:p>
    <w:p w14:paraId="662DDFC5">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②环境风险潜势判定</w:t>
      </w:r>
    </w:p>
    <w:p w14:paraId="0EDCAEE8">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本项目环境风险物质总量与其临界量比值Q＜1。根据</w:t>
      </w:r>
      <w:r>
        <w:rPr>
          <w:rFonts w:hint="default" w:ascii="Times New Roman" w:hAnsi="Times New Roman" w:cs="Times New Roman" w:eastAsiaTheme="minorEastAsia"/>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建设项目环境风险评价技术导则》(HJ 169-2018)可知，本项目环境风险趋势为</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fldChar w:fldCharType="begin"/>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instrText xml:space="preserve"> = 1 \* ROMAN </w:instrTex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fldChar w:fldCharType="separate"/>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I</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fldChar w:fldCharType="end"/>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w:t>
      </w:r>
    </w:p>
    <w:p w14:paraId="66F3C10A">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(3)环境风险评价等级</w:t>
      </w:r>
    </w:p>
    <w:p w14:paraId="7CA9D430">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根据《建设项目环境风险评价技术导则》(HJ169-2018)，环境风险评价等级判别，见下表。</w:t>
      </w:r>
    </w:p>
    <w:p w14:paraId="3F3177F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b/>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b/>
          <w:color w:val="000000" w:themeColor="text1"/>
          <w:sz w:val="24"/>
          <w:szCs w:val="24"/>
          <w:highlight w:val="none"/>
          <w14:textFill>
            <w14:solidFill>
              <w14:schemeClr w14:val="tx1"/>
            </w14:solidFill>
          </w14:textFill>
        </w:rPr>
        <w:t>表</w:t>
      </w:r>
      <w:r>
        <w:rPr>
          <w:rFonts w:hint="default" w:ascii="Times New Roman" w:hAnsi="Times New Roman" w:cs="Times New Roman" w:eastAsiaTheme="minorEastAsia"/>
          <w:b/>
          <w:color w:val="000000" w:themeColor="text1"/>
          <w:sz w:val="24"/>
          <w:szCs w:val="24"/>
          <w:highlight w:val="none"/>
          <w:lang w:val="en-US" w:eastAsia="zh-CN"/>
          <w14:textFill>
            <w14:solidFill>
              <w14:schemeClr w14:val="tx1"/>
            </w14:solidFill>
          </w14:textFill>
        </w:rPr>
        <w:t>5.2-20</w:t>
      </w:r>
      <w:r>
        <w:rPr>
          <w:rFonts w:hint="default" w:ascii="Times New Roman" w:hAnsi="Times New Roman" w:cs="Times New Roman" w:eastAsiaTheme="minorEastAsia"/>
          <w:b/>
          <w:color w:val="000000" w:themeColor="text1"/>
          <w:sz w:val="24"/>
          <w:szCs w:val="24"/>
          <w:highlight w:val="none"/>
          <w14:textFill>
            <w14:solidFill>
              <w14:schemeClr w14:val="tx1"/>
            </w14:solidFill>
          </w14:textFill>
        </w:rPr>
        <w:t xml:space="preserve">    环境风险评价工作等级划分表</w:t>
      </w:r>
    </w:p>
    <w:tbl>
      <w:tblPr>
        <w:tblStyle w:val="75"/>
        <w:tblW w:w="9168"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769"/>
        <w:gridCol w:w="1795"/>
        <w:gridCol w:w="2074"/>
        <w:gridCol w:w="1714"/>
        <w:gridCol w:w="1816"/>
      </w:tblGrid>
      <w:tr w14:paraId="6B303DA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0" w:hRule="atLeast"/>
          <w:jc w:val="center"/>
        </w:trPr>
        <w:tc>
          <w:tcPr>
            <w:tcW w:w="1769" w:type="dxa"/>
            <w:tcBorders>
              <w:top w:val="single" w:color="000000" w:sz="12" w:space="0"/>
              <w:left w:val="single" w:color="000000" w:sz="12" w:space="0"/>
              <w:bottom w:val="single" w:color="000000" w:sz="6" w:space="0"/>
              <w:right w:val="single" w:color="000000" w:sz="6" w:space="0"/>
            </w:tcBorders>
            <w:vAlign w:val="center"/>
          </w:tcPr>
          <w:p w14:paraId="7822CEC7">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环境风险潜势</w:t>
            </w:r>
          </w:p>
        </w:tc>
        <w:tc>
          <w:tcPr>
            <w:tcW w:w="1795" w:type="dxa"/>
            <w:tcBorders>
              <w:top w:val="single" w:color="000000" w:sz="12" w:space="0"/>
              <w:left w:val="single" w:color="000000" w:sz="6" w:space="0"/>
              <w:bottom w:val="single" w:color="000000" w:sz="6" w:space="0"/>
              <w:right w:val="single" w:color="000000" w:sz="6" w:space="0"/>
            </w:tcBorders>
            <w:vAlign w:val="center"/>
          </w:tcPr>
          <w:p w14:paraId="58B4061E">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Ⅳ、Ⅳ</w:t>
            </w:r>
            <w:r>
              <w:rPr>
                <w:rFonts w:hint="default" w:ascii="Times New Roman" w:hAnsi="Times New Roman" w:cs="Times New Roman" w:eastAsiaTheme="minorEastAsia"/>
                <w:color w:val="000000" w:themeColor="text1"/>
                <w:sz w:val="21"/>
                <w:szCs w:val="21"/>
                <w:highlight w:val="none"/>
                <w:vertAlign w:val="superscript"/>
                <w14:textFill>
                  <w14:solidFill>
                    <w14:schemeClr w14:val="tx1"/>
                  </w14:solidFill>
                </w14:textFill>
              </w:rPr>
              <w:t>＋</w:t>
            </w:r>
          </w:p>
        </w:tc>
        <w:tc>
          <w:tcPr>
            <w:tcW w:w="2074" w:type="dxa"/>
            <w:tcBorders>
              <w:top w:val="single" w:color="000000" w:sz="12" w:space="0"/>
              <w:left w:val="single" w:color="000000" w:sz="6" w:space="0"/>
              <w:bottom w:val="single" w:color="000000" w:sz="6" w:space="0"/>
              <w:right w:val="single" w:color="000000" w:sz="6" w:space="0"/>
            </w:tcBorders>
            <w:vAlign w:val="center"/>
          </w:tcPr>
          <w:p w14:paraId="6640394C">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color w:val="000000" w:themeColor="text1"/>
                <w:sz w:val="21"/>
                <w:szCs w:val="21"/>
                <w:highlight w:val="none"/>
                <w14:textFill>
                  <w14:solidFill>
                    <w14:schemeClr w14:val="tx1"/>
                  </w14:solidFill>
                </w14:textFill>
              </w:rPr>
              <w:t>Ⅲ</w:t>
            </w:r>
          </w:p>
        </w:tc>
        <w:tc>
          <w:tcPr>
            <w:tcW w:w="1714" w:type="dxa"/>
            <w:tcBorders>
              <w:top w:val="single" w:color="000000" w:sz="12" w:space="0"/>
              <w:left w:val="single" w:color="000000" w:sz="6" w:space="0"/>
              <w:bottom w:val="single" w:color="000000" w:sz="6" w:space="0"/>
              <w:right w:val="single" w:color="000000" w:sz="6" w:space="0"/>
            </w:tcBorders>
            <w:vAlign w:val="center"/>
          </w:tcPr>
          <w:p w14:paraId="681407F4">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Ⅱ</w:t>
            </w:r>
          </w:p>
        </w:tc>
        <w:tc>
          <w:tcPr>
            <w:tcW w:w="1816" w:type="dxa"/>
            <w:tcBorders>
              <w:top w:val="single" w:color="000000" w:sz="12" w:space="0"/>
              <w:left w:val="single" w:color="000000" w:sz="6" w:space="0"/>
              <w:bottom w:val="single" w:color="000000" w:sz="6" w:space="0"/>
              <w:right w:val="single" w:color="000000" w:sz="12" w:space="0"/>
            </w:tcBorders>
            <w:vAlign w:val="center"/>
          </w:tcPr>
          <w:p w14:paraId="229F1E22">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Ⅰ</w:t>
            </w:r>
          </w:p>
        </w:tc>
      </w:tr>
      <w:tr w14:paraId="29871B2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4" w:hRule="atLeast"/>
          <w:jc w:val="center"/>
        </w:trPr>
        <w:tc>
          <w:tcPr>
            <w:tcW w:w="1769" w:type="dxa"/>
            <w:tcBorders>
              <w:top w:val="single" w:color="000000" w:sz="6" w:space="0"/>
              <w:left w:val="single" w:color="000000" w:sz="12" w:space="0"/>
              <w:bottom w:val="single" w:color="000000" w:sz="6" w:space="0"/>
              <w:right w:val="single" w:color="000000" w:sz="6" w:space="0"/>
            </w:tcBorders>
            <w:vAlign w:val="center"/>
          </w:tcPr>
          <w:p w14:paraId="18F604BF">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评价工作等级</w:t>
            </w:r>
          </w:p>
        </w:tc>
        <w:tc>
          <w:tcPr>
            <w:tcW w:w="1795" w:type="dxa"/>
            <w:tcBorders>
              <w:top w:val="single" w:color="000000" w:sz="6" w:space="0"/>
              <w:left w:val="single" w:color="000000" w:sz="6" w:space="0"/>
              <w:bottom w:val="single" w:color="000000" w:sz="6" w:space="0"/>
              <w:right w:val="single" w:color="000000" w:sz="6" w:space="0"/>
            </w:tcBorders>
            <w:vAlign w:val="center"/>
          </w:tcPr>
          <w:p w14:paraId="4F75C665">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color w:val="000000" w:themeColor="text1"/>
                <w:sz w:val="21"/>
                <w:szCs w:val="21"/>
                <w:highlight w:val="none"/>
                <w14:textFill>
                  <w14:solidFill>
                    <w14:schemeClr w14:val="tx1"/>
                  </w14:solidFill>
                </w14:textFill>
              </w:rPr>
              <w:t>一</w:t>
            </w:r>
          </w:p>
        </w:tc>
        <w:tc>
          <w:tcPr>
            <w:tcW w:w="2074" w:type="dxa"/>
            <w:tcBorders>
              <w:top w:val="single" w:color="000000" w:sz="6" w:space="0"/>
              <w:left w:val="single" w:color="000000" w:sz="6" w:space="0"/>
              <w:bottom w:val="single" w:color="000000" w:sz="6" w:space="0"/>
              <w:right w:val="single" w:color="000000" w:sz="6" w:space="0"/>
            </w:tcBorders>
            <w:vAlign w:val="center"/>
          </w:tcPr>
          <w:p w14:paraId="71102CF0">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color w:val="000000" w:themeColor="text1"/>
                <w:sz w:val="21"/>
                <w:szCs w:val="21"/>
                <w:highlight w:val="none"/>
                <w14:textFill>
                  <w14:solidFill>
                    <w14:schemeClr w14:val="tx1"/>
                  </w14:solidFill>
                </w14:textFill>
              </w:rPr>
              <w:t>二</w:t>
            </w:r>
          </w:p>
        </w:tc>
        <w:tc>
          <w:tcPr>
            <w:tcW w:w="1714" w:type="dxa"/>
            <w:tcBorders>
              <w:top w:val="single" w:color="000000" w:sz="6" w:space="0"/>
              <w:left w:val="single" w:color="000000" w:sz="6" w:space="0"/>
              <w:bottom w:val="single" w:color="000000" w:sz="6" w:space="0"/>
              <w:right w:val="single" w:color="000000" w:sz="6" w:space="0"/>
            </w:tcBorders>
            <w:vAlign w:val="center"/>
          </w:tcPr>
          <w:p w14:paraId="06EAF7D5">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三</w:t>
            </w:r>
          </w:p>
        </w:tc>
        <w:tc>
          <w:tcPr>
            <w:tcW w:w="1816" w:type="dxa"/>
            <w:tcBorders>
              <w:top w:val="single" w:color="000000" w:sz="6" w:space="0"/>
              <w:left w:val="single" w:color="000000" w:sz="6" w:space="0"/>
              <w:bottom w:val="single" w:color="000000" w:sz="6" w:space="0"/>
              <w:right w:val="single" w:color="000000" w:sz="12" w:space="0"/>
            </w:tcBorders>
            <w:vAlign w:val="center"/>
          </w:tcPr>
          <w:p w14:paraId="7284DF80">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简单分析</w:t>
            </w:r>
            <w:r>
              <w:rPr>
                <w:rFonts w:hint="default" w:ascii="Times New Roman" w:hAnsi="Times New Roman" w:cs="Times New Roman" w:eastAsiaTheme="minorEastAsia"/>
                <w:color w:val="000000" w:themeColor="text1"/>
                <w:sz w:val="21"/>
                <w:szCs w:val="21"/>
                <w:highlight w:val="none"/>
                <w:vertAlign w:val="superscript"/>
                <w14:textFill>
                  <w14:solidFill>
                    <w14:schemeClr w14:val="tx1"/>
                  </w14:solidFill>
                </w14:textFill>
              </w:rPr>
              <w:t>a</w:t>
            </w:r>
          </w:p>
        </w:tc>
      </w:tr>
      <w:tr w14:paraId="4ED3176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705" w:hRule="atLeast"/>
          <w:jc w:val="center"/>
        </w:trPr>
        <w:tc>
          <w:tcPr>
            <w:tcW w:w="9168" w:type="dxa"/>
            <w:gridSpan w:val="5"/>
            <w:tcBorders>
              <w:top w:val="single" w:color="000000" w:sz="6" w:space="0"/>
              <w:left w:val="single" w:color="000000" w:sz="12" w:space="0"/>
              <w:bottom w:val="single" w:color="000000" w:sz="12" w:space="0"/>
              <w:right w:val="single" w:color="000000" w:sz="12" w:space="0"/>
            </w:tcBorders>
            <w:vAlign w:val="center"/>
          </w:tcPr>
          <w:p w14:paraId="7956A672">
            <w:pPr>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superscript"/>
                <w14:textFill>
                  <w14:solidFill>
                    <w14:schemeClr w14:val="tx1"/>
                  </w14:solidFill>
                </w14:textFill>
              </w:rPr>
              <w:t>a</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是相对于详细评价工作内容而言，在描述危险物质、环境影响途径、环境危害后果、风险防范措施等方面给出定性的说明。见附录A。</w:t>
            </w:r>
          </w:p>
        </w:tc>
      </w:tr>
    </w:tbl>
    <w:p w14:paraId="241F8EDF">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本项目环境风险趋势为</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fldChar w:fldCharType="begin"/>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instrText xml:space="preserve"> = 1 \* ROMAN </w:instrTex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fldChar w:fldCharType="separate"/>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I</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fldChar w:fldCharType="end"/>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级，因此，本项目环境风险评价工作等级判定为简单分析。</w:t>
      </w:r>
    </w:p>
    <w:p w14:paraId="4E47663C">
      <w:pPr>
        <w:keepNext w:val="0"/>
        <w:keepLines w:val="0"/>
        <w:pageBreakBefore w:val="0"/>
        <w:widowControl w:val="0"/>
        <w:numPr>
          <w:ilvl w:val="0"/>
          <w:numId w:val="0"/>
        </w:numPr>
        <w:tabs>
          <w:tab w:val="left" w:pos="1260"/>
        </w:tabs>
        <w:kinsoku/>
        <w:wordWrap/>
        <w:overflowPunct/>
        <w:topLinePunct w:val="0"/>
        <w:autoSpaceDE/>
        <w:autoSpaceDN/>
        <w:bidi w:val="0"/>
        <w:adjustRightInd/>
        <w:snapToGrid/>
        <w:spacing w:line="360" w:lineRule="auto"/>
        <w:textAlignment w:val="auto"/>
        <w:outlineLvl w:val="9"/>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t>5.2.</w:t>
      </w:r>
      <w:r>
        <w:rPr>
          <w:rFonts w:hint="eastAsia"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t>7</w:t>
      </w:r>
      <w:r>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t>.2 环境风险目标概况</w:t>
      </w:r>
    </w:p>
    <w:p w14:paraId="20726583">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本项目主要环境风险目标见下表：</w:t>
      </w:r>
    </w:p>
    <w:p w14:paraId="7B27C62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b/>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eastAsiaTheme="minorEastAsia"/>
          <w:b/>
          <w:color w:val="000000" w:themeColor="text1"/>
          <w:sz w:val="24"/>
          <w:szCs w:val="24"/>
          <w:highlight w:val="none"/>
          <w:lang w:val="en-US" w:eastAsia="zh-CN"/>
          <w14:textFill>
            <w14:solidFill>
              <w14:schemeClr w14:val="tx1"/>
            </w14:solidFill>
          </w14:textFill>
        </w:rPr>
        <w:t>表5.2-21    本项目环境风险目标一览表</w:t>
      </w:r>
    </w:p>
    <w:tbl>
      <w:tblPr>
        <w:tblStyle w:val="612"/>
        <w:tblW w:w="9130"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910"/>
        <w:gridCol w:w="2007"/>
        <w:gridCol w:w="2279"/>
        <w:gridCol w:w="1280"/>
        <w:gridCol w:w="2654"/>
      </w:tblGrid>
      <w:tr w14:paraId="7078FFA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910" w:type="dxa"/>
            <w:vMerge w:val="restart"/>
            <w:tcBorders>
              <w:tl2br w:val="nil"/>
              <w:tr2bl w:val="nil"/>
            </w:tcBorders>
            <w:vAlign w:val="center"/>
          </w:tcPr>
          <w:p w14:paraId="3AFFCC82">
            <w:pPr>
              <w:keepNext w:val="0"/>
              <w:keepLines w:val="0"/>
              <w:pageBreakBefore w:val="0"/>
              <w:widowControl w:val="0"/>
              <w:kinsoku/>
              <w:wordWrap w:val="0"/>
              <w:overflowPunct/>
              <w:topLinePunct/>
              <w:autoSpaceDE/>
              <w:autoSpaceDN/>
              <w:bidi w:val="0"/>
              <w:adjustRightInd/>
              <w:snapToGrid w:val="0"/>
              <w:spacing w:line="360" w:lineRule="exact"/>
              <w:ind w:left="0" w:leftChars="0"/>
              <w:jc w:val="center"/>
              <w:textAlignment w:val="auto"/>
              <w:rPr>
                <w:rFonts w:hint="default" w:ascii="Times New Roman" w:hAnsi="Times New Roman" w:cs="Times New Roman" w:eastAsiaTheme="minorEastAsia"/>
                <w:b w:val="0"/>
                <w:bCs w:val="0"/>
                <w:color w:val="000000" w:themeColor="text1"/>
                <w:spacing w:val="5"/>
                <w:position w:val="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pacing w:val="5"/>
                <w:position w:val="1"/>
                <w:sz w:val="21"/>
                <w:szCs w:val="21"/>
                <w:highlight w:val="none"/>
                <w:lang w:val="en-US" w:eastAsia="zh-CN"/>
                <w14:textFill>
                  <w14:solidFill>
                    <w14:schemeClr w14:val="tx1"/>
                  </w14:solidFill>
                </w14:textFill>
              </w:rPr>
              <w:t>环境</w:t>
            </w:r>
          </w:p>
          <w:p w14:paraId="6E60E6A8">
            <w:pPr>
              <w:keepNext w:val="0"/>
              <w:keepLines w:val="0"/>
              <w:pageBreakBefore w:val="0"/>
              <w:widowControl w:val="0"/>
              <w:kinsoku/>
              <w:wordWrap w:val="0"/>
              <w:overflowPunct/>
              <w:topLinePunct/>
              <w:autoSpaceDE/>
              <w:autoSpaceDN/>
              <w:bidi w:val="0"/>
              <w:adjustRightInd/>
              <w:snapToGrid w:val="0"/>
              <w:spacing w:line="360" w:lineRule="exact"/>
              <w:ind w:left="0" w:leftChars="0"/>
              <w:jc w:val="center"/>
              <w:textAlignment w:val="auto"/>
              <w:rPr>
                <w:rFonts w:hint="default" w:ascii="Times New Roman" w:hAnsi="Times New Roman" w:cs="Times New Roman" w:eastAsiaTheme="minorEastAsia"/>
                <w:b w:val="0"/>
                <w:bCs w:val="0"/>
                <w:color w:val="000000" w:themeColor="text1"/>
                <w:spacing w:val="5"/>
                <w:position w:val="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pacing w:val="5"/>
                <w:position w:val="1"/>
                <w:sz w:val="21"/>
                <w:szCs w:val="21"/>
                <w:highlight w:val="none"/>
                <w:lang w:val="en-US" w:eastAsia="zh-CN"/>
                <w14:textFill>
                  <w14:solidFill>
                    <w14:schemeClr w14:val="tx1"/>
                  </w14:solidFill>
                </w14:textFill>
              </w:rPr>
              <w:t>要素</w:t>
            </w:r>
          </w:p>
        </w:tc>
        <w:tc>
          <w:tcPr>
            <w:tcW w:w="2007" w:type="dxa"/>
            <w:tcBorders>
              <w:tl2br w:val="nil"/>
              <w:tr2bl w:val="nil"/>
            </w:tcBorders>
            <w:vAlign w:val="center"/>
          </w:tcPr>
          <w:p w14:paraId="1CA5CB36">
            <w:pPr>
              <w:keepNext w:val="0"/>
              <w:keepLines w:val="0"/>
              <w:pageBreakBefore w:val="0"/>
              <w:widowControl w:val="0"/>
              <w:kinsoku/>
              <w:wordWrap w:val="0"/>
              <w:overflowPunct/>
              <w:topLinePunct/>
              <w:autoSpaceDE/>
              <w:autoSpaceDN/>
              <w:bidi w:val="0"/>
              <w:adjustRightInd/>
              <w:snapToGrid w:val="0"/>
              <w:spacing w:line="360" w:lineRule="exact"/>
              <w:ind w:left="0" w:leftChars="0"/>
              <w:jc w:val="center"/>
              <w:textAlignment w:val="auto"/>
              <w:rPr>
                <w:rFonts w:hint="default" w:ascii="Times New Roman" w:hAnsi="Times New Roman" w:cs="Times New Roman" w:eastAsiaTheme="minorEastAsia"/>
                <w:b w:val="0"/>
                <w:bCs w:val="0"/>
                <w:color w:val="000000" w:themeColor="text1"/>
                <w:spacing w:val="5"/>
                <w:position w:val="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pacing w:val="5"/>
                <w:position w:val="1"/>
                <w:sz w:val="21"/>
                <w:szCs w:val="21"/>
                <w:highlight w:val="none"/>
                <w:lang w:val="en-US" w:eastAsia="zh-CN"/>
                <w14:textFill>
                  <w14:solidFill>
                    <w14:schemeClr w14:val="tx1"/>
                  </w14:solidFill>
                </w14:textFill>
              </w:rPr>
              <w:t>保护对象</w:t>
            </w:r>
          </w:p>
        </w:tc>
        <w:tc>
          <w:tcPr>
            <w:tcW w:w="2279" w:type="dxa"/>
            <w:tcBorders>
              <w:tl2br w:val="nil"/>
              <w:tr2bl w:val="nil"/>
            </w:tcBorders>
            <w:vAlign w:val="center"/>
          </w:tcPr>
          <w:p w14:paraId="5DC2F024">
            <w:pPr>
              <w:keepNext w:val="0"/>
              <w:keepLines w:val="0"/>
              <w:pageBreakBefore w:val="0"/>
              <w:widowControl w:val="0"/>
              <w:kinsoku/>
              <w:wordWrap w:val="0"/>
              <w:overflowPunct/>
              <w:topLinePunct/>
              <w:autoSpaceDE/>
              <w:autoSpaceDN/>
              <w:bidi w:val="0"/>
              <w:adjustRightInd/>
              <w:snapToGrid w:val="0"/>
              <w:spacing w:line="360" w:lineRule="exact"/>
              <w:ind w:left="0" w:leftChars="0"/>
              <w:jc w:val="center"/>
              <w:textAlignment w:val="auto"/>
              <w:rPr>
                <w:rFonts w:hint="default" w:ascii="Times New Roman" w:hAnsi="Times New Roman" w:cs="Times New Roman" w:eastAsiaTheme="minorEastAsia"/>
                <w:b w:val="0"/>
                <w:bCs w:val="0"/>
                <w:color w:val="000000" w:themeColor="text1"/>
                <w:spacing w:val="5"/>
                <w:position w:val="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pacing w:val="5"/>
                <w:position w:val="1"/>
                <w:sz w:val="21"/>
                <w:szCs w:val="21"/>
                <w:highlight w:val="none"/>
                <w:lang w:val="en-US" w:eastAsia="zh-CN"/>
                <w14:textFill>
                  <w14:solidFill>
                    <w14:schemeClr w14:val="tx1"/>
                  </w14:solidFill>
                </w14:textFill>
              </w:rPr>
              <w:t>相对本项目位置</w:t>
            </w:r>
          </w:p>
        </w:tc>
        <w:tc>
          <w:tcPr>
            <w:tcW w:w="1280" w:type="dxa"/>
            <w:vMerge w:val="restart"/>
            <w:tcBorders>
              <w:tl2br w:val="nil"/>
              <w:tr2bl w:val="nil"/>
            </w:tcBorders>
            <w:vAlign w:val="center"/>
          </w:tcPr>
          <w:p w14:paraId="7FA3A33D">
            <w:pPr>
              <w:keepNext w:val="0"/>
              <w:keepLines w:val="0"/>
              <w:pageBreakBefore w:val="0"/>
              <w:widowControl w:val="0"/>
              <w:kinsoku/>
              <w:wordWrap w:val="0"/>
              <w:overflowPunct/>
              <w:topLinePunct/>
              <w:autoSpaceDE/>
              <w:autoSpaceDN/>
              <w:bidi w:val="0"/>
              <w:adjustRightInd/>
              <w:snapToGrid w:val="0"/>
              <w:spacing w:line="360" w:lineRule="exact"/>
              <w:ind w:left="0" w:leftChars="0"/>
              <w:jc w:val="center"/>
              <w:textAlignment w:val="auto"/>
              <w:rPr>
                <w:rFonts w:hint="default" w:ascii="Times New Roman" w:hAnsi="Times New Roman" w:cs="Times New Roman" w:eastAsiaTheme="minorEastAsia"/>
                <w:b w:val="0"/>
                <w:bCs w:val="0"/>
                <w:color w:val="000000" w:themeColor="text1"/>
                <w:spacing w:val="5"/>
                <w:position w:val="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pacing w:val="5"/>
                <w:position w:val="1"/>
                <w:sz w:val="21"/>
                <w:szCs w:val="21"/>
                <w:highlight w:val="none"/>
                <w:lang w:val="en-US" w:eastAsia="zh-CN"/>
                <w14:textFill>
                  <w14:solidFill>
                    <w14:schemeClr w14:val="tx1"/>
                  </w14:solidFill>
                </w14:textFill>
              </w:rPr>
              <w:t>保护内容</w:t>
            </w:r>
          </w:p>
        </w:tc>
        <w:tc>
          <w:tcPr>
            <w:tcW w:w="2654" w:type="dxa"/>
            <w:vMerge w:val="restart"/>
            <w:tcBorders>
              <w:tl2br w:val="nil"/>
              <w:tr2bl w:val="nil"/>
            </w:tcBorders>
            <w:vAlign w:val="center"/>
          </w:tcPr>
          <w:p w14:paraId="0325E89B">
            <w:pPr>
              <w:keepNext w:val="0"/>
              <w:keepLines w:val="0"/>
              <w:pageBreakBefore w:val="0"/>
              <w:widowControl w:val="0"/>
              <w:kinsoku/>
              <w:wordWrap w:val="0"/>
              <w:overflowPunct/>
              <w:topLinePunct/>
              <w:autoSpaceDE/>
              <w:autoSpaceDN/>
              <w:bidi w:val="0"/>
              <w:adjustRightInd/>
              <w:snapToGrid w:val="0"/>
              <w:spacing w:line="360" w:lineRule="exact"/>
              <w:ind w:left="0" w:leftChars="0"/>
              <w:jc w:val="center"/>
              <w:textAlignment w:val="auto"/>
              <w:rPr>
                <w:rFonts w:hint="default" w:ascii="Times New Roman" w:hAnsi="Times New Roman" w:cs="Times New Roman" w:eastAsiaTheme="minorEastAsia"/>
                <w:b w:val="0"/>
                <w:bCs w:val="0"/>
                <w:color w:val="000000" w:themeColor="text1"/>
                <w:spacing w:val="5"/>
                <w:position w:val="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pacing w:val="5"/>
                <w:position w:val="1"/>
                <w:sz w:val="21"/>
                <w:szCs w:val="21"/>
                <w:highlight w:val="none"/>
                <w:lang w:val="en-US" w:eastAsia="zh-CN"/>
                <w14:textFill>
                  <w14:solidFill>
                    <w14:schemeClr w14:val="tx1"/>
                  </w14:solidFill>
                </w14:textFill>
              </w:rPr>
              <w:t>保护目标</w:t>
            </w:r>
          </w:p>
        </w:tc>
      </w:tr>
      <w:tr w14:paraId="22E793D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910" w:type="dxa"/>
            <w:vMerge w:val="restart"/>
            <w:tcBorders>
              <w:tl2br w:val="nil"/>
              <w:tr2bl w:val="nil"/>
            </w:tcBorders>
            <w:vAlign w:val="center"/>
          </w:tcPr>
          <w:p w14:paraId="3ECED68E">
            <w:pPr>
              <w:keepNext w:val="0"/>
              <w:keepLines w:val="0"/>
              <w:pageBreakBefore w:val="0"/>
              <w:widowControl w:val="0"/>
              <w:kinsoku/>
              <w:wordWrap w:val="0"/>
              <w:overflowPunct/>
              <w:topLinePunct/>
              <w:autoSpaceDE/>
              <w:autoSpaceDN/>
              <w:bidi w:val="0"/>
              <w:adjustRightInd/>
              <w:snapToGrid w:val="0"/>
              <w:spacing w:line="360" w:lineRule="exact"/>
              <w:ind w:left="0" w:leftChars="0"/>
              <w:jc w:val="center"/>
              <w:textAlignment w:val="auto"/>
              <w:rPr>
                <w:rFonts w:hint="default" w:ascii="Times New Roman" w:hAnsi="Times New Roman" w:cs="Times New Roman" w:eastAsiaTheme="minorEastAsia"/>
                <w:color w:val="000000" w:themeColor="text1"/>
                <w:spacing w:val="5"/>
                <w:position w:val="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pacing w:val="5"/>
                <w:position w:val="1"/>
                <w:sz w:val="21"/>
                <w:szCs w:val="21"/>
                <w:highlight w:val="none"/>
                <w:lang w:val="en-US" w:eastAsia="zh-CN"/>
                <w14:textFill>
                  <w14:solidFill>
                    <w14:schemeClr w14:val="tx1"/>
                  </w14:solidFill>
                </w14:textFill>
              </w:rPr>
              <w:t>地下水</w:t>
            </w:r>
          </w:p>
        </w:tc>
        <w:tc>
          <w:tcPr>
            <w:tcW w:w="2007" w:type="dxa"/>
            <w:tcBorders>
              <w:tl2br w:val="nil"/>
              <w:tr2bl w:val="nil"/>
            </w:tcBorders>
            <w:vAlign w:val="center"/>
          </w:tcPr>
          <w:p w14:paraId="53CF63E5">
            <w:pPr>
              <w:keepNext w:val="0"/>
              <w:keepLines w:val="0"/>
              <w:pageBreakBefore w:val="0"/>
              <w:widowControl w:val="0"/>
              <w:kinsoku/>
              <w:wordWrap/>
              <w:overflowPunct/>
              <w:topLinePunct w:val="0"/>
              <w:autoSpaceDE/>
              <w:autoSpaceDN/>
              <w:bidi w:val="0"/>
              <w:adjustRightInd w:val="0"/>
              <w:snapToGrid w:val="0"/>
              <w:spacing w:line="360" w:lineRule="exact"/>
              <w:ind w:left="0" w:leftChars="0"/>
              <w:jc w:val="center"/>
              <w:textAlignment w:val="auto"/>
              <w:rPr>
                <w:rFonts w:hint="default" w:ascii="Times New Roman" w:hAnsi="Times New Roman" w:cs="Times New Roman" w:eastAsiaTheme="minorEastAsia"/>
                <w:color w:val="000000" w:themeColor="text1"/>
                <w:spacing w:val="5"/>
                <w:position w:val="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pacing w:val="5"/>
                <w:position w:val="1"/>
                <w:sz w:val="21"/>
                <w:szCs w:val="21"/>
                <w:highlight w:val="none"/>
                <w:lang w:val="en-US" w:eastAsia="zh-CN"/>
                <w14:textFill>
                  <w14:solidFill>
                    <w14:schemeClr w14:val="tx1"/>
                  </w14:solidFill>
                </w14:textFill>
              </w:rPr>
              <w:t>西山地下饮用水源地二级保护区</w:t>
            </w:r>
          </w:p>
        </w:tc>
        <w:tc>
          <w:tcPr>
            <w:tcW w:w="2279" w:type="dxa"/>
            <w:tcBorders>
              <w:tl2br w:val="nil"/>
              <w:tr2bl w:val="nil"/>
            </w:tcBorders>
            <w:vAlign w:val="center"/>
          </w:tcPr>
          <w:p w14:paraId="6FCDE7D7">
            <w:pPr>
              <w:keepNext w:val="0"/>
              <w:keepLines w:val="0"/>
              <w:pageBreakBefore w:val="0"/>
              <w:widowControl w:val="0"/>
              <w:kinsoku/>
              <w:wordWrap/>
              <w:overflowPunct/>
              <w:topLinePunct w:val="0"/>
              <w:autoSpaceDE/>
              <w:autoSpaceDN/>
              <w:bidi w:val="0"/>
              <w:adjustRightInd w:val="0"/>
              <w:snapToGrid w:val="0"/>
              <w:spacing w:line="360" w:lineRule="exact"/>
              <w:ind w:left="0" w:leftChars="0"/>
              <w:jc w:val="center"/>
              <w:textAlignment w:val="auto"/>
              <w:rPr>
                <w:rFonts w:hint="default" w:ascii="Times New Roman" w:hAnsi="Times New Roman" w:cs="Times New Roman" w:eastAsiaTheme="minorEastAsia"/>
                <w:color w:val="000000" w:themeColor="text1"/>
                <w:spacing w:val="5"/>
                <w:position w:val="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pacing w:val="5"/>
                <w:position w:val="1"/>
                <w:sz w:val="21"/>
                <w:szCs w:val="21"/>
                <w:highlight w:val="none"/>
                <w:lang w:val="en-US" w:eastAsia="zh-CN"/>
                <w14:textFill>
                  <w14:solidFill>
                    <w14:schemeClr w14:val="tx1"/>
                  </w14:solidFill>
                </w14:textFill>
              </w:rPr>
              <w:t>3台风机（H5、H6、H9）占用</w:t>
            </w:r>
          </w:p>
        </w:tc>
        <w:tc>
          <w:tcPr>
            <w:tcW w:w="1280" w:type="dxa"/>
            <w:vMerge w:val="restart"/>
            <w:tcBorders>
              <w:tl2br w:val="nil"/>
              <w:tr2bl w:val="nil"/>
            </w:tcBorders>
            <w:vAlign w:val="center"/>
          </w:tcPr>
          <w:p w14:paraId="52D21072">
            <w:pPr>
              <w:keepNext w:val="0"/>
              <w:keepLines w:val="0"/>
              <w:pageBreakBefore w:val="0"/>
              <w:widowControl w:val="0"/>
              <w:kinsoku/>
              <w:wordWrap w:val="0"/>
              <w:overflowPunct/>
              <w:topLinePunct/>
              <w:autoSpaceDE/>
              <w:autoSpaceDN/>
              <w:bidi w:val="0"/>
              <w:adjustRightInd/>
              <w:snapToGrid w:val="0"/>
              <w:spacing w:line="360" w:lineRule="exact"/>
              <w:ind w:left="0" w:leftChars="0"/>
              <w:jc w:val="center"/>
              <w:textAlignment w:val="auto"/>
              <w:rPr>
                <w:rFonts w:hint="default" w:ascii="Times New Roman" w:hAnsi="Times New Roman" w:cs="Times New Roman" w:eastAsiaTheme="minorEastAsia"/>
                <w:color w:val="000000" w:themeColor="text1"/>
                <w:spacing w:val="5"/>
                <w:position w:val="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pacing w:val="5"/>
                <w:position w:val="1"/>
                <w:sz w:val="21"/>
                <w:szCs w:val="21"/>
                <w:highlight w:val="none"/>
                <w:lang w:val="en-US" w:eastAsia="zh-CN"/>
                <w14:textFill>
                  <w14:solidFill>
                    <w14:schemeClr w14:val="tx1"/>
                  </w14:solidFill>
                </w14:textFill>
              </w:rPr>
              <w:t>地下水水质</w:t>
            </w:r>
          </w:p>
        </w:tc>
        <w:tc>
          <w:tcPr>
            <w:tcW w:w="2654" w:type="dxa"/>
            <w:vMerge w:val="restart"/>
            <w:tcBorders>
              <w:tl2br w:val="nil"/>
              <w:tr2bl w:val="nil"/>
            </w:tcBorders>
            <w:vAlign w:val="center"/>
          </w:tcPr>
          <w:p w14:paraId="15C889BB">
            <w:pPr>
              <w:keepNext w:val="0"/>
              <w:keepLines w:val="0"/>
              <w:pageBreakBefore w:val="0"/>
              <w:widowControl w:val="0"/>
              <w:kinsoku/>
              <w:wordWrap w:val="0"/>
              <w:overflowPunct/>
              <w:topLinePunct/>
              <w:autoSpaceDE/>
              <w:autoSpaceDN/>
              <w:bidi w:val="0"/>
              <w:adjustRightInd/>
              <w:snapToGrid w:val="0"/>
              <w:spacing w:line="360" w:lineRule="exact"/>
              <w:ind w:left="0" w:leftChars="0"/>
              <w:jc w:val="center"/>
              <w:textAlignment w:val="auto"/>
              <w:rPr>
                <w:rFonts w:hint="default" w:ascii="Times New Roman" w:hAnsi="Times New Roman" w:cs="Times New Roman" w:eastAsiaTheme="minorEastAsia"/>
                <w:color w:val="000000" w:themeColor="text1"/>
                <w:spacing w:val="5"/>
                <w:position w:val="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pacing w:val="5"/>
                <w:position w:val="1"/>
                <w:sz w:val="21"/>
                <w:szCs w:val="21"/>
                <w:highlight w:val="none"/>
                <w:lang w:val="en-US" w:eastAsia="zh-CN"/>
                <w14:textFill>
                  <w14:solidFill>
                    <w14:schemeClr w14:val="tx1"/>
                  </w14:solidFill>
                </w14:textFill>
              </w:rPr>
              <w:t>《地下水质量标准》(GB/T14848-2017)Ⅲ类</w:t>
            </w:r>
          </w:p>
        </w:tc>
      </w:tr>
      <w:tr w14:paraId="21F4203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910" w:type="dxa"/>
            <w:vMerge w:val="continue"/>
            <w:tcBorders>
              <w:tl2br w:val="nil"/>
              <w:tr2bl w:val="nil"/>
            </w:tcBorders>
            <w:vAlign w:val="center"/>
          </w:tcPr>
          <w:p w14:paraId="27856AD0">
            <w:pPr>
              <w:keepNext w:val="0"/>
              <w:keepLines w:val="0"/>
              <w:pageBreakBefore w:val="0"/>
              <w:widowControl w:val="0"/>
              <w:kinsoku/>
              <w:wordWrap w:val="0"/>
              <w:overflowPunct/>
              <w:topLinePunct/>
              <w:autoSpaceDE/>
              <w:autoSpaceDN/>
              <w:bidi w:val="0"/>
              <w:adjustRightInd/>
              <w:snapToGrid w:val="0"/>
              <w:spacing w:line="360" w:lineRule="exact"/>
              <w:ind w:left="0" w:leftChars="0"/>
              <w:jc w:val="center"/>
              <w:textAlignment w:val="auto"/>
              <w:rPr>
                <w:rFonts w:hint="default" w:ascii="Times New Roman" w:hAnsi="Times New Roman" w:cs="Times New Roman" w:eastAsiaTheme="minorEastAsia"/>
                <w:color w:val="000000" w:themeColor="text1"/>
                <w:spacing w:val="5"/>
                <w:position w:val="1"/>
                <w:sz w:val="21"/>
                <w:szCs w:val="21"/>
                <w:highlight w:val="none"/>
                <w:lang w:val="en-US" w:eastAsia="zh-CN"/>
                <w14:textFill>
                  <w14:solidFill>
                    <w14:schemeClr w14:val="tx1"/>
                  </w14:solidFill>
                </w14:textFill>
              </w:rPr>
            </w:pPr>
          </w:p>
        </w:tc>
        <w:tc>
          <w:tcPr>
            <w:tcW w:w="2007" w:type="dxa"/>
            <w:tcBorders>
              <w:tl2br w:val="nil"/>
              <w:tr2bl w:val="nil"/>
            </w:tcBorders>
            <w:vAlign w:val="center"/>
          </w:tcPr>
          <w:p w14:paraId="1A7E4B11">
            <w:pPr>
              <w:keepNext w:val="0"/>
              <w:keepLines w:val="0"/>
              <w:pageBreakBefore w:val="0"/>
              <w:widowControl w:val="0"/>
              <w:kinsoku/>
              <w:wordWrap/>
              <w:overflowPunct/>
              <w:topLinePunct w:val="0"/>
              <w:autoSpaceDE/>
              <w:autoSpaceDN/>
              <w:bidi w:val="0"/>
              <w:adjustRightInd w:val="0"/>
              <w:snapToGrid w:val="0"/>
              <w:spacing w:line="360" w:lineRule="exact"/>
              <w:ind w:left="0" w:leftChars="0"/>
              <w:jc w:val="center"/>
              <w:textAlignment w:val="auto"/>
              <w:rPr>
                <w:rFonts w:hint="default" w:ascii="Times New Roman" w:hAnsi="Times New Roman" w:cs="Times New Roman" w:eastAsiaTheme="minorEastAsia"/>
                <w:color w:val="000000" w:themeColor="text1"/>
                <w:spacing w:val="5"/>
                <w:position w:val="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pacing w:val="5"/>
                <w:position w:val="1"/>
                <w:sz w:val="21"/>
                <w:szCs w:val="21"/>
                <w:highlight w:val="none"/>
                <w:lang w:val="en-US" w:eastAsia="zh-CN"/>
                <w14:textFill>
                  <w14:solidFill>
                    <w14:schemeClr w14:val="tx1"/>
                  </w14:solidFill>
                </w14:textFill>
              </w:rPr>
              <w:t>甘河子（含铁路专供）地下饮用水源地二级保护区</w:t>
            </w:r>
          </w:p>
        </w:tc>
        <w:tc>
          <w:tcPr>
            <w:tcW w:w="2279" w:type="dxa"/>
            <w:tcBorders>
              <w:tl2br w:val="nil"/>
              <w:tr2bl w:val="nil"/>
            </w:tcBorders>
            <w:vAlign w:val="center"/>
          </w:tcPr>
          <w:p w14:paraId="6C51DB4A">
            <w:pPr>
              <w:keepNext w:val="0"/>
              <w:keepLines w:val="0"/>
              <w:pageBreakBefore w:val="0"/>
              <w:widowControl w:val="0"/>
              <w:kinsoku/>
              <w:wordWrap/>
              <w:overflowPunct/>
              <w:topLinePunct w:val="0"/>
              <w:autoSpaceDE/>
              <w:autoSpaceDN/>
              <w:bidi w:val="0"/>
              <w:adjustRightInd w:val="0"/>
              <w:snapToGrid w:val="0"/>
              <w:spacing w:line="360" w:lineRule="exact"/>
              <w:ind w:left="0" w:leftChars="0"/>
              <w:jc w:val="center"/>
              <w:textAlignment w:val="auto"/>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pacing w:val="5"/>
                <w:position w:val="1"/>
                <w:sz w:val="21"/>
                <w:szCs w:val="21"/>
                <w:highlight w:val="none"/>
                <w:lang w:val="en-US" w:eastAsia="zh-CN"/>
                <w14:textFill>
                  <w14:solidFill>
                    <w14:schemeClr w14:val="tx1"/>
                  </w14:solidFill>
                </w14:textFill>
              </w:rPr>
              <w:t>3台风机(H1、H2、H3)占用</w:t>
            </w:r>
          </w:p>
        </w:tc>
        <w:tc>
          <w:tcPr>
            <w:tcW w:w="1280" w:type="dxa"/>
            <w:vMerge w:val="continue"/>
            <w:tcBorders>
              <w:tl2br w:val="nil"/>
              <w:tr2bl w:val="nil"/>
            </w:tcBorders>
            <w:vAlign w:val="center"/>
          </w:tcPr>
          <w:p w14:paraId="78B7FEA7">
            <w:pPr>
              <w:keepNext w:val="0"/>
              <w:keepLines w:val="0"/>
              <w:pageBreakBefore w:val="0"/>
              <w:widowControl w:val="0"/>
              <w:kinsoku/>
              <w:wordWrap w:val="0"/>
              <w:overflowPunct/>
              <w:topLinePunct/>
              <w:autoSpaceDE/>
              <w:autoSpaceDN/>
              <w:bidi w:val="0"/>
              <w:adjustRightInd/>
              <w:snapToGrid w:val="0"/>
              <w:spacing w:line="360" w:lineRule="exact"/>
              <w:ind w:left="0" w:leftChars="0"/>
              <w:jc w:val="center"/>
              <w:textAlignment w:val="auto"/>
              <w:rPr>
                <w:rFonts w:hint="default" w:ascii="Times New Roman" w:hAnsi="Times New Roman" w:cs="Times New Roman" w:eastAsiaTheme="minorEastAsia"/>
                <w:color w:val="FF0000"/>
                <w:spacing w:val="5"/>
                <w:position w:val="1"/>
                <w:sz w:val="21"/>
                <w:szCs w:val="21"/>
                <w:highlight w:val="none"/>
                <w:lang w:val="en-US" w:eastAsia="zh-CN"/>
              </w:rPr>
            </w:pPr>
          </w:p>
        </w:tc>
        <w:tc>
          <w:tcPr>
            <w:tcW w:w="2654" w:type="dxa"/>
            <w:vMerge w:val="continue"/>
            <w:tcBorders>
              <w:tl2br w:val="nil"/>
              <w:tr2bl w:val="nil"/>
            </w:tcBorders>
            <w:vAlign w:val="center"/>
          </w:tcPr>
          <w:p w14:paraId="7BF146D9">
            <w:pPr>
              <w:keepNext w:val="0"/>
              <w:keepLines w:val="0"/>
              <w:pageBreakBefore w:val="0"/>
              <w:widowControl w:val="0"/>
              <w:kinsoku/>
              <w:wordWrap w:val="0"/>
              <w:overflowPunct/>
              <w:topLinePunct/>
              <w:autoSpaceDE/>
              <w:autoSpaceDN/>
              <w:bidi w:val="0"/>
              <w:adjustRightInd/>
              <w:snapToGrid w:val="0"/>
              <w:spacing w:line="360" w:lineRule="exact"/>
              <w:ind w:left="0" w:leftChars="0"/>
              <w:jc w:val="center"/>
              <w:textAlignment w:val="auto"/>
              <w:rPr>
                <w:rFonts w:hint="default" w:ascii="Times New Roman" w:hAnsi="Times New Roman" w:cs="Times New Roman" w:eastAsiaTheme="minorEastAsia"/>
                <w:color w:val="FF0000"/>
                <w:spacing w:val="5"/>
                <w:position w:val="1"/>
                <w:sz w:val="21"/>
                <w:szCs w:val="21"/>
                <w:highlight w:val="none"/>
                <w:lang w:val="en-US" w:eastAsia="zh-CN"/>
              </w:rPr>
            </w:pPr>
          </w:p>
        </w:tc>
      </w:tr>
      <w:tr w14:paraId="0569EDA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910" w:type="dxa"/>
            <w:vMerge w:val="continue"/>
            <w:tcBorders>
              <w:tl2br w:val="nil"/>
              <w:tr2bl w:val="nil"/>
            </w:tcBorders>
            <w:vAlign w:val="center"/>
          </w:tcPr>
          <w:p w14:paraId="2F7AB1C1">
            <w:pPr>
              <w:keepNext w:val="0"/>
              <w:keepLines w:val="0"/>
              <w:pageBreakBefore w:val="0"/>
              <w:widowControl w:val="0"/>
              <w:kinsoku/>
              <w:wordWrap w:val="0"/>
              <w:overflowPunct/>
              <w:topLinePunct/>
              <w:autoSpaceDE/>
              <w:autoSpaceDN/>
              <w:bidi w:val="0"/>
              <w:adjustRightInd/>
              <w:snapToGrid w:val="0"/>
              <w:spacing w:line="360" w:lineRule="exact"/>
              <w:ind w:left="0" w:leftChars="0"/>
              <w:jc w:val="center"/>
              <w:textAlignment w:val="auto"/>
              <w:rPr>
                <w:rFonts w:hint="default" w:ascii="Times New Roman" w:hAnsi="Times New Roman" w:cs="Times New Roman" w:eastAsiaTheme="minorEastAsia"/>
                <w:color w:val="000000" w:themeColor="text1"/>
                <w:spacing w:val="5"/>
                <w:position w:val="1"/>
                <w:sz w:val="21"/>
                <w:szCs w:val="21"/>
                <w:highlight w:val="none"/>
                <w:lang w:val="en-US" w:eastAsia="zh-CN"/>
                <w14:textFill>
                  <w14:solidFill>
                    <w14:schemeClr w14:val="tx1"/>
                  </w14:solidFill>
                </w14:textFill>
              </w:rPr>
            </w:pPr>
          </w:p>
        </w:tc>
        <w:tc>
          <w:tcPr>
            <w:tcW w:w="2007" w:type="dxa"/>
            <w:tcBorders>
              <w:tl2br w:val="nil"/>
              <w:tr2bl w:val="nil"/>
            </w:tcBorders>
            <w:vAlign w:val="center"/>
          </w:tcPr>
          <w:p w14:paraId="7ED5D7BF">
            <w:pPr>
              <w:keepNext w:val="0"/>
              <w:keepLines w:val="0"/>
              <w:pageBreakBefore w:val="0"/>
              <w:widowControl w:val="0"/>
              <w:kinsoku/>
              <w:wordWrap/>
              <w:overflowPunct/>
              <w:topLinePunct w:val="0"/>
              <w:autoSpaceDE/>
              <w:autoSpaceDN/>
              <w:bidi w:val="0"/>
              <w:adjustRightInd w:val="0"/>
              <w:snapToGrid w:val="0"/>
              <w:spacing w:line="360" w:lineRule="exact"/>
              <w:ind w:left="0" w:leftChars="0"/>
              <w:jc w:val="center"/>
              <w:textAlignment w:val="auto"/>
              <w:rPr>
                <w:rFonts w:hint="default" w:ascii="Times New Roman" w:hAnsi="Times New Roman" w:cs="Times New Roman" w:eastAsiaTheme="minorEastAsia"/>
                <w:color w:val="000000" w:themeColor="text1"/>
                <w:spacing w:val="5"/>
                <w:position w:val="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pacing w:val="5"/>
                <w:position w:val="1"/>
                <w:sz w:val="21"/>
                <w:szCs w:val="21"/>
                <w:highlight w:val="none"/>
                <w:lang w:val="en-US" w:eastAsia="zh-CN"/>
                <w14:textFill>
                  <w14:solidFill>
                    <w14:schemeClr w14:val="tx1"/>
                  </w14:solidFill>
                </w14:textFill>
              </w:rPr>
              <w:t>乌拉泊、柴西、柴北、西山、甘河子（含铁路专供）准保护区</w:t>
            </w:r>
          </w:p>
        </w:tc>
        <w:tc>
          <w:tcPr>
            <w:tcW w:w="2279" w:type="dxa"/>
            <w:tcBorders>
              <w:tl2br w:val="nil"/>
              <w:tr2bl w:val="nil"/>
            </w:tcBorders>
            <w:vAlign w:val="center"/>
          </w:tcPr>
          <w:p w14:paraId="40800EDB">
            <w:pPr>
              <w:keepNext w:val="0"/>
              <w:keepLines w:val="0"/>
              <w:pageBreakBefore w:val="0"/>
              <w:widowControl w:val="0"/>
              <w:kinsoku/>
              <w:wordWrap/>
              <w:overflowPunct/>
              <w:topLinePunct w:val="0"/>
              <w:autoSpaceDE/>
              <w:autoSpaceDN/>
              <w:bidi w:val="0"/>
              <w:adjustRightInd w:val="0"/>
              <w:snapToGrid w:val="0"/>
              <w:spacing w:line="360" w:lineRule="exact"/>
              <w:ind w:left="0" w:leftChars="0"/>
              <w:jc w:val="center"/>
              <w:textAlignment w:val="auto"/>
              <w:rPr>
                <w:rFonts w:hint="default" w:ascii="Times New Roman" w:hAnsi="Times New Roman" w:cs="Times New Roman" w:eastAsiaTheme="minorEastAsia"/>
                <w:color w:val="000000" w:themeColor="text1"/>
                <w:spacing w:val="5"/>
                <w:position w:val="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pacing w:val="5"/>
                <w:position w:val="1"/>
                <w:sz w:val="21"/>
                <w:szCs w:val="21"/>
                <w:highlight w:val="none"/>
                <w:lang w:val="en-US" w:eastAsia="zh-CN"/>
                <w14:textFill>
                  <w14:solidFill>
                    <w14:schemeClr w14:val="tx1"/>
                  </w14:solidFill>
                </w14:textFill>
              </w:rPr>
              <w:t>7台风机(H4、H7、H8、H10-H13)占用</w:t>
            </w:r>
          </w:p>
        </w:tc>
        <w:tc>
          <w:tcPr>
            <w:tcW w:w="1280" w:type="dxa"/>
            <w:vMerge w:val="continue"/>
            <w:tcBorders>
              <w:tl2br w:val="nil"/>
              <w:tr2bl w:val="nil"/>
            </w:tcBorders>
            <w:vAlign w:val="center"/>
          </w:tcPr>
          <w:p w14:paraId="0A551886">
            <w:pPr>
              <w:keepNext w:val="0"/>
              <w:keepLines w:val="0"/>
              <w:pageBreakBefore w:val="0"/>
              <w:widowControl w:val="0"/>
              <w:kinsoku/>
              <w:wordWrap w:val="0"/>
              <w:overflowPunct/>
              <w:topLinePunct/>
              <w:autoSpaceDE/>
              <w:autoSpaceDN/>
              <w:bidi w:val="0"/>
              <w:adjustRightInd/>
              <w:snapToGrid w:val="0"/>
              <w:spacing w:line="360" w:lineRule="exact"/>
              <w:ind w:left="0" w:leftChars="0"/>
              <w:jc w:val="center"/>
              <w:textAlignment w:val="auto"/>
              <w:rPr>
                <w:rFonts w:hint="default" w:ascii="Times New Roman" w:hAnsi="Times New Roman" w:cs="Times New Roman" w:eastAsiaTheme="minorEastAsia"/>
                <w:color w:val="FF0000"/>
                <w:spacing w:val="5"/>
                <w:position w:val="1"/>
                <w:sz w:val="21"/>
                <w:szCs w:val="21"/>
                <w:highlight w:val="none"/>
                <w:lang w:val="en-US" w:eastAsia="zh-CN"/>
              </w:rPr>
            </w:pPr>
          </w:p>
        </w:tc>
        <w:tc>
          <w:tcPr>
            <w:tcW w:w="2654" w:type="dxa"/>
            <w:vMerge w:val="continue"/>
            <w:tcBorders>
              <w:tl2br w:val="nil"/>
              <w:tr2bl w:val="nil"/>
            </w:tcBorders>
            <w:vAlign w:val="center"/>
          </w:tcPr>
          <w:p w14:paraId="004BB1A4">
            <w:pPr>
              <w:keepNext w:val="0"/>
              <w:keepLines w:val="0"/>
              <w:pageBreakBefore w:val="0"/>
              <w:widowControl w:val="0"/>
              <w:kinsoku/>
              <w:wordWrap w:val="0"/>
              <w:overflowPunct/>
              <w:topLinePunct/>
              <w:autoSpaceDE/>
              <w:autoSpaceDN/>
              <w:bidi w:val="0"/>
              <w:adjustRightInd/>
              <w:snapToGrid w:val="0"/>
              <w:spacing w:line="360" w:lineRule="exact"/>
              <w:ind w:left="0" w:leftChars="0"/>
              <w:jc w:val="center"/>
              <w:textAlignment w:val="auto"/>
              <w:rPr>
                <w:rFonts w:hint="default" w:ascii="Times New Roman" w:hAnsi="Times New Roman" w:cs="Times New Roman" w:eastAsiaTheme="minorEastAsia"/>
                <w:color w:val="FF0000"/>
                <w:spacing w:val="5"/>
                <w:position w:val="1"/>
                <w:sz w:val="21"/>
                <w:szCs w:val="21"/>
                <w:highlight w:val="none"/>
                <w:lang w:val="en-US" w:eastAsia="zh-CN"/>
              </w:rPr>
            </w:pPr>
          </w:p>
        </w:tc>
      </w:tr>
    </w:tbl>
    <w:p w14:paraId="075EF884">
      <w:pPr>
        <w:keepNext w:val="0"/>
        <w:keepLines w:val="0"/>
        <w:pageBreakBefore w:val="0"/>
        <w:widowControl w:val="0"/>
        <w:numPr>
          <w:ilvl w:val="0"/>
          <w:numId w:val="0"/>
        </w:numPr>
        <w:tabs>
          <w:tab w:val="left" w:pos="1260"/>
        </w:tabs>
        <w:kinsoku/>
        <w:wordWrap/>
        <w:overflowPunct/>
        <w:topLinePunct w:val="0"/>
        <w:autoSpaceDE/>
        <w:autoSpaceDN/>
        <w:bidi w:val="0"/>
        <w:adjustRightInd/>
        <w:snapToGrid/>
        <w:spacing w:line="360" w:lineRule="auto"/>
        <w:textAlignment w:val="auto"/>
        <w:outlineLvl w:val="9"/>
        <w:rPr>
          <w:rFonts w:hint="default" w:ascii="Times New Roman" w:hAnsi="Times New Roman" w:cs="Times New Roman" w:eastAsiaTheme="minorEastAsia"/>
          <w:b/>
          <w:bCs/>
          <w:snapToGrid w:val="0"/>
          <w:color w:val="FF0000"/>
          <w:kern w:val="0"/>
          <w:sz w:val="24"/>
          <w:highlight w:val="none"/>
          <w:lang w:val="en-US" w:eastAsia="zh-CN"/>
        </w:rPr>
      </w:pPr>
    </w:p>
    <w:p w14:paraId="7AAAEDF8">
      <w:pPr>
        <w:keepNext w:val="0"/>
        <w:keepLines w:val="0"/>
        <w:pageBreakBefore w:val="0"/>
        <w:widowControl w:val="0"/>
        <w:numPr>
          <w:ilvl w:val="0"/>
          <w:numId w:val="0"/>
        </w:numPr>
        <w:tabs>
          <w:tab w:val="left" w:pos="1260"/>
        </w:tabs>
        <w:kinsoku/>
        <w:wordWrap/>
        <w:overflowPunct/>
        <w:topLinePunct w:val="0"/>
        <w:autoSpaceDE/>
        <w:autoSpaceDN/>
        <w:bidi w:val="0"/>
        <w:adjustRightInd/>
        <w:snapToGrid/>
        <w:spacing w:line="360" w:lineRule="auto"/>
        <w:textAlignment w:val="auto"/>
        <w:outlineLvl w:val="9"/>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t>5.2.8.3 风险识别</w:t>
      </w:r>
    </w:p>
    <w:p w14:paraId="552DF61B">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(1)物质危险性识别</w:t>
      </w:r>
    </w:p>
    <w:p w14:paraId="7105F00D">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本项目</w:t>
      </w:r>
      <w:r>
        <w:rPr>
          <w:rFonts w:hint="eastAsia" w:cs="Times New Roman" w:eastAsiaTheme="minorEastAsia"/>
          <w:snapToGrid w:val="0"/>
          <w:color w:val="000000" w:themeColor="text1"/>
          <w:sz w:val="24"/>
          <w:highlight w:val="none"/>
          <w:lang w:val="en-US" w:eastAsia="zh-CN"/>
          <w14:textFill>
            <w14:solidFill>
              <w14:schemeClr w14:val="tx1"/>
            </w14:solidFill>
          </w14:textFill>
        </w:rPr>
        <w:t>涉及的矿物油</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理化性质及危险特性见表5.2-22。</w:t>
      </w:r>
    </w:p>
    <w:p w14:paraId="11385CE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1687" w:firstLineChars="700"/>
        <w:jc w:val="both"/>
        <w:textAlignment w:val="auto"/>
        <w:rPr>
          <w:rFonts w:hint="default" w:ascii="Times New Roman" w:hAnsi="Times New Roman" w:cs="Times New Roman" w:eastAsiaTheme="minorEastAsia"/>
          <w:b/>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eastAsiaTheme="minorEastAsia"/>
          <w:b/>
          <w:color w:val="000000" w:themeColor="text1"/>
          <w:sz w:val="24"/>
          <w:szCs w:val="24"/>
          <w:highlight w:val="none"/>
          <w:lang w:val="en-US" w:eastAsia="zh-CN"/>
          <w14:textFill>
            <w14:solidFill>
              <w14:schemeClr w14:val="tx1"/>
            </w14:solidFill>
          </w14:textFill>
        </w:rPr>
        <w:t xml:space="preserve">表5.2-22   </w:t>
      </w:r>
      <w:r>
        <w:rPr>
          <w:rFonts w:hint="eastAsia" w:cs="Times New Roman" w:eastAsiaTheme="minorEastAsia"/>
          <w:b/>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cs="Times New Roman" w:eastAsiaTheme="minorEastAsia"/>
          <w:b/>
          <w:color w:val="000000" w:themeColor="text1"/>
          <w:sz w:val="24"/>
          <w:szCs w:val="24"/>
          <w:highlight w:val="none"/>
          <w:lang w:val="en-US" w:eastAsia="zh-CN"/>
          <w14:textFill>
            <w14:solidFill>
              <w14:schemeClr w14:val="tx1"/>
            </w14:solidFill>
          </w14:textFill>
        </w:rPr>
        <w:t xml:space="preserve"> </w:t>
      </w:r>
      <w:r>
        <w:rPr>
          <w:rFonts w:hint="eastAsia" w:cs="Times New Roman" w:eastAsiaTheme="minorEastAsia"/>
          <w:b/>
          <w:color w:val="000000" w:themeColor="text1"/>
          <w:sz w:val="24"/>
          <w:szCs w:val="24"/>
          <w:highlight w:val="none"/>
          <w:lang w:val="en-US" w:eastAsia="zh-CN"/>
          <w14:textFill>
            <w14:solidFill>
              <w14:schemeClr w14:val="tx1"/>
            </w14:solidFill>
          </w14:textFill>
        </w:rPr>
        <w:t>矿物油</w:t>
      </w:r>
      <w:r>
        <w:rPr>
          <w:rFonts w:hint="default" w:ascii="Times New Roman" w:hAnsi="Times New Roman" w:cs="Times New Roman" w:eastAsiaTheme="minorEastAsia"/>
          <w:b/>
          <w:color w:val="000000" w:themeColor="text1"/>
          <w:sz w:val="24"/>
          <w:szCs w:val="24"/>
          <w:highlight w:val="none"/>
          <w:lang w:val="en-US" w:eastAsia="zh-CN"/>
          <w14:textFill>
            <w14:solidFill>
              <w14:schemeClr w14:val="tx1"/>
            </w14:solidFill>
          </w14:textFill>
        </w:rPr>
        <w:t>油理化性质</w:t>
      </w:r>
    </w:p>
    <w:tbl>
      <w:tblPr>
        <w:tblStyle w:val="75"/>
        <w:tblW w:w="917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54"/>
        <w:gridCol w:w="1237"/>
        <w:gridCol w:w="2996"/>
        <w:gridCol w:w="3985"/>
      </w:tblGrid>
      <w:tr w14:paraId="12DD0E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4" w:type="dxa"/>
            <w:tcBorders>
              <w:tl2br w:val="nil"/>
              <w:tr2bl w:val="nil"/>
            </w:tcBorders>
            <w:vAlign w:val="center"/>
          </w:tcPr>
          <w:p w14:paraId="1B6316A3">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标识</w:t>
            </w:r>
          </w:p>
        </w:tc>
        <w:tc>
          <w:tcPr>
            <w:tcW w:w="8218" w:type="dxa"/>
            <w:gridSpan w:val="3"/>
            <w:tcBorders>
              <w:tl2br w:val="nil"/>
              <w:tr2bl w:val="nil"/>
            </w:tcBorders>
            <w:vAlign w:val="center"/>
          </w:tcPr>
          <w:p w14:paraId="0703E9D1">
            <w:pPr>
              <w:keepNext w:val="0"/>
              <w:keepLines w:val="0"/>
              <w:pageBreakBefore w:val="0"/>
              <w:kinsoku/>
              <w:wordWrap/>
              <w:overflowPunct/>
              <w:topLinePunct w:val="0"/>
              <w:autoSpaceDE/>
              <w:autoSpaceDN/>
              <w:bidi w:val="0"/>
              <w:adjustRightInd/>
              <w:snapToGrid/>
              <w:spacing w:line="240" w:lineRule="auto"/>
              <w:ind w:left="0" w:leftChars="0"/>
              <w:jc w:val="left"/>
              <w:textAlignment w:val="auto"/>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eastAsia="zh-CN"/>
                <w14:textFill>
                  <w14:solidFill>
                    <w14:schemeClr w14:val="tx1"/>
                  </w14:solidFill>
                </w14:textFill>
              </w:rPr>
              <w:t>中文名：</w:t>
            </w:r>
            <w:r>
              <w:rPr>
                <w:rFonts w:hint="eastAsia" w:cs="Times New Roman" w:eastAsiaTheme="minorEastAsia"/>
                <w:color w:val="000000" w:themeColor="text1"/>
                <w:sz w:val="21"/>
                <w:szCs w:val="21"/>
                <w:highlight w:val="none"/>
                <w:vertAlign w:val="baseline"/>
                <w:lang w:val="en-US" w:eastAsia="zh-CN"/>
                <w14:textFill>
                  <w14:solidFill>
                    <w14:schemeClr w14:val="tx1"/>
                  </w14:solidFill>
                </w14:textFill>
              </w:rPr>
              <w:t>矿物</w:t>
            </w:r>
            <w:r>
              <w:rPr>
                <w:rFonts w:hint="default" w:ascii="Times New Roman" w:hAnsi="Times New Roman" w:cs="Times New Roman" w:eastAsiaTheme="minorEastAsia"/>
                <w:color w:val="000000" w:themeColor="text1"/>
                <w:sz w:val="21"/>
                <w:szCs w:val="21"/>
                <w:highlight w:val="none"/>
                <w:vertAlign w:val="baseline"/>
                <w:lang w:eastAsia="zh-CN"/>
                <w14:textFill>
                  <w14:solidFill>
                    <w14:schemeClr w14:val="tx1"/>
                  </w14:solidFill>
                </w14:textFill>
              </w:rPr>
              <w:t>油</w:t>
            </w: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 xml:space="preserve">        英文名：</w:t>
            </w:r>
            <w:r>
              <w:rPr>
                <w:rFonts w:hint="default" w:ascii="Times New Roman" w:hAnsi="Times New Roman" w:cs="Times New Roman" w:eastAsiaTheme="minorEastAsia"/>
                <w:color w:val="000000" w:themeColor="text1"/>
                <w:sz w:val="21"/>
                <w:szCs w:val="21"/>
                <w:highlight w:val="none"/>
                <w:vertAlign w:val="baseline"/>
                <w:lang w:eastAsia="zh-CN"/>
                <w14:textFill>
                  <w14:solidFill>
                    <w14:schemeClr w14:val="tx1"/>
                  </w14:solidFill>
                </w14:textFill>
              </w:rPr>
              <w:t>mineral oil</w:t>
            </w:r>
          </w:p>
        </w:tc>
      </w:tr>
      <w:tr w14:paraId="783703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4" w:type="dxa"/>
            <w:vMerge w:val="restart"/>
            <w:tcBorders>
              <w:tl2br w:val="nil"/>
              <w:tr2bl w:val="nil"/>
            </w:tcBorders>
            <w:vAlign w:val="center"/>
          </w:tcPr>
          <w:p w14:paraId="141FD4DE">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eastAsia="zh-CN"/>
                <w14:textFill>
                  <w14:solidFill>
                    <w14:schemeClr w14:val="tx1"/>
                  </w14:solidFill>
                </w14:textFill>
              </w:rPr>
              <w:t>理化性质</w:t>
            </w:r>
          </w:p>
        </w:tc>
        <w:tc>
          <w:tcPr>
            <w:tcW w:w="8218" w:type="dxa"/>
            <w:gridSpan w:val="3"/>
            <w:tcBorders>
              <w:tl2br w:val="nil"/>
              <w:tr2bl w:val="nil"/>
            </w:tcBorders>
            <w:vAlign w:val="center"/>
          </w:tcPr>
          <w:p w14:paraId="44F0F727">
            <w:pPr>
              <w:keepNext w:val="0"/>
              <w:keepLines w:val="0"/>
              <w:pageBreakBefore w:val="0"/>
              <w:kinsoku/>
              <w:wordWrap/>
              <w:overflowPunct/>
              <w:topLinePunct w:val="0"/>
              <w:autoSpaceDE/>
              <w:autoSpaceDN/>
              <w:bidi w:val="0"/>
              <w:adjustRightInd/>
              <w:snapToGrid/>
              <w:spacing w:line="240" w:lineRule="auto"/>
              <w:ind w:left="0" w:leftChars="0"/>
              <w:jc w:val="left"/>
              <w:textAlignment w:val="auto"/>
              <w:rPr>
                <w:rFonts w:hint="default" w:ascii="Times New Roman" w:hAnsi="Times New Roman" w:cs="Times New Roman" w:eastAsiaTheme="minorEastAsia"/>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eastAsia="zh-CN"/>
                <w14:textFill>
                  <w14:solidFill>
                    <w14:schemeClr w14:val="tx1"/>
                  </w14:solidFill>
                </w14:textFill>
              </w:rPr>
              <w:t>外观与性状：浅色液体</w:t>
            </w:r>
          </w:p>
        </w:tc>
      </w:tr>
      <w:tr w14:paraId="16DC3F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4" w:type="dxa"/>
            <w:vMerge w:val="continue"/>
            <w:tcBorders>
              <w:tl2br w:val="nil"/>
              <w:tr2bl w:val="nil"/>
            </w:tcBorders>
            <w:vAlign w:val="center"/>
          </w:tcPr>
          <w:p w14:paraId="7F299DD4">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vertAlign w:val="baseline"/>
                <w14:textFill>
                  <w14:solidFill>
                    <w14:schemeClr w14:val="tx1"/>
                  </w14:solidFill>
                </w14:textFill>
              </w:rPr>
            </w:pPr>
          </w:p>
        </w:tc>
        <w:tc>
          <w:tcPr>
            <w:tcW w:w="4233" w:type="dxa"/>
            <w:gridSpan w:val="2"/>
            <w:tcBorders>
              <w:tl2br w:val="nil"/>
              <w:tr2bl w:val="nil"/>
            </w:tcBorders>
            <w:vAlign w:val="center"/>
          </w:tcPr>
          <w:p w14:paraId="6F3B33EE">
            <w:pPr>
              <w:keepNext w:val="0"/>
              <w:keepLines w:val="0"/>
              <w:pageBreakBefore w:val="0"/>
              <w:kinsoku/>
              <w:wordWrap/>
              <w:overflowPunct/>
              <w:topLinePunct w:val="0"/>
              <w:autoSpaceDE/>
              <w:autoSpaceDN/>
              <w:bidi w:val="0"/>
              <w:adjustRightInd/>
              <w:snapToGrid/>
              <w:spacing w:line="240" w:lineRule="auto"/>
              <w:ind w:left="0" w:leftChars="0"/>
              <w:jc w:val="left"/>
              <w:textAlignment w:val="auto"/>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eastAsia="zh-CN"/>
                <w14:textFill>
                  <w14:solidFill>
                    <w14:schemeClr w14:val="tx1"/>
                  </w14:solidFill>
                </w14:textFill>
              </w:rPr>
              <w:t>闪点(℃)：＞</w:t>
            </w: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1</w:t>
            </w:r>
            <w:r>
              <w:rPr>
                <w:rFonts w:hint="eastAsia" w:cs="Times New Roman" w:eastAsiaTheme="minorEastAsia"/>
                <w:color w:val="000000" w:themeColor="text1"/>
                <w:sz w:val="21"/>
                <w:szCs w:val="21"/>
                <w:highlight w:val="none"/>
                <w:vertAlign w:val="baseline"/>
                <w:lang w:val="en-US" w:eastAsia="zh-CN"/>
                <w14:textFill>
                  <w14:solidFill>
                    <w14:schemeClr w14:val="tx1"/>
                  </w14:solidFill>
                </w14:textFill>
              </w:rPr>
              <w:t>85</w:t>
            </w: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w:t>
            </w:r>
          </w:p>
        </w:tc>
        <w:tc>
          <w:tcPr>
            <w:tcW w:w="3985" w:type="dxa"/>
            <w:tcBorders>
              <w:tl2br w:val="nil"/>
              <w:tr2bl w:val="nil"/>
            </w:tcBorders>
            <w:vAlign w:val="center"/>
          </w:tcPr>
          <w:p w14:paraId="6B2CA3D5">
            <w:pPr>
              <w:keepNext w:val="0"/>
              <w:keepLines w:val="0"/>
              <w:pageBreakBefore w:val="0"/>
              <w:kinsoku/>
              <w:wordWrap/>
              <w:overflowPunct/>
              <w:topLinePunct w:val="0"/>
              <w:autoSpaceDE/>
              <w:autoSpaceDN/>
              <w:bidi w:val="0"/>
              <w:adjustRightInd/>
              <w:snapToGrid/>
              <w:spacing w:line="240" w:lineRule="auto"/>
              <w:ind w:left="0" w:leftChars="0"/>
              <w:jc w:val="left"/>
              <w:textAlignment w:val="auto"/>
              <w:rPr>
                <w:rFonts w:hint="default" w:ascii="Times New Roman" w:hAnsi="Times New Roman" w:cs="Times New Roman" w:eastAsiaTheme="minorEastAsia"/>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eastAsia="zh-CN"/>
                <w14:textFill>
                  <w14:solidFill>
                    <w14:schemeClr w14:val="tx1"/>
                  </w14:solidFill>
                </w14:textFill>
              </w:rPr>
              <w:t>自燃点(℃)：</w:t>
            </w: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vertAlign w:val="baseline"/>
                <w:lang w:eastAsia="zh-CN"/>
                <w14:textFill>
                  <w14:solidFill>
                    <w14:schemeClr w14:val="tx1"/>
                  </w14:solidFill>
                </w14:textFill>
              </w:rPr>
              <w:t>270°C</w:t>
            </w:r>
          </w:p>
        </w:tc>
      </w:tr>
      <w:tr w14:paraId="0C9A0B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4" w:type="dxa"/>
            <w:vMerge w:val="continue"/>
            <w:tcBorders>
              <w:tl2br w:val="nil"/>
              <w:tr2bl w:val="nil"/>
            </w:tcBorders>
            <w:vAlign w:val="center"/>
          </w:tcPr>
          <w:p w14:paraId="56D2C184">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FF0000"/>
                <w:sz w:val="21"/>
                <w:szCs w:val="21"/>
                <w:highlight w:val="none"/>
                <w:vertAlign w:val="baseline"/>
              </w:rPr>
            </w:pPr>
          </w:p>
        </w:tc>
        <w:tc>
          <w:tcPr>
            <w:tcW w:w="4233" w:type="dxa"/>
            <w:gridSpan w:val="2"/>
            <w:tcBorders>
              <w:tl2br w:val="nil"/>
              <w:tr2bl w:val="nil"/>
            </w:tcBorders>
            <w:vAlign w:val="center"/>
          </w:tcPr>
          <w:p w14:paraId="6BE53185">
            <w:pPr>
              <w:keepNext w:val="0"/>
              <w:keepLines w:val="0"/>
              <w:pageBreakBefore w:val="0"/>
              <w:kinsoku/>
              <w:wordWrap/>
              <w:overflowPunct/>
              <w:topLinePunct w:val="0"/>
              <w:autoSpaceDE/>
              <w:autoSpaceDN/>
              <w:bidi w:val="0"/>
              <w:adjustRightInd/>
              <w:snapToGrid/>
              <w:spacing w:line="240" w:lineRule="auto"/>
              <w:ind w:left="0" w:leftChars="0"/>
              <w:jc w:val="left"/>
              <w:textAlignment w:val="auto"/>
              <w:rPr>
                <w:rFonts w:hint="default" w:ascii="Times New Roman" w:hAnsi="Times New Roman" w:cs="Times New Roman" w:eastAsiaTheme="minorEastAsia"/>
                <w:color w:val="000000" w:themeColor="text1"/>
                <w:sz w:val="21"/>
                <w:szCs w:val="21"/>
                <w:highlight w:val="none"/>
                <w:vertAlign w:val="baseli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14:textFill>
                  <w14:solidFill>
                    <w14:schemeClr w14:val="tx1"/>
                  </w14:solidFill>
                </w14:textFill>
              </w:rPr>
              <w:t>初馏点</w:t>
            </w:r>
            <w:r>
              <w:rPr>
                <w:rFonts w:hint="default" w:ascii="Times New Roman" w:hAnsi="Times New Roman" w:cs="Times New Roman" w:eastAsiaTheme="minorEastAsia"/>
                <w:color w:val="000000" w:themeColor="text1"/>
                <w:sz w:val="21"/>
                <w:szCs w:val="21"/>
                <w:highlight w:val="none"/>
                <w:vertAlign w:val="baseline"/>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vertAlign w:val="baseline"/>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vertAlign w:val="baseline"/>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vertAlign w:val="baseline"/>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vertAlign w:val="baseline"/>
                <w14:textFill>
                  <w14:solidFill>
                    <w14:schemeClr w14:val="tx1"/>
                  </w14:solidFill>
                </w14:textFill>
              </w:rPr>
              <w:t>250℃</w:t>
            </w:r>
          </w:p>
        </w:tc>
        <w:tc>
          <w:tcPr>
            <w:tcW w:w="3985" w:type="dxa"/>
            <w:tcBorders>
              <w:tl2br w:val="nil"/>
              <w:tr2bl w:val="nil"/>
            </w:tcBorders>
            <w:vAlign w:val="center"/>
          </w:tcPr>
          <w:p w14:paraId="78329134">
            <w:pPr>
              <w:keepNext w:val="0"/>
              <w:keepLines w:val="0"/>
              <w:pageBreakBefore w:val="0"/>
              <w:kinsoku/>
              <w:wordWrap/>
              <w:overflowPunct/>
              <w:topLinePunct w:val="0"/>
              <w:autoSpaceDE/>
              <w:autoSpaceDN/>
              <w:bidi w:val="0"/>
              <w:adjustRightInd/>
              <w:snapToGrid/>
              <w:spacing w:line="240" w:lineRule="auto"/>
              <w:ind w:left="0" w:leftChars="0"/>
              <w:jc w:val="left"/>
              <w:textAlignment w:val="auto"/>
              <w:rPr>
                <w:rFonts w:hint="default" w:ascii="Times New Roman" w:hAnsi="Times New Roman" w:cs="Times New Roman" w:eastAsiaTheme="minorEastAsia"/>
                <w:color w:val="000000" w:themeColor="text1"/>
                <w:sz w:val="21"/>
                <w:szCs w:val="21"/>
                <w:highlight w:val="none"/>
                <w:vertAlign w:val="baseli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14:textFill>
                  <w14:solidFill>
                    <w14:schemeClr w14:val="tx1"/>
                  </w14:solidFill>
                </w14:textFill>
              </w:rPr>
              <w:t>密度：8</w:t>
            </w:r>
            <w:r>
              <w:rPr>
                <w:rFonts w:hint="eastAsia" w:cs="Times New Roman" w:eastAsiaTheme="minorEastAsia"/>
                <w:color w:val="000000" w:themeColor="text1"/>
                <w:sz w:val="21"/>
                <w:szCs w:val="21"/>
                <w:highlight w:val="none"/>
                <w:vertAlign w:val="baseline"/>
                <w:lang w:val="en-US" w:eastAsia="zh-CN"/>
                <w14:textFill>
                  <w14:solidFill>
                    <w14:schemeClr w14:val="tx1"/>
                  </w14:solidFill>
                </w14:textFill>
              </w:rPr>
              <w:t>50</w:t>
            </w:r>
            <w:r>
              <w:rPr>
                <w:rFonts w:hint="default" w:ascii="Times New Roman" w:hAnsi="Times New Roman" w:cs="Times New Roman" w:eastAsiaTheme="minorEastAsia"/>
                <w:color w:val="000000" w:themeColor="text1"/>
                <w:sz w:val="21"/>
                <w:szCs w:val="21"/>
                <w:highlight w:val="none"/>
                <w:vertAlign w:val="baseline"/>
                <w14:textFill>
                  <w14:solidFill>
                    <w14:schemeClr w14:val="tx1"/>
                  </w14:solidFill>
                </w14:textFill>
              </w:rPr>
              <w:t>kg/m</w:t>
            </w:r>
            <w:r>
              <w:rPr>
                <w:rFonts w:hint="default" w:ascii="Times New Roman" w:hAnsi="Times New Roman" w:cs="Times New Roman" w:eastAsiaTheme="minorEastAsia"/>
                <w:color w:val="000000" w:themeColor="text1"/>
                <w:sz w:val="21"/>
                <w:szCs w:val="21"/>
                <w:highlight w:val="none"/>
                <w:vertAlign w:val="superscript"/>
                <w14:textFill>
                  <w14:solidFill>
                    <w14:schemeClr w14:val="tx1"/>
                  </w14:solidFill>
                </w14:textFill>
              </w:rPr>
              <w:t>3</w:t>
            </w:r>
          </w:p>
        </w:tc>
      </w:tr>
      <w:tr w14:paraId="6EEB0F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4" w:type="dxa"/>
            <w:vMerge w:val="continue"/>
            <w:tcBorders>
              <w:tl2br w:val="nil"/>
              <w:tr2bl w:val="nil"/>
            </w:tcBorders>
            <w:vAlign w:val="center"/>
          </w:tcPr>
          <w:p w14:paraId="219F4337">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FF0000"/>
                <w:sz w:val="21"/>
                <w:szCs w:val="21"/>
                <w:highlight w:val="none"/>
                <w:vertAlign w:val="baseline"/>
              </w:rPr>
            </w:pPr>
          </w:p>
        </w:tc>
        <w:tc>
          <w:tcPr>
            <w:tcW w:w="8218" w:type="dxa"/>
            <w:gridSpan w:val="3"/>
            <w:tcBorders>
              <w:tl2br w:val="nil"/>
              <w:tr2bl w:val="nil"/>
            </w:tcBorders>
            <w:vAlign w:val="center"/>
          </w:tcPr>
          <w:p w14:paraId="26BAF1E9">
            <w:pPr>
              <w:keepNext w:val="0"/>
              <w:keepLines w:val="0"/>
              <w:pageBreakBefore w:val="0"/>
              <w:kinsoku/>
              <w:wordWrap/>
              <w:overflowPunct/>
              <w:topLinePunct w:val="0"/>
              <w:autoSpaceDE/>
              <w:autoSpaceDN/>
              <w:bidi w:val="0"/>
              <w:adjustRightInd/>
              <w:snapToGrid/>
              <w:spacing w:line="240" w:lineRule="auto"/>
              <w:ind w:left="0" w:leftChars="0"/>
              <w:jc w:val="left"/>
              <w:textAlignment w:val="auto"/>
              <w:rPr>
                <w:rFonts w:hint="default" w:ascii="Times New Roman" w:hAnsi="Times New Roman" w:cs="Times New Roman" w:eastAsiaTheme="minorEastAsia"/>
                <w:color w:val="000000" w:themeColor="text1"/>
                <w:sz w:val="21"/>
                <w:szCs w:val="21"/>
                <w:highlight w:val="none"/>
                <w:vertAlign w:val="baseline"/>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vertAlign w:val="baseline"/>
                <w:lang w:eastAsia="zh-CN"/>
                <w14:textFill>
                  <w14:solidFill>
                    <w14:schemeClr w14:val="tx1"/>
                  </w14:solidFill>
                </w14:textFill>
              </w:rPr>
              <w:t>黏度</w:t>
            </w:r>
            <w:r>
              <w:rPr>
                <w:rFonts w:hint="default" w:ascii="Times New Roman" w:hAnsi="Times New Roman" w:cs="Times New Roman" w:eastAsiaTheme="minorEastAsia"/>
                <w:color w:val="000000" w:themeColor="text1"/>
                <w:sz w:val="21"/>
                <w:szCs w:val="21"/>
                <w:highlight w:val="none"/>
                <w:vertAlign w:val="baseline"/>
                <w14:textFill>
                  <w14:solidFill>
                    <w14:schemeClr w14:val="tx1"/>
                  </w14:solidFill>
                </w14:textFill>
              </w:rPr>
              <w:t>：&lt;13mm</w:t>
            </w:r>
            <w:r>
              <w:rPr>
                <w:rFonts w:hint="default" w:ascii="Times New Roman" w:hAnsi="Times New Roman" w:cs="Times New Roman" w:eastAsiaTheme="minorEastAsia"/>
                <w:color w:val="000000" w:themeColor="text1"/>
                <w:sz w:val="21"/>
                <w:szCs w:val="21"/>
                <w:highlight w:val="none"/>
                <w:vertAlign w:val="superscript"/>
                <w14:textFill>
                  <w14:solidFill>
                    <w14:schemeClr w14:val="tx1"/>
                  </w14:solidFill>
                </w14:textFill>
              </w:rPr>
              <w:t>2</w:t>
            </w:r>
            <w:r>
              <w:rPr>
                <w:rFonts w:hint="default" w:ascii="Times New Roman" w:hAnsi="Times New Roman" w:cs="Times New Roman" w:eastAsiaTheme="minorEastAsia"/>
                <w:color w:val="000000" w:themeColor="text1"/>
                <w:sz w:val="21"/>
                <w:szCs w:val="21"/>
                <w:highlight w:val="none"/>
                <w:vertAlign w:val="baseline"/>
                <w14:textFill>
                  <w14:solidFill>
                    <w14:schemeClr w14:val="tx1"/>
                  </w14:solidFill>
                </w14:textFill>
              </w:rPr>
              <w:t>/s</w:t>
            </w:r>
          </w:p>
        </w:tc>
      </w:tr>
      <w:tr w14:paraId="7844FC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4" w:type="dxa"/>
            <w:vMerge w:val="continue"/>
            <w:tcBorders>
              <w:tl2br w:val="nil"/>
              <w:tr2bl w:val="nil"/>
            </w:tcBorders>
            <w:vAlign w:val="center"/>
          </w:tcPr>
          <w:p w14:paraId="6B4A79D5">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FF0000"/>
                <w:sz w:val="21"/>
                <w:szCs w:val="21"/>
                <w:highlight w:val="none"/>
                <w:vertAlign w:val="baseline"/>
              </w:rPr>
            </w:pPr>
          </w:p>
        </w:tc>
        <w:tc>
          <w:tcPr>
            <w:tcW w:w="8218" w:type="dxa"/>
            <w:gridSpan w:val="3"/>
            <w:tcBorders>
              <w:tl2br w:val="nil"/>
              <w:tr2bl w:val="nil"/>
            </w:tcBorders>
            <w:vAlign w:val="center"/>
          </w:tcPr>
          <w:p w14:paraId="6B888C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default" w:ascii="Times New Roman" w:hAnsi="Times New Roman" w:cs="Times New Roman" w:eastAsiaTheme="minorEastAsia"/>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pacing w:val="-6"/>
                <w:sz w:val="21"/>
                <w:szCs w:val="21"/>
                <w:highlight w:val="none"/>
                <w:lang w:val="en-US" w:eastAsia="zh-CN"/>
                <w14:textFill>
                  <w14:solidFill>
                    <w14:schemeClr w14:val="tx1"/>
                  </w14:solidFill>
                </w14:textFill>
              </w:rPr>
              <w:t>有害成分：烷烃、环烷族饱和烃、芳香族不饱和烃等组成的化合物</w:t>
            </w:r>
          </w:p>
        </w:tc>
      </w:tr>
      <w:tr w14:paraId="6B07D7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4" w:type="dxa"/>
            <w:vMerge w:val="continue"/>
            <w:tcBorders>
              <w:tl2br w:val="nil"/>
              <w:tr2bl w:val="nil"/>
            </w:tcBorders>
            <w:vAlign w:val="center"/>
          </w:tcPr>
          <w:p w14:paraId="538C9799">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FF0000"/>
                <w:sz w:val="21"/>
                <w:szCs w:val="21"/>
                <w:highlight w:val="none"/>
                <w:vertAlign w:val="baseline"/>
              </w:rPr>
            </w:pPr>
          </w:p>
        </w:tc>
        <w:tc>
          <w:tcPr>
            <w:tcW w:w="8218" w:type="dxa"/>
            <w:gridSpan w:val="3"/>
            <w:tcBorders>
              <w:tl2br w:val="nil"/>
              <w:tr2bl w:val="nil"/>
            </w:tcBorders>
            <w:vAlign w:val="center"/>
          </w:tcPr>
          <w:p w14:paraId="3AD102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pacing w:val="-6"/>
                <w:sz w:val="21"/>
                <w:szCs w:val="21"/>
                <w:highlight w:val="none"/>
                <w:lang w:val="en-US" w:eastAsia="zh-CN"/>
                <w14:textFill>
                  <w14:solidFill>
                    <w14:schemeClr w14:val="tx1"/>
                  </w14:solidFill>
                </w14:textFill>
              </w:rPr>
              <w:t>溶解性：不溶于水，溶于有机溶剂。</w:t>
            </w:r>
          </w:p>
        </w:tc>
      </w:tr>
      <w:tr w14:paraId="09A67E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4" w:type="dxa"/>
            <w:vMerge w:val="continue"/>
            <w:tcBorders>
              <w:tl2br w:val="nil"/>
              <w:tr2bl w:val="nil"/>
            </w:tcBorders>
            <w:vAlign w:val="center"/>
          </w:tcPr>
          <w:p w14:paraId="3E73B6F6">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FF0000"/>
                <w:sz w:val="21"/>
                <w:szCs w:val="21"/>
                <w:highlight w:val="none"/>
                <w:vertAlign w:val="baseline"/>
              </w:rPr>
            </w:pPr>
          </w:p>
        </w:tc>
        <w:tc>
          <w:tcPr>
            <w:tcW w:w="8218" w:type="dxa"/>
            <w:gridSpan w:val="3"/>
            <w:tcBorders>
              <w:tl2br w:val="nil"/>
              <w:tr2bl w:val="nil"/>
            </w:tcBorders>
            <w:vAlign w:val="center"/>
          </w:tcPr>
          <w:p w14:paraId="783BA9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default" w:ascii="Times New Roman" w:hAnsi="Times New Roman" w:cs="Times New Roman" w:eastAsiaTheme="minorEastAsia"/>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pacing w:val="-6"/>
                <w:sz w:val="21"/>
                <w:szCs w:val="21"/>
                <w:highlight w:val="none"/>
                <w:lang w:val="en-US" w:eastAsia="zh-CN"/>
                <w14:textFill>
                  <w14:solidFill>
                    <w14:schemeClr w14:val="tx1"/>
                  </w14:solidFill>
                </w14:textFill>
              </w:rPr>
              <w:t xml:space="preserve">碳型分析：CA,%    ＜10      CN,%   </w:t>
            </w: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cs="Times New Roman" w:eastAsiaTheme="minorEastAsia"/>
                <w:color w:val="000000" w:themeColor="text1"/>
                <w:spacing w:val="-6"/>
                <w:sz w:val="21"/>
                <w:szCs w:val="21"/>
                <w:highlight w:val="none"/>
                <w:lang w:val="en-US" w:eastAsia="zh-CN"/>
                <w14:textFill>
                  <w14:solidFill>
                    <w14:schemeClr w14:val="tx1"/>
                  </w14:solidFill>
                </w14:textFill>
              </w:rPr>
              <w:t>40；</w:t>
            </w:r>
          </w:p>
        </w:tc>
      </w:tr>
      <w:tr w14:paraId="2A6DE8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4" w:type="dxa"/>
            <w:vMerge w:val="restart"/>
            <w:tcBorders>
              <w:tl2br w:val="nil"/>
              <w:tr2bl w:val="nil"/>
            </w:tcBorders>
            <w:vAlign w:val="center"/>
          </w:tcPr>
          <w:p w14:paraId="357420E9">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eastAsia="zh-CN"/>
                <w14:textFill>
                  <w14:solidFill>
                    <w14:schemeClr w14:val="tx1"/>
                  </w14:solidFill>
                </w14:textFill>
              </w:rPr>
              <w:t>危险特性</w:t>
            </w:r>
          </w:p>
        </w:tc>
        <w:tc>
          <w:tcPr>
            <w:tcW w:w="1237" w:type="dxa"/>
            <w:tcBorders>
              <w:tl2br w:val="nil"/>
              <w:tr2bl w:val="nil"/>
            </w:tcBorders>
            <w:vAlign w:val="center"/>
          </w:tcPr>
          <w:p w14:paraId="5838049B">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物理和化学危险</w:t>
            </w:r>
          </w:p>
        </w:tc>
        <w:tc>
          <w:tcPr>
            <w:tcW w:w="6981" w:type="dxa"/>
            <w:gridSpan w:val="2"/>
            <w:tcBorders>
              <w:tl2br w:val="nil"/>
              <w:tr2bl w:val="nil"/>
            </w:tcBorders>
            <w:vAlign w:val="center"/>
          </w:tcPr>
          <w:p w14:paraId="384E34BA">
            <w:pPr>
              <w:keepNext w:val="0"/>
              <w:keepLines w:val="0"/>
              <w:pageBreakBefore w:val="0"/>
              <w:kinsoku/>
              <w:wordWrap/>
              <w:overflowPunct/>
              <w:topLinePunct w:val="0"/>
              <w:autoSpaceDE/>
              <w:autoSpaceDN/>
              <w:bidi w:val="0"/>
              <w:adjustRightInd/>
              <w:snapToGrid/>
              <w:spacing w:line="240" w:lineRule="auto"/>
              <w:ind w:left="0" w:leftChars="0"/>
              <w:jc w:val="left"/>
              <w:textAlignment w:val="auto"/>
              <w:rPr>
                <w:rFonts w:hint="default" w:ascii="Times New Roman" w:hAnsi="Times New Roman" w:cs="Times New Roman" w:eastAsiaTheme="minorEastAsia"/>
                <w:color w:val="000000" w:themeColor="text1"/>
                <w:sz w:val="21"/>
                <w:szCs w:val="21"/>
                <w:highlight w:val="none"/>
                <w:vertAlign w:val="baseli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14:textFill>
                  <w14:solidFill>
                    <w14:schemeClr w14:val="tx1"/>
                  </w14:solidFill>
                </w14:textFill>
              </w:rPr>
              <w:t>温度升高超过物理性质的指标时，会释放出可燃的蒸气和分解产物</w:t>
            </w:r>
          </w:p>
        </w:tc>
      </w:tr>
      <w:tr w14:paraId="242AC9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4" w:type="dxa"/>
            <w:vMerge w:val="continue"/>
            <w:tcBorders>
              <w:tl2br w:val="nil"/>
              <w:tr2bl w:val="nil"/>
            </w:tcBorders>
            <w:vAlign w:val="center"/>
          </w:tcPr>
          <w:p w14:paraId="3884F848">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vertAlign w:val="baseline"/>
                <w14:textFill>
                  <w14:solidFill>
                    <w14:schemeClr w14:val="tx1"/>
                  </w14:solidFill>
                </w14:textFill>
              </w:rPr>
            </w:pPr>
          </w:p>
        </w:tc>
        <w:tc>
          <w:tcPr>
            <w:tcW w:w="1237" w:type="dxa"/>
            <w:tcBorders>
              <w:tl2br w:val="nil"/>
              <w:tr2bl w:val="nil"/>
            </w:tcBorders>
            <w:vAlign w:val="center"/>
          </w:tcPr>
          <w:p w14:paraId="47C5164D">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eastAsia="zh-CN"/>
                <w14:textFill>
                  <w14:solidFill>
                    <w14:schemeClr w14:val="tx1"/>
                  </w14:solidFill>
                </w14:textFill>
              </w:rPr>
              <w:t>人类健康</w:t>
            </w:r>
          </w:p>
        </w:tc>
        <w:tc>
          <w:tcPr>
            <w:tcW w:w="6981" w:type="dxa"/>
            <w:gridSpan w:val="2"/>
            <w:tcBorders>
              <w:tl2br w:val="nil"/>
              <w:tr2bl w:val="nil"/>
            </w:tcBorders>
            <w:vAlign w:val="center"/>
          </w:tcPr>
          <w:p w14:paraId="44C1AA26">
            <w:pPr>
              <w:keepNext w:val="0"/>
              <w:keepLines w:val="0"/>
              <w:pageBreakBefore w:val="0"/>
              <w:kinsoku/>
              <w:wordWrap/>
              <w:overflowPunct/>
              <w:topLinePunct w:val="0"/>
              <w:autoSpaceDE/>
              <w:autoSpaceDN/>
              <w:bidi w:val="0"/>
              <w:adjustRightInd/>
              <w:snapToGrid/>
              <w:spacing w:line="240" w:lineRule="auto"/>
              <w:ind w:left="0" w:leftChars="0"/>
              <w:jc w:val="left"/>
              <w:textAlignment w:val="auto"/>
              <w:rPr>
                <w:rFonts w:hint="default" w:ascii="Times New Roman" w:hAnsi="Times New Roman" w:cs="Times New Roman" w:eastAsiaTheme="minorEastAsia"/>
                <w:color w:val="000000" w:themeColor="text1"/>
                <w:sz w:val="21"/>
                <w:szCs w:val="21"/>
                <w:highlight w:val="none"/>
                <w:vertAlign w:val="baseli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14:textFill>
                  <w14:solidFill>
                    <w14:schemeClr w14:val="tx1"/>
                  </w14:solidFill>
                </w14:textFill>
              </w:rPr>
              <w:t>矿物白油缓慢生物降解产品将在环境中保留一段时间。存在污染地面、土壤和水的风险</w:t>
            </w:r>
          </w:p>
        </w:tc>
      </w:tr>
      <w:tr w14:paraId="1A90F6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4" w:type="dxa"/>
            <w:vMerge w:val="continue"/>
            <w:tcBorders>
              <w:tl2br w:val="nil"/>
              <w:tr2bl w:val="nil"/>
            </w:tcBorders>
            <w:vAlign w:val="center"/>
          </w:tcPr>
          <w:p w14:paraId="789F79FB">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vertAlign w:val="baseline"/>
                <w14:textFill>
                  <w14:solidFill>
                    <w14:schemeClr w14:val="tx1"/>
                  </w14:solidFill>
                </w14:textFill>
              </w:rPr>
            </w:pPr>
          </w:p>
        </w:tc>
        <w:tc>
          <w:tcPr>
            <w:tcW w:w="1237" w:type="dxa"/>
            <w:tcBorders>
              <w:tl2br w:val="nil"/>
              <w:tr2bl w:val="nil"/>
            </w:tcBorders>
            <w:vAlign w:val="center"/>
          </w:tcPr>
          <w:p w14:paraId="79A2F7F3">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eastAsia="zh-CN"/>
                <w14:textFill>
                  <w14:solidFill>
                    <w14:schemeClr w14:val="tx1"/>
                  </w14:solidFill>
                </w14:textFill>
              </w:rPr>
              <w:t>环境</w:t>
            </w:r>
          </w:p>
        </w:tc>
        <w:tc>
          <w:tcPr>
            <w:tcW w:w="6981" w:type="dxa"/>
            <w:gridSpan w:val="2"/>
            <w:tcBorders>
              <w:tl2br w:val="nil"/>
              <w:tr2bl w:val="nil"/>
            </w:tcBorders>
            <w:vAlign w:val="center"/>
          </w:tcPr>
          <w:p w14:paraId="3D4235F0">
            <w:pPr>
              <w:keepNext w:val="0"/>
              <w:keepLines w:val="0"/>
              <w:pageBreakBefore w:val="0"/>
              <w:kinsoku/>
              <w:wordWrap/>
              <w:overflowPunct/>
              <w:topLinePunct w:val="0"/>
              <w:autoSpaceDE/>
              <w:autoSpaceDN/>
              <w:bidi w:val="0"/>
              <w:adjustRightInd/>
              <w:snapToGrid/>
              <w:spacing w:line="240" w:lineRule="auto"/>
              <w:ind w:left="0" w:leftChars="0"/>
              <w:jc w:val="left"/>
              <w:textAlignment w:val="auto"/>
              <w:rPr>
                <w:rFonts w:hint="default" w:ascii="Times New Roman" w:hAnsi="Times New Roman" w:cs="Times New Roman" w:eastAsiaTheme="minorEastAsia"/>
                <w:color w:val="000000" w:themeColor="text1"/>
                <w:sz w:val="21"/>
                <w:szCs w:val="21"/>
                <w:highlight w:val="none"/>
                <w:vertAlign w:val="baseli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14:textFill>
                  <w14:solidFill>
                    <w14:schemeClr w14:val="tx1"/>
                  </w14:solidFill>
                </w14:textFill>
              </w:rPr>
              <w:t>吸入蒸气或烟雾</w:t>
            </w:r>
            <w:r>
              <w:rPr>
                <w:rFonts w:hint="default" w:ascii="Times New Roman" w:hAnsi="Times New Roman" w:cs="Times New Roman" w:eastAsiaTheme="minorEastAsia"/>
                <w:color w:val="000000" w:themeColor="text1"/>
                <w:sz w:val="21"/>
                <w:szCs w:val="21"/>
                <w:highlight w:val="none"/>
                <w:vertAlign w:val="baseline"/>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vertAlign w:val="baseline"/>
                <w14:textFill>
                  <w14:solidFill>
                    <w14:schemeClr w14:val="tx1"/>
                  </w14:solidFill>
                </w14:textFill>
              </w:rPr>
              <w:t>在高温情况下才会产生</w:t>
            </w:r>
            <w:r>
              <w:rPr>
                <w:rFonts w:hint="default" w:ascii="Times New Roman" w:hAnsi="Times New Roman" w:cs="Times New Roman" w:eastAsiaTheme="minorEastAsia"/>
                <w:color w:val="000000" w:themeColor="text1"/>
                <w:sz w:val="21"/>
                <w:szCs w:val="21"/>
                <w:highlight w:val="none"/>
                <w:vertAlign w:val="baseline"/>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vertAlign w:val="baseline"/>
                <w14:textFill>
                  <w14:solidFill>
                    <w14:schemeClr w14:val="tx1"/>
                  </w14:solidFill>
                </w14:textFill>
              </w:rPr>
              <w:t>会刺激呼吸道。长期或重复皮肤接触会造成脱脂或刺激。眼睛接触可能引起刺激</w:t>
            </w:r>
          </w:p>
        </w:tc>
      </w:tr>
      <w:tr w14:paraId="17FF3E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4" w:type="dxa"/>
            <w:vMerge w:val="restart"/>
            <w:tcBorders>
              <w:tl2br w:val="nil"/>
              <w:tr2bl w:val="nil"/>
            </w:tcBorders>
            <w:vAlign w:val="center"/>
          </w:tcPr>
          <w:p w14:paraId="568DDA36">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eastAsia="zh-CN"/>
                <w14:textFill>
                  <w14:solidFill>
                    <w14:schemeClr w14:val="tx1"/>
                  </w14:solidFill>
                </w14:textFill>
              </w:rPr>
              <w:t>急救措施</w:t>
            </w:r>
          </w:p>
        </w:tc>
        <w:tc>
          <w:tcPr>
            <w:tcW w:w="1237" w:type="dxa"/>
            <w:tcBorders>
              <w:tl2br w:val="nil"/>
              <w:tr2bl w:val="nil"/>
            </w:tcBorders>
            <w:vAlign w:val="center"/>
          </w:tcPr>
          <w:p w14:paraId="6E908B29">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eastAsia="zh-CN"/>
                <w14:textFill>
                  <w14:solidFill>
                    <w14:schemeClr w14:val="tx1"/>
                  </w14:solidFill>
                </w14:textFill>
              </w:rPr>
              <w:t>皮肤接触</w:t>
            </w:r>
          </w:p>
        </w:tc>
        <w:tc>
          <w:tcPr>
            <w:tcW w:w="6981" w:type="dxa"/>
            <w:gridSpan w:val="2"/>
            <w:tcBorders>
              <w:tl2br w:val="nil"/>
              <w:tr2bl w:val="nil"/>
            </w:tcBorders>
            <w:vAlign w:val="center"/>
          </w:tcPr>
          <w:p w14:paraId="080B243E">
            <w:pPr>
              <w:keepNext w:val="0"/>
              <w:keepLines w:val="0"/>
              <w:pageBreakBefore w:val="0"/>
              <w:kinsoku/>
              <w:wordWrap/>
              <w:overflowPunct/>
              <w:topLinePunct w:val="0"/>
              <w:autoSpaceDE/>
              <w:autoSpaceDN/>
              <w:bidi w:val="0"/>
              <w:adjustRightInd/>
              <w:snapToGrid/>
              <w:spacing w:line="240" w:lineRule="auto"/>
              <w:ind w:left="0" w:leftChars="0"/>
              <w:jc w:val="left"/>
              <w:textAlignment w:val="auto"/>
              <w:rPr>
                <w:rFonts w:hint="default" w:ascii="Times New Roman" w:hAnsi="Times New Roman" w:cs="Times New Roman" w:eastAsiaTheme="minorEastAsia"/>
                <w:color w:val="000000" w:themeColor="text1"/>
                <w:sz w:val="21"/>
                <w:szCs w:val="21"/>
                <w:highlight w:val="none"/>
                <w:vertAlign w:val="baseli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14:textFill>
                  <w14:solidFill>
                    <w14:schemeClr w14:val="tx1"/>
                  </w14:solidFill>
                </w14:textFill>
              </w:rPr>
              <w:t>立即脱去被污染的衣物，擦去矿物油，并用香皂和大量水清洗。衣物未清洗前勿使用。如果发生刺激反应，请与医生联系。</w:t>
            </w:r>
          </w:p>
        </w:tc>
      </w:tr>
      <w:tr w14:paraId="0DAFFE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4" w:type="dxa"/>
            <w:vMerge w:val="continue"/>
            <w:tcBorders>
              <w:tl2br w:val="nil"/>
              <w:tr2bl w:val="nil"/>
            </w:tcBorders>
            <w:vAlign w:val="center"/>
          </w:tcPr>
          <w:p w14:paraId="17775A80">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vertAlign w:val="baseline"/>
                <w14:textFill>
                  <w14:solidFill>
                    <w14:schemeClr w14:val="tx1"/>
                  </w14:solidFill>
                </w14:textFill>
              </w:rPr>
            </w:pPr>
          </w:p>
        </w:tc>
        <w:tc>
          <w:tcPr>
            <w:tcW w:w="1237" w:type="dxa"/>
            <w:tcBorders>
              <w:tl2br w:val="nil"/>
              <w:tr2bl w:val="nil"/>
            </w:tcBorders>
            <w:vAlign w:val="center"/>
          </w:tcPr>
          <w:p w14:paraId="5552335D">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vertAlign w:val="baseli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eastAsia="zh-CN"/>
                <w14:textFill>
                  <w14:solidFill>
                    <w14:schemeClr w14:val="tx1"/>
                  </w14:solidFill>
                </w14:textFill>
              </w:rPr>
              <w:t>眼睛接触</w:t>
            </w:r>
          </w:p>
        </w:tc>
        <w:tc>
          <w:tcPr>
            <w:tcW w:w="6981" w:type="dxa"/>
            <w:gridSpan w:val="2"/>
            <w:tcBorders>
              <w:tl2br w:val="nil"/>
              <w:tr2bl w:val="nil"/>
            </w:tcBorders>
            <w:vAlign w:val="center"/>
          </w:tcPr>
          <w:p w14:paraId="0D126676">
            <w:pPr>
              <w:keepNext w:val="0"/>
              <w:keepLines w:val="0"/>
              <w:pageBreakBefore w:val="0"/>
              <w:kinsoku/>
              <w:wordWrap/>
              <w:overflowPunct/>
              <w:topLinePunct w:val="0"/>
              <w:autoSpaceDE/>
              <w:autoSpaceDN/>
              <w:bidi w:val="0"/>
              <w:adjustRightInd/>
              <w:snapToGrid/>
              <w:spacing w:line="240" w:lineRule="auto"/>
              <w:ind w:left="0" w:leftChars="0"/>
              <w:jc w:val="left"/>
              <w:textAlignment w:val="auto"/>
              <w:rPr>
                <w:rFonts w:hint="default" w:ascii="Times New Roman" w:hAnsi="Times New Roman" w:cs="Times New Roman" w:eastAsiaTheme="minorEastAsia"/>
                <w:color w:val="000000" w:themeColor="text1"/>
                <w:sz w:val="21"/>
                <w:szCs w:val="21"/>
                <w:highlight w:val="none"/>
                <w:vertAlign w:val="baseli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14:textFill>
                  <w14:solidFill>
                    <w14:schemeClr w14:val="tx1"/>
                  </w14:solidFill>
                </w14:textFill>
              </w:rPr>
              <w:t>用大量的水清洗。如果发生刺激反应，请与医生联系</w:t>
            </w:r>
          </w:p>
        </w:tc>
      </w:tr>
      <w:tr w14:paraId="1DF69B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4" w:type="dxa"/>
            <w:vMerge w:val="continue"/>
            <w:tcBorders>
              <w:tl2br w:val="nil"/>
              <w:tr2bl w:val="nil"/>
            </w:tcBorders>
            <w:vAlign w:val="center"/>
          </w:tcPr>
          <w:p w14:paraId="7CA98550">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vertAlign w:val="baseline"/>
                <w14:textFill>
                  <w14:solidFill>
                    <w14:schemeClr w14:val="tx1"/>
                  </w14:solidFill>
                </w14:textFill>
              </w:rPr>
            </w:pPr>
          </w:p>
        </w:tc>
        <w:tc>
          <w:tcPr>
            <w:tcW w:w="1237" w:type="dxa"/>
            <w:tcBorders>
              <w:tl2br w:val="nil"/>
              <w:tr2bl w:val="nil"/>
            </w:tcBorders>
            <w:vAlign w:val="center"/>
          </w:tcPr>
          <w:p w14:paraId="6BAB3C8E">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eastAsia="zh-CN"/>
                <w14:textFill>
                  <w14:solidFill>
                    <w14:schemeClr w14:val="tx1"/>
                  </w14:solidFill>
                </w14:textFill>
              </w:rPr>
              <w:t>吸入</w:t>
            </w:r>
          </w:p>
        </w:tc>
        <w:tc>
          <w:tcPr>
            <w:tcW w:w="6981" w:type="dxa"/>
            <w:gridSpan w:val="2"/>
            <w:tcBorders>
              <w:tl2br w:val="nil"/>
              <w:tr2bl w:val="nil"/>
            </w:tcBorders>
            <w:vAlign w:val="center"/>
          </w:tcPr>
          <w:p w14:paraId="0354B663">
            <w:pPr>
              <w:keepNext w:val="0"/>
              <w:keepLines w:val="0"/>
              <w:pageBreakBefore w:val="0"/>
              <w:kinsoku/>
              <w:wordWrap/>
              <w:overflowPunct/>
              <w:topLinePunct w:val="0"/>
              <w:autoSpaceDE/>
              <w:autoSpaceDN/>
              <w:bidi w:val="0"/>
              <w:adjustRightInd/>
              <w:snapToGrid/>
              <w:spacing w:line="240" w:lineRule="auto"/>
              <w:ind w:left="0" w:leftChars="0"/>
              <w:jc w:val="left"/>
              <w:textAlignment w:val="auto"/>
              <w:rPr>
                <w:rFonts w:hint="default" w:ascii="Times New Roman" w:hAnsi="Times New Roman" w:cs="Times New Roman" w:eastAsiaTheme="minorEastAsia"/>
                <w:color w:val="000000" w:themeColor="text1"/>
                <w:sz w:val="21"/>
                <w:szCs w:val="21"/>
                <w:highlight w:val="none"/>
                <w:vertAlign w:val="baseli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14:textFill>
                  <w14:solidFill>
                    <w14:schemeClr w14:val="tx1"/>
                  </w14:solidFill>
                </w14:textFill>
              </w:rPr>
              <w:t>如果吸入雾、烟或蒸气引起刺激反应，立即转移到新鲜空气处。如果呼吸困难可进行吸氧。如症状未缓解，请与医生联系。如呼吸停止应进行人工呼吸并立即送医院就诊。</w:t>
            </w:r>
          </w:p>
        </w:tc>
      </w:tr>
      <w:tr w14:paraId="34ABB4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4" w:type="dxa"/>
            <w:vMerge w:val="continue"/>
            <w:tcBorders>
              <w:tl2br w:val="nil"/>
              <w:tr2bl w:val="nil"/>
            </w:tcBorders>
            <w:vAlign w:val="center"/>
          </w:tcPr>
          <w:p w14:paraId="70445DE7">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vertAlign w:val="baseline"/>
                <w14:textFill>
                  <w14:solidFill>
                    <w14:schemeClr w14:val="tx1"/>
                  </w14:solidFill>
                </w14:textFill>
              </w:rPr>
            </w:pPr>
          </w:p>
        </w:tc>
        <w:tc>
          <w:tcPr>
            <w:tcW w:w="1237" w:type="dxa"/>
            <w:tcBorders>
              <w:tl2br w:val="nil"/>
              <w:tr2bl w:val="nil"/>
            </w:tcBorders>
            <w:vAlign w:val="center"/>
          </w:tcPr>
          <w:p w14:paraId="45A492EE">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eastAsia="zh-CN"/>
                <w14:textFill>
                  <w14:solidFill>
                    <w14:schemeClr w14:val="tx1"/>
                  </w14:solidFill>
                </w14:textFill>
              </w:rPr>
              <w:t>食入</w:t>
            </w:r>
          </w:p>
        </w:tc>
        <w:tc>
          <w:tcPr>
            <w:tcW w:w="6981" w:type="dxa"/>
            <w:gridSpan w:val="2"/>
            <w:tcBorders>
              <w:tl2br w:val="nil"/>
              <w:tr2bl w:val="nil"/>
            </w:tcBorders>
            <w:vAlign w:val="center"/>
          </w:tcPr>
          <w:p w14:paraId="6E70BB25">
            <w:pPr>
              <w:keepNext w:val="0"/>
              <w:keepLines w:val="0"/>
              <w:pageBreakBefore w:val="0"/>
              <w:kinsoku/>
              <w:wordWrap/>
              <w:overflowPunct/>
              <w:topLinePunct w:val="0"/>
              <w:autoSpaceDE/>
              <w:autoSpaceDN/>
              <w:bidi w:val="0"/>
              <w:adjustRightInd/>
              <w:snapToGrid/>
              <w:spacing w:line="240" w:lineRule="auto"/>
              <w:ind w:left="0" w:leftChars="0"/>
              <w:jc w:val="left"/>
              <w:textAlignment w:val="auto"/>
              <w:rPr>
                <w:rFonts w:hint="default" w:ascii="Times New Roman" w:hAnsi="Times New Roman" w:cs="Times New Roman" w:eastAsiaTheme="minorEastAsia"/>
                <w:color w:val="000000" w:themeColor="text1"/>
                <w:sz w:val="21"/>
                <w:szCs w:val="21"/>
                <w:highlight w:val="none"/>
                <w:vertAlign w:val="baseli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14:textFill>
                  <w14:solidFill>
                    <w14:schemeClr w14:val="tx1"/>
                  </w14:solidFill>
                </w14:textFill>
              </w:rPr>
              <w:t>用水清洗口腔。如果吞下量较大请与医生联系。不要进行催吐。</w:t>
            </w:r>
          </w:p>
        </w:tc>
      </w:tr>
      <w:tr w14:paraId="545D26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4" w:type="dxa"/>
            <w:vMerge w:val="restart"/>
            <w:tcBorders>
              <w:tl2br w:val="nil"/>
              <w:tr2bl w:val="nil"/>
            </w:tcBorders>
            <w:vAlign w:val="center"/>
          </w:tcPr>
          <w:p w14:paraId="01C66B38">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eastAsia="zh-CN"/>
                <w14:textFill>
                  <w14:solidFill>
                    <w14:schemeClr w14:val="tx1"/>
                  </w14:solidFill>
                </w14:textFill>
              </w:rPr>
              <w:t>意外泄漏应急处理</w:t>
            </w:r>
          </w:p>
        </w:tc>
        <w:tc>
          <w:tcPr>
            <w:tcW w:w="1237" w:type="dxa"/>
            <w:tcBorders>
              <w:tl2br w:val="nil"/>
              <w:tr2bl w:val="nil"/>
            </w:tcBorders>
            <w:vAlign w:val="center"/>
          </w:tcPr>
          <w:p w14:paraId="7A93123E">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eastAsia="zh-CN"/>
                <w14:textFill>
                  <w14:solidFill>
                    <w14:schemeClr w14:val="tx1"/>
                  </w14:solidFill>
                </w14:textFill>
              </w:rPr>
              <w:t>个人措施</w:t>
            </w:r>
          </w:p>
        </w:tc>
        <w:tc>
          <w:tcPr>
            <w:tcW w:w="6981" w:type="dxa"/>
            <w:gridSpan w:val="2"/>
            <w:tcBorders>
              <w:tl2br w:val="nil"/>
              <w:tr2bl w:val="nil"/>
            </w:tcBorders>
            <w:vAlign w:val="center"/>
          </w:tcPr>
          <w:p w14:paraId="6AB530B1">
            <w:pPr>
              <w:keepNext w:val="0"/>
              <w:keepLines w:val="0"/>
              <w:pageBreakBefore w:val="0"/>
              <w:kinsoku/>
              <w:wordWrap/>
              <w:overflowPunct/>
              <w:topLinePunct w:val="0"/>
              <w:autoSpaceDE/>
              <w:autoSpaceDN/>
              <w:bidi w:val="0"/>
              <w:adjustRightInd/>
              <w:snapToGrid/>
              <w:spacing w:line="240" w:lineRule="auto"/>
              <w:ind w:left="0" w:leftChars="0"/>
              <w:jc w:val="left"/>
              <w:textAlignment w:val="auto"/>
              <w:rPr>
                <w:rFonts w:hint="default" w:ascii="Times New Roman" w:hAnsi="Times New Roman" w:cs="Times New Roman" w:eastAsiaTheme="minorEastAsia"/>
                <w:color w:val="000000" w:themeColor="text1"/>
                <w:sz w:val="21"/>
                <w:szCs w:val="21"/>
                <w:highlight w:val="none"/>
                <w:vertAlign w:val="baseli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eastAsia="zh-CN"/>
                <w14:textFill>
                  <w14:solidFill>
                    <w14:schemeClr w14:val="tx1"/>
                  </w14:solidFill>
                </w14:textFill>
              </w:rPr>
              <w:t>佩戴</w:t>
            </w:r>
            <w:r>
              <w:rPr>
                <w:rFonts w:hint="default" w:ascii="Times New Roman" w:hAnsi="Times New Roman" w:cs="Times New Roman" w:eastAsiaTheme="minorEastAsia"/>
                <w:color w:val="000000" w:themeColor="text1"/>
                <w:sz w:val="21"/>
                <w:szCs w:val="21"/>
                <w:highlight w:val="none"/>
                <w:vertAlign w:val="baseline"/>
                <w14:textFill>
                  <w14:solidFill>
                    <w14:schemeClr w14:val="tx1"/>
                  </w14:solidFill>
                </w14:textFill>
              </w:rPr>
              <w:t>适当的防护设备。立即熄灭火源</w:t>
            </w:r>
          </w:p>
        </w:tc>
      </w:tr>
      <w:tr w14:paraId="31F9F3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4" w:type="dxa"/>
            <w:vMerge w:val="continue"/>
            <w:tcBorders>
              <w:tl2br w:val="nil"/>
              <w:tr2bl w:val="nil"/>
            </w:tcBorders>
            <w:vAlign w:val="center"/>
          </w:tcPr>
          <w:p w14:paraId="7A8E0373">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vertAlign w:val="baseline"/>
                <w14:textFill>
                  <w14:solidFill>
                    <w14:schemeClr w14:val="tx1"/>
                  </w14:solidFill>
                </w14:textFill>
              </w:rPr>
            </w:pPr>
          </w:p>
        </w:tc>
        <w:tc>
          <w:tcPr>
            <w:tcW w:w="1237" w:type="dxa"/>
            <w:tcBorders>
              <w:tl2br w:val="nil"/>
              <w:tr2bl w:val="nil"/>
            </w:tcBorders>
            <w:vAlign w:val="center"/>
          </w:tcPr>
          <w:p w14:paraId="602A4516">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eastAsia="zh-CN"/>
                <w14:textFill>
                  <w14:solidFill>
                    <w14:schemeClr w14:val="tx1"/>
                  </w14:solidFill>
                </w14:textFill>
              </w:rPr>
              <w:t>环境措施</w:t>
            </w:r>
          </w:p>
        </w:tc>
        <w:tc>
          <w:tcPr>
            <w:tcW w:w="6981" w:type="dxa"/>
            <w:gridSpan w:val="2"/>
            <w:tcBorders>
              <w:tl2br w:val="nil"/>
              <w:tr2bl w:val="nil"/>
            </w:tcBorders>
            <w:vAlign w:val="center"/>
          </w:tcPr>
          <w:p w14:paraId="1FED7652">
            <w:pPr>
              <w:keepNext w:val="0"/>
              <w:keepLines w:val="0"/>
              <w:pageBreakBefore w:val="0"/>
              <w:kinsoku/>
              <w:wordWrap/>
              <w:overflowPunct/>
              <w:topLinePunct w:val="0"/>
              <w:autoSpaceDE/>
              <w:autoSpaceDN/>
              <w:bidi w:val="0"/>
              <w:adjustRightInd/>
              <w:snapToGrid/>
              <w:spacing w:line="240" w:lineRule="auto"/>
              <w:ind w:left="0" w:leftChars="0"/>
              <w:jc w:val="left"/>
              <w:textAlignment w:val="auto"/>
              <w:rPr>
                <w:rFonts w:hint="default" w:ascii="Times New Roman" w:hAnsi="Times New Roman" w:cs="Times New Roman" w:eastAsiaTheme="minorEastAsia"/>
                <w:color w:val="000000" w:themeColor="text1"/>
                <w:sz w:val="21"/>
                <w:szCs w:val="21"/>
                <w:highlight w:val="none"/>
                <w:vertAlign w:val="baseli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14:textFill>
                  <w14:solidFill>
                    <w14:schemeClr w14:val="tx1"/>
                  </w14:solidFill>
                </w14:textFill>
              </w:rPr>
              <w:t>防止溢出物进入或蔓延到排水沟、水道和土壤中。与当地环境保护部门联系</w:t>
            </w:r>
          </w:p>
        </w:tc>
      </w:tr>
      <w:tr w14:paraId="09D376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4" w:type="dxa"/>
            <w:vMerge w:val="continue"/>
            <w:tcBorders>
              <w:tl2br w:val="nil"/>
              <w:tr2bl w:val="nil"/>
            </w:tcBorders>
            <w:vAlign w:val="center"/>
          </w:tcPr>
          <w:p w14:paraId="6991BF4A">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vertAlign w:val="baseline"/>
                <w14:textFill>
                  <w14:solidFill>
                    <w14:schemeClr w14:val="tx1"/>
                  </w14:solidFill>
                </w14:textFill>
              </w:rPr>
            </w:pPr>
          </w:p>
        </w:tc>
        <w:tc>
          <w:tcPr>
            <w:tcW w:w="1237" w:type="dxa"/>
            <w:tcBorders>
              <w:tl2br w:val="nil"/>
              <w:tr2bl w:val="nil"/>
            </w:tcBorders>
            <w:vAlign w:val="center"/>
          </w:tcPr>
          <w:p w14:paraId="062AEAD0">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eastAsia="zh-CN"/>
                <w14:textFill>
                  <w14:solidFill>
                    <w14:schemeClr w14:val="tx1"/>
                  </w14:solidFill>
                </w14:textFill>
              </w:rPr>
              <w:t>清洁方法</w:t>
            </w:r>
          </w:p>
        </w:tc>
        <w:tc>
          <w:tcPr>
            <w:tcW w:w="6981" w:type="dxa"/>
            <w:gridSpan w:val="2"/>
            <w:tcBorders>
              <w:tl2br w:val="nil"/>
              <w:tr2bl w:val="nil"/>
            </w:tcBorders>
            <w:vAlign w:val="center"/>
          </w:tcPr>
          <w:p w14:paraId="4A558F17">
            <w:pPr>
              <w:keepNext w:val="0"/>
              <w:keepLines w:val="0"/>
              <w:pageBreakBefore w:val="0"/>
              <w:kinsoku/>
              <w:wordWrap/>
              <w:overflowPunct/>
              <w:topLinePunct w:val="0"/>
              <w:autoSpaceDE/>
              <w:autoSpaceDN/>
              <w:bidi w:val="0"/>
              <w:adjustRightInd/>
              <w:snapToGrid/>
              <w:spacing w:line="240" w:lineRule="auto"/>
              <w:ind w:left="0" w:leftChars="0"/>
              <w:jc w:val="left"/>
              <w:textAlignment w:val="auto"/>
              <w:rPr>
                <w:rFonts w:hint="default" w:ascii="Times New Roman" w:hAnsi="Times New Roman" w:cs="Times New Roman" w:eastAsiaTheme="minorEastAsia"/>
                <w:color w:val="000000" w:themeColor="text1"/>
                <w:sz w:val="21"/>
                <w:szCs w:val="21"/>
                <w:highlight w:val="none"/>
                <w:vertAlign w:val="baseli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14:textFill>
                  <w14:solidFill>
                    <w14:schemeClr w14:val="tx1"/>
                  </w14:solidFill>
                </w14:textFill>
              </w:rPr>
              <w:t>如果无危险，应尽快停止泄漏。少量泄漏使，用粘土、沙、土或其它合适的材料吸收。大量泄漏时，用泵将泄漏的油泵入合适的容器中，然后再用上面提到的材料吸收。</w:t>
            </w:r>
          </w:p>
        </w:tc>
      </w:tr>
      <w:tr w14:paraId="295DDD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4" w:type="dxa"/>
            <w:vMerge w:val="restart"/>
            <w:tcBorders>
              <w:tl2br w:val="nil"/>
              <w:tr2bl w:val="nil"/>
            </w:tcBorders>
            <w:vAlign w:val="center"/>
          </w:tcPr>
          <w:p w14:paraId="4F72F64F">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eastAsia="zh-CN"/>
                <w14:textFill>
                  <w14:solidFill>
                    <w14:schemeClr w14:val="tx1"/>
                  </w14:solidFill>
                </w14:textFill>
              </w:rPr>
              <w:t>操作处置与储存</w:t>
            </w:r>
          </w:p>
        </w:tc>
        <w:tc>
          <w:tcPr>
            <w:tcW w:w="1237" w:type="dxa"/>
            <w:tcBorders>
              <w:tl2br w:val="nil"/>
              <w:tr2bl w:val="nil"/>
            </w:tcBorders>
            <w:vAlign w:val="center"/>
          </w:tcPr>
          <w:p w14:paraId="209B0CF9">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eastAsia="zh-CN"/>
                <w14:textFill>
                  <w14:solidFill>
                    <w14:schemeClr w14:val="tx1"/>
                  </w14:solidFill>
                </w14:textFill>
              </w:rPr>
              <w:t>处理</w:t>
            </w:r>
          </w:p>
        </w:tc>
        <w:tc>
          <w:tcPr>
            <w:tcW w:w="6981" w:type="dxa"/>
            <w:gridSpan w:val="2"/>
            <w:tcBorders>
              <w:tl2br w:val="nil"/>
              <w:tr2bl w:val="nil"/>
            </w:tcBorders>
            <w:vAlign w:val="center"/>
          </w:tcPr>
          <w:p w14:paraId="5DE08C4A">
            <w:pPr>
              <w:keepNext w:val="0"/>
              <w:keepLines w:val="0"/>
              <w:pageBreakBefore w:val="0"/>
              <w:kinsoku/>
              <w:wordWrap/>
              <w:overflowPunct/>
              <w:topLinePunct w:val="0"/>
              <w:autoSpaceDE/>
              <w:autoSpaceDN/>
              <w:bidi w:val="0"/>
              <w:adjustRightInd/>
              <w:snapToGrid/>
              <w:spacing w:line="240" w:lineRule="auto"/>
              <w:ind w:left="0" w:leftChars="0"/>
              <w:jc w:val="left"/>
              <w:textAlignment w:val="auto"/>
              <w:rPr>
                <w:rFonts w:hint="default" w:ascii="Times New Roman" w:hAnsi="Times New Roman" w:cs="Times New Roman" w:eastAsiaTheme="minorEastAsia"/>
                <w:color w:val="000000" w:themeColor="text1"/>
                <w:sz w:val="21"/>
                <w:szCs w:val="21"/>
                <w:highlight w:val="none"/>
                <w:vertAlign w:val="baseli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14:textFill>
                  <w14:solidFill>
                    <w14:schemeClr w14:val="tx1"/>
                  </w14:solidFill>
                </w14:textFill>
              </w:rPr>
              <w:t>避免热、明火和强氧化剂。所有处理设备要进行接地，以防电火花。如果处于高温下或高速运动的机械设备中，可能会释放出蒸气或雾，因此需要良好的通风，使用防爆通风设备。</w:t>
            </w:r>
          </w:p>
        </w:tc>
      </w:tr>
      <w:tr w14:paraId="1DDEED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4" w:type="dxa"/>
            <w:vMerge w:val="continue"/>
            <w:tcBorders>
              <w:tl2br w:val="nil"/>
              <w:tr2bl w:val="nil"/>
            </w:tcBorders>
            <w:vAlign w:val="center"/>
          </w:tcPr>
          <w:p w14:paraId="0CF8D0CA">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vertAlign w:val="baseline"/>
                <w14:textFill>
                  <w14:solidFill>
                    <w14:schemeClr w14:val="tx1"/>
                  </w14:solidFill>
                </w14:textFill>
              </w:rPr>
            </w:pPr>
          </w:p>
        </w:tc>
        <w:tc>
          <w:tcPr>
            <w:tcW w:w="1237" w:type="dxa"/>
            <w:tcBorders>
              <w:tl2br w:val="nil"/>
              <w:tr2bl w:val="nil"/>
            </w:tcBorders>
            <w:vAlign w:val="center"/>
          </w:tcPr>
          <w:p w14:paraId="5DA10137">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eastAsia="zh-CN"/>
                <w14:textFill>
                  <w14:solidFill>
                    <w14:schemeClr w14:val="tx1"/>
                  </w14:solidFill>
                </w14:textFill>
              </w:rPr>
              <w:t>贮存</w:t>
            </w:r>
          </w:p>
        </w:tc>
        <w:tc>
          <w:tcPr>
            <w:tcW w:w="6981" w:type="dxa"/>
            <w:gridSpan w:val="2"/>
            <w:tcBorders>
              <w:tl2br w:val="nil"/>
              <w:tr2bl w:val="nil"/>
            </w:tcBorders>
            <w:vAlign w:val="center"/>
          </w:tcPr>
          <w:p w14:paraId="2CAEE15F">
            <w:pPr>
              <w:keepNext w:val="0"/>
              <w:keepLines w:val="0"/>
              <w:pageBreakBefore w:val="0"/>
              <w:kinsoku/>
              <w:wordWrap/>
              <w:overflowPunct/>
              <w:topLinePunct w:val="0"/>
              <w:autoSpaceDE/>
              <w:autoSpaceDN/>
              <w:bidi w:val="0"/>
              <w:adjustRightInd/>
              <w:snapToGrid/>
              <w:spacing w:line="240" w:lineRule="auto"/>
              <w:ind w:left="0" w:leftChars="0"/>
              <w:jc w:val="left"/>
              <w:textAlignment w:val="auto"/>
              <w:rPr>
                <w:rFonts w:hint="default" w:ascii="Times New Roman" w:hAnsi="Times New Roman" w:cs="Times New Roman" w:eastAsiaTheme="minorEastAsia"/>
                <w:color w:val="000000" w:themeColor="text1"/>
                <w:sz w:val="21"/>
                <w:szCs w:val="21"/>
                <w:highlight w:val="none"/>
                <w:vertAlign w:val="baseli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14:textFill>
                  <w14:solidFill>
                    <w14:schemeClr w14:val="tx1"/>
                  </w14:solidFill>
                </w14:textFill>
              </w:rPr>
              <w:t>贮存于干燥，凉爽环境下，通风良好处。避免强烈日光，明火和高温</w:t>
            </w:r>
          </w:p>
        </w:tc>
      </w:tr>
      <w:tr w14:paraId="39C5CA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4" w:type="dxa"/>
            <w:tcBorders>
              <w:tl2br w:val="nil"/>
              <w:tr2bl w:val="nil"/>
            </w:tcBorders>
            <w:vAlign w:val="center"/>
          </w:tcPr>
          <w:p w14:paraId="5D4657E4">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eastAsia="zh-CN"/>
                <w14:textFill>
                  <w14:solidFill>
                    <w14:schemeClr w14:val="tx1"/>
                  </w14:solidFill>
                </w14:textFill>
              </w:rPr>
              <w:t>接触</w:t>
            </w:r>
          </w:p>
        </w:tc>
        <w:tc>
          <w:tcPr>
            <w:tcW w:w="1237" w:type="dxa"/>
            <w:tcBorders>
              <w:tl2br w:val="nil"/>
              <w:tr2bl w:val="nil"/>
            </w:tcBorders>
            <w:vAlign w:val="center"/>
          </w:tcPr>
          <w:p w14:paraId="1B5A2555">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eastAsia="zh-CN"/>
                <w14:textFill>
                  <w14:solidFill>
                    <w14:schemeClr w14:val="tx1"/>
                  </w14:solidFill>
                </w14:textFill>
              </w:rPr>
              <w:t>控制因素</w:t>
            </w:r>
          </w:p>
        </w:tc>
        <w:tc>
          <w:tcPr>
            <w:tcW w:w="6981" w:type="dxa"/>
            <w:gridSpan w:val="2"/>
            <w:tcBorders>
              <w:tl2br w:val="nil"/>
              <w:tr2bl w:val="nil"/>
            </w:tcBorders>
            <w:vAlign w:val="center"/>
          </w:tcPr>
          <w:p w14:paraId="6782C725">
            <w:pPr>
              <w:keepNext w:val="0"/>
              <w:keepLines w:val="0"/>
              <w:pageBreakBefore w:val="0"/>
              <w:kinsoku/>
              <w:wordWrap/>
              <w:overflowPunct/>
              <w:topLinePunct w:val="0"/>
              <w:autoSpaceDE/>
              <w:autoSpaceDN/>
              <w:bidi w:val="0"/>
              <w:adjustRightInd/>
              <w:snapToGrid/>
              <w:spacing w:line="240" w:lineRule="auto"/>
              <w:ind w:left="0" w:leftChars="0"/>
              <w:jc w:val="left"/>
              <w:textAlignment w:val="auto"/>
              <w:rPr>
                <w:rFonts w:hint="default" w:ascii="Times New Roman" w:hAnsi="Times New Roman" w:cs="Times New Roman" w:eastAsiaTheme="minorEastAsia"/>
                <w:color w:val="000000" w:themeColor="text1"/>
                <w:sz w:val="21"/>
                <w:szCs w:val="21"/>
                <w:highlight w:val="none"/>
                <w:vertAlign w:val="baseli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14:textFill>
                  <w14:solidFill>
                    <w14:schemeClr w14:val="tx1"/>
                  </w14:solidFill>
                </w14:textFill>
              </w:rPr>
              <w:t>如果存在矿物油的尘雾，应进行通风。</w:t>
            </w:r>
          </w:p>
        </w:tc>
      </w:tr>
    </w:tbl>
    <w:p w14:paraId="4BED93F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default" w:ascii="Times New Roman" w:hAnsi="Times New Roman" w:eastAsia="宋体" w:cs="Times New Roman"/>
          <w:b/>
          <w:snapToGrid/>
          <w:color w:val="FF0000"/>
          <w:kern w:val="2"/>
          <w:sz w:val="24"/>
          <w:szCs w:val="24"/>
          <w:highlight w:val="none"/>
          <w:lang w:val="en-US" w:eastAsia="zh-CN" w:bidi="ar-SA"/>
        </w:rPr>
      </w:pPr>
    </w:p>
    <w:p w14:paraId="705C5B18">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(2)生产装置风险识别</w:t>
      </w:r>
    </w:p>
    <w:p w14:paraId="5A551DC5">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eastAsia" w:cs="Times New Roman" w:eastAsiaTheme="minorEastAsia"/>
          <w:snapToGrid w:val="0"/>
          <w:color w:val="000000" w:themeColor="text1"/>
          <w:sz w:val="24"/>
          <w:highlight w:val="none"/>
          <w:lang w:val="en-US" w:eastAsia="zh-CN"/>
          <w14:textFill>
            <w14:solidFill>
              <w14:schemeClr w14:val="tx1"/>
            </w14:solidFill>
          </w14:textFill>
        </w:rPr>
        <w:t>矿物油主要存在于</w:t>
      </w:r>
      <w:r>
        <w:rPr>
          <w:rFonts w:hint="eastAsia" w:ascii="宋体" w:hAnsi="宋体" w:eastAsia="宋体"/>
          <w:color w:val="000000" w:themeColor="text1"/>
          <w:sz w:val="24"/>
          <w14:textFill>
            <w14:solidFill>
              <w14:schemeClr w14:val="tx1"/>
            </w14:solidFill>
          </w14:textFill>
        </w:rPr>
        <w:t>风力发电机组中</w:t>
      </w:r>
      <w:r>
        <w:rPr>
          <w:rFonts w:hint="eastAsia" w:ascii="宋体" w:hAnsi="宋体" w:eastAsia="宋体"/>
          <w:color w:val="000000" w:themeColor="text1"/>
          <w:sz w:val="24"/>
          <w:lang w:val="en-US" w:eastAsia="zh-CN"/>
          <w14:textFill>
            <w14:solidFill>
              <w14:schemeClr w14:val="tx1"/>
            </w14:solidFill>
          </w14:textFill>
        </w:rPr>
        <w:t>的</w:t>
      </w:r>
      <w:r>
        <w:rPr>
          <w:rFonts w:hint="eastAsia" w:ascii="宋体" w:hAnsi="宋体" w:eastAsia="宋体"/>
          <w:color w:val="000000" w:themeColor="text1"/>
          <w:sz w:val="24"/>
          <w14:textFill>
            <w14:solidFill>
              <w14:schemeClr w14:val="tx1"/>
            </w14:solidFill>
          </w14:textFill>
        </w:rPr>
        <w:t>转动部件，如偏航轴承、变桨轴承、减速器齿轮、发电机轴承、液压控制系统等</w:t>
      </w:r>
      <w:r>
        <w:rPr>
          <w:rFonts w:hint="eastAsia" w:ascii="宋体" w:hAnsi="宋体" w:eastAsia="宋体"/>
          <w:color w:val="000000" w:themeColor="text1"/>
          <w:sz w:val="24"/>
          <w:lang w:val="en-US" w:eastAsia="zh-CN"/>
          <w14:textFill>
            <w14:solidFill>
              <w14:schemeClr w14:val="tx1"/>
            </w14:solidFill>
          </w14:textFill>
        </w:rPr>
        <w:t>内部</w:t>
      </w:r>
      <w:r>
        <w:rPr>
          <w:rFonts w:hint="eastAsia" w:ascii="宋体" w:hAnsi="宋体" w:eastAsia="宋体"/>
          <w:color w:val="000000" w:themeColor="text1"/>
          <w:sz w:val="24"/>
          <w:lang w:eastAsia="zh-CN"/>
          <w14:textFill>
            <w14:solidFill>
              <w14:schemeClr w14:val="tx1"/>
            </w14:solidFill>
          </w14:textFill>
        </w:rPr>
        <w:t>，</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不会造成对人身、环境的危害。但</w:t>
      </w:r>
      <w:r>
        <w:rPr>
          <w:rFonts w:hint="eastAsia" w:cs="Times New Roman" w:eastAsiaTheme="minorEastAsia"/>
          <w:snapToGrid w:val="0"/>
          <w:color w:val="000000" w:themeColor="text1"/>
          <w:sz w:val="24"/>
          <w:highlight w:val="none"/>
          <w:lang w:val="en-US" w:eastAsia="zh-CN"/>
          <w14:textFill>
            <w14:solidFill>
              <w14:schemeClr w14:val="tx1"/>
            </w14:solidFill>
          </w14:textFill>
        </w:rPr>
        <w:t>可能因为设备故障或在检修过程中操作不当发生</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泄漏，遇明火后可能发生火灾、爆炸事故。</w:t>
      </w:r>
    </w:p>
    <w:p w14:paraId="24C7FF9D">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(3)贮运系统风险识别</w:t>
      </w:r>
    </w:p>
    <w:p w14:paraId="786D0CD6">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jc w:val="left"/>
        <w:textAlignment w:val="auto"/>
        <w:rPr>
          <w:rFonts w:hint="default" w:ascii="Times New Roman" w:hAnsi="Times New Roman" w:cs="Times New Roman" w:eastAsiaTheme="minorEastAsia"/>
          <w:snapToGrid w:val="0"/>
          <w:color w:val="FF0000"/>
          <w:sz w:val="24"/>
          <w:highlight w:val="none"/>
          <w:lang w:val="en-US" w:eastAsia="zh-CN"/>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为防止油污染，</w:t>
      </w:r>
      <w:r>
        <w:rPr>
          <w:rFonts w:hint="eastAsia" w:cs="Times New Roman" w:eastAsiaTheme="minorEastAsia"/>
          <w:snapToGrid w:val="0"/>
          <w:color w:val="000000" w:themeColor="text1"/>
          <w:sz w:val="24"/>
          <w:highlight w:val="none"/>
          <w:lang w:val="en-US" w:eastAsia="zh-CN"/>
          <w14:textFill>
            <w14:solidFill>
              <w14:schemeClr w14:val="tx1"/>
            </w14:solidFill>
          </w14:textFill>
        </w:rPr>
        <w:t>本项目</w:t>
      </w:r>
      <w:r>
        <w:rPr>
          <w:rFonts w:hint="eastAsia" w:ascii="宋体" w:hAnsi="宋体" w:eastAsia="宋体"/>
          <w:color w:val="000000" w:themeColor="text1"/>
          <w:sz w:val="24"/>
          <w14:textFill>
            <w14:solidFill>
              <w14:schemeClr w14:val="tx1"/>
            </w14:solidFill>
          </w14:textFill>
        </w:rPr>
        <w:t>废矿物油即产即清，交由有资质单位处置，不在场内暂存</w:t>
      </w:r>
      <w:r>
        <w:rPr>
          <w:rFonts w:hint="eastAsia" w:ascii="宋体" w:hAnsi="宋体" w:eastAsia="宋体"/>
          <w:color w:val="000000" w:themeColor="text1"/>
          <w:sz w:val="24"/>
          <w:lang w:eastAsia="zh-CN"/>
          <w14:textFill>
            <w14:solidFill>
              <w14:schemeClr w14:val="tx1"/>
            </w14:solidFill>
          </w14:textFill>
        </w:rPr>
        <w:t>。</w:t>
      </w:r>
    </w:p>
    <w:p w14:paraId="4294AB67">
      <w:pPr>
        <w:keepNext w:val="0"/>
        <w:keepLines w:val="0"/>
        <w:pageBreakBefore w:val="0"/>
        <w:widowControl w:val="0"/>
        <w:numPr>
          <w:ilvl w:val="0"/>
          <w:numId w:val="0"/>
        </w:numPr>
        <w:tabs>
          <w:tab w:val="left" w:pos="1260"/>
        </w:tabs>
        <w:kinsoku/>
        <w:wordWrap/>
        <w:overflowPunct/>
        <w:topLinePunct w:val="0"/>
        <w:autoSpaceDE/>
        <w:autoSpaceDN/>
        <w:bidi w:val="0"/>
        <w:adjustRightInd/>
        <w:snapToGrid w:val="0"/>
        <w:spacing w:line="360" w:lineRule="auto"/>
        <w:textAlignment w:val="auto"/>
        <w:outlineLvl w:val="9"/>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t>5.2.8.4 环境风险分析</w:t>
      </w:r>
    </w:p>
    <w:p w14:paraId="5A0057C2">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(1)油品泄漏着火对大气环境影响分析</w:t>
      </w:r>
    </w:p>
    <w:p w14:paraId="0096936C">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eastAsia" w:cs="Times New Roman" w:eastAsiaTheme="minorEastAsia"/>
          <w:snapToGrid w:val="0"/>
          <w:color w:val="000000" w:themeColor="text1"/>
          <w:sz w:val="24"/>
          <w:highlight w:val="none"/>
          <w:lang w:val="en-US" w:eastAsia="zh-CN"/>
          <w14:textFill>
            <w14:solidFill>
              <w14:schemeClr w14:val="tx1"/>
            </w14:solidFill>
          </w14:textFill>
        </w:rPr>
        <w:t>矿物</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油虽然不属于易燃易爆危险品，但属于可燃液体，</w:t>
      </w:r>
      <w:r>
        <w:rPr>
          <w:rFonts w:hint="eastAsia" w:cs="Times New Roman" w:eastAsiaTheme="minorEastAsia"/>
          <w:snapToGrid w:val="0"/>
          <w:color w:val="000000" w:themeColor="text1"/>
          <w:sz w:val="24"/>
          <w:highlight w:val="none"/>
          <w:lang w:val="en-US" w:eastAsia="zh-CN"/>
          <w14:textFill>
            <w14:solidFill>
              <w14:schemeClr w14:val="tx1"/>
            </w14:solidFill>
          </w14:textFill>
        </w:rPr>
        <w:t>当</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受雷击影响或外界火灾等因素影响，</w:t>
      </w:r>
      <w:r>
        <w:rPr>
          <w:rFonts w:hint="eastAsia" w:cs="Times New Roman" w:eastAsiaTheme="minorEastAsia"/>
          <w:snapToGrid w:val="0"/>
          <w:color w:val="000000" w:themeColor="text1"/>
          <w:sz w:val="24"/>
          <w:highlight w:val="none"/>
          <w:lang w:val="en-US" w:eastAsia="zh-CN"/>
          <w14:textFill>
            <w14:solidFill>
              <w14:schemeClr w14:val="tx1"/>
            </w14:solidFill>
          </w14:textFill>
        </w:rPr>
        <w:t>可能</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导致</w:t>
      </w:r>
      <w:r>
        <w:rPr>
          <w:rFonts w:hint="eastAsia" w:cs="Times New Roman" w:eastAsiaTheme="minorEastAsia"/>
          <w:snapToGrid w:val="0"/>
          <w:color w:val="000000" w:themeColor="text1"/>
          <w:sz w:val="24"/>
          <w:highlight w:val="none"/>
          <w:lang w:val="en-US" w:eastAsia="zh-CN"/>
          <w14:textFill>
            <w14:solidFill>
              <w14:schemeClr w14:val="tx1"/>
            </w14:solidFill>
          </w14:textFill>
        </w:rPr>
        <w:t>设备</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的结构破坏，发生火灾事故，将产生大量的热能，对周围环境产生较大的影响，同时，燃烧过程中会产生大量的SO</w:t>
      </w:r>
      <w:r>
        <w:rPr>
          <w:rFonts w:hint="default" w:ascii="Times New Roman" w:hAnsi="Times New Roman" w:cs="Times New Roman" w:eastAsiaTheme="minorEastAsia"/>
          <w:snapToGrid w:val="0"/>
          <w:color w:val="000000" w:themeColor="text1"/>
          <w:sz w:val="24"/>
          <w:highlight w:val="none"/>
          <w:vertAlign w:val="subscript"/>
          <w:lang w:val="en-US" w:eastAsia="zh-CN"/>
          <w14:textFill>
            <w14:solidFill>
              <w14:schemeClr w14:val="tx1"/>
            </w14:solidFill>
          </w14:textFill>
        </w:rPr>
        <w:t>2</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、NO</w:t>
      </w:r>
      <w:r>
        <w:rPr>
          <w:rFonts w:hint="default" w:ascii="Times New Roman" w:hAnsi="Times New Roman" w:cs="Times New Roman" w:eastAsiaTheme="minorEastAsia"/>
          <w:snapToGrid w:val="0"/>
          <w:color w:val="000000" w:themeColor="text1"/>
          <w:sz w:val="24"/>
          <w:highlight w:val="none"/>
          <w:vertAlign w:val="subscript"/>
          <w:lang w:val="en-US" w:eastAsia="zh-CN"/>
          <w14:textFill>
            <w14:solidFill>
              <w14:schemeClr w14:val="tx1"/>
            </w14:solidFill>
          </w14:textFill>
        </w:rPr>
        <w:t>X</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、烟尘、非甲烷总烃及CO等大气污染物，会对周围环境空气质量造成一定影响。</w:t>
      </w:r>
    </w:p>
    <w:p w14:paraId="3F766EBE">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(2)油品泄漏对土壤和地下水环境影响分析</w:t>
      </w:r>
    </w:p>
    <w:p w14:paraId="39499B3D">
      <w:pPr>
        <w:keepNext w:val="0"/>
        <w:keepLines w:val="0"/>
        <w:pageBreakBefore w:val="0"/>
        <w:widowControl w:val="0"/>
        <w:kinsoku/>
        <w:wordWrap/>
        <w:overflowPunct/>
        <w:topLinePunct w:val="0"/>
        <w:autoSpaceDE/>
        <w:autoSpaceDN/>
        <w:bidi w:val="0"/>
        <w:adjustRightInd/>
        <w:snapToGrid w:val="0"/>
        <w:ind w:left="0" w:leftChars="0" w:firstLine="480" w:firstLineChars="200"/>
        <w:jc w:val="left"/>
        <w:textAlignment w:val="auto"/>
        <w:rPr>
          <w:rFonts w:hint="default" w:ascii="Times New Roman" w:hAnsi="Times New Roman" w:cs="Times New Roman" w:eastAsiaTheme="minorEastAsia"/>
          <w:snapToGrid w:val="0"/>
          <w:color w:val="FF0000"/>
          <w:sz w:val="24"/>
          <w:highlight w:val="none"/>
          <w:lang w:val="en-US" w:eastAsia="zh-CN"/>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为防止油污染，</w:t>
      </w:r>
      <w:r>
        <w:rPr>
          <w:rFonts w:hint="eastAsia" w:cs="Times New Roman" w:eastAsiaTheme="minorEastAsia"/>
          <w:snapToGrid w:val="0"/>
          <w:color w:val="000000" w:themeColor="text1"/>
          <w:sz w:val="24"/>
          <w:highlight w:val="none"/>
          <w:lang w:val="en-US" w:eastAsia="zh-CN"/>
          <w14:textFill>
            <w14:solidFill>
              <w14:schemeClr w14:val="tx1"/>
            </w14:solidFill>
          </w14:textFill>
        </w:rPr>
        <w:t>本项目</w:t>
      </w:r>
      <w:r>
        <w:rPr>
          <w:rFonts w:hint="eastAsia" w:ascii="宋体" w:hAnsi="宋体" w:eastAsia="宋体"/>
          <w:color w:val="000000" w:themeColor="text1"/>
          <w:sz w:val="24"/>
          <w14:textFill>
            <w14:solidFill>
              <w14:schemeClr w14:val="tx1"/>
            </w14:solidFill>
          </w14:textFill>
        </w:rPr>
        <w:t>废矿物油即产即清，交由有资质单位处置，不在场内暂存</w:t>
      </w:r>
      <w:r>
        <w:rPr>
          <w:rFonts w:hint="eastAsia" w:ascii="宋体" w:hAnsi="宋体" w:eastAsia="宋体"/>
          <w:color w:val="000000" w:themeColor="text1"/>
          <w:sz w:val="24"/>
          <w:lang w:eastAsia="zh-CN"/>
          <w14:textFill>
            <w14:solidFill>
              <w14:schemeClr w14:val="tx1"/>
            </w14:solidFill>
          </w14:textFill>
        </w:rPr>
        <w:t>，</w:t>
      </w:r>
      <w:r>
        <w:rPr>
          <w:rFonts w:hint="eastAsia" w:ascii="宋体" w:hAnsi="宋体" w:eastAsia="宋体"/>
          <w:sz w:val="24"/>
        </w:rPr>
        <w:t>风机运行期间，若发现风机缺油，缺油的风机需要定期更换润滑油，在更换矿物油过程中发生泄漏，或事故状态下风力发电机组中转动部件润滑油出现遗漏，如处理不善泄漏矿物油会随着风机塔筒径流至塔筒基座，可能会对周边水源地的水质造成污染。</w:t>
      </w:r>
    </w:p>
    <w:p w14:paraId="20B2E4B5">
      <w:pPr>
        <w:keepNext w:val="0"/>
        <w:keepLines w:val="0"/>
        <w:pageBreakBefore w:val="0"/>
        <w:widowControl w:val="0"/>
        <w:numPr>
          <w:ilvl w:val="0"/>
          <w:numId w:val="0"/>
        </w:numPr>
        <w:tabs>
          <w:tab w:val="left" w:pos="1260"/>
        </w:tabs>
        <w:kinsoku/>
        <w:wordWrap/>
        <w:overflowPunct/>
        <w:topLinePunct w:val="0"/>
        <w:autoSpaceDE/>
        <w:autoSpaceDN/>
        <w:bidi w:val="0"/>
        <w:adjustRightInd/>
        <w:snapToGrid w:val="0"/>
        <w:spacing w:line="360" w:lineRule="auto"/>
        <w:textAlignment w:val="auto"/>
        <w:outlineLvl w:val="9"/>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t>5.2.8.5 环境风险防范措施及应急要求</w:t>
      </w:r>
    </w:p>
    <w:p w14:paraId="2B00D80F">
      <w:pPr>
        <w:keepNext w:val="0"/>
        <w:keepLines w:val="0"/>
        <w:pageBreakBefore w:val="0"/>
        <w:widowControl w:val="0"/>
        <w:kinsoku/>
        <w:wordWrap/>
        <w:overflowPunct/>
        <w:topLinePunct w:val="0"/>
        <w:autoSpaceDE/>
        <w:autoSpaceDN/>
        <w:bidi w:val="0"/>
        <w:adjustRightInd/>
        <w:snapToGrid w:val="0"/>
        <w:ind w:left="0" w:leftChars="0" w:firstLine="482" w:firstLineChars="200"/>
        <w:jc w:val="left"/>
        <w:textAlignment w:val="auto"/>
        <w:rPr>
          <w:rFonts w:hint="eastAsia" w:ascii="宋体" w:hAnsi="宋体" w:eastAsia="宋体"/>
          <w:b/>
          <w:bCs/>
          <w:color w:val="000000" w:themeColor="text1"/>
          <w:sz w:val="24"/>
          <w14:textFill>
            <w14:solidFill>
              <w14:schemeClr w14:val="tx1"/>
            </w14:solidFill>
          </w14:textFill>
        </w:rPr>
      </w:pPr>
      <w:r>
        <w:rPr>
          <w:rFonts w:hint="default"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t>(</w:t>
      </w:r>
      <w:r>
        <w:rPr>
          <w:rFonts w:hint="eastAsia" w:cs="Times New Roman" w:eastAsiaTheme="minorEastAsia"/>
          <w:b/>
          <w:bCs/>
          <w:snapToGrid w:val="0"/>
          <w:color w:val="000000" w:themeColor="text1"/>
          <w:sz w:val="24"/>
          <w:highlight w:val="none"/>
          <w:lang w:val="en-US" w:eastAsia="zh-CN"/>
          <w14:textFill>
            <w14:solidFill>
              <w14:schemeClr w14:val="tx1"/>
            </w14:solidFill>
          </w14:textFill>
        </w:rPr>
        <w:t>1</w:t>
      </w:r>
      <w:r>
        <w:rPr>
          <w:rFonts w:hint="default"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t>)</w:t>
      </w:r>
      <w:r>
        <w:rPr>
          <w:rFonts w:hint="eastAsia" w:ascii="宋体" w:hAnsi="宋体" w:eastAsia="宋体"/>
          <w:b/>
          <w:bCs/>
          <w:color w:val="000000" w:themeColor="text1"/>
          <w:sz w:val="24"/>
          <w14:textFill>
            <w14:solidFill>
              <w14:schemeClr w14:val="tx1"/>
            </w14:solidFill>
          </w14:textFill>
        </w:rPr>
        <w:t>风机维修与运营期环境风险防范措施</w:t>
      </w:r>
    </w:p>
    <w:p w14:paraId="19FDDA57">
      <w:pPr>
        <w:keepNext w:val="0"/>
        <w:keepLines w:val="0"/>
        <w:pageBreakBefore w:val="0"/>
        <w:widowControl w:val="0"/>
        <w:kinsoku/>
        <w:wordWrap/>
        <w:overflowPunct/>
        <w:topLinePunct w:val="0"/>
        <w:autoSpaceDE/>
        <w:autoSpaceDN/>
        <w:bidi w:val="0"/>
        <w:adjustRightInd/>
        <w:snapToGrid w:val="0"/>
        <w:ind w:left="0" w:leftChars="0" w:firstLine="480" w:firstLineChars="200"/>
        <w:jc w:val="left"/>
        <w:textAlignment w:val="auto"/>
        <w:rPr>
          <w:rFonts w:hint="eastAsia"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①运营期维护人员对风电机组进行定期检查，防止发生滴、漏现象。</w:t>
      </w:r>
    </w:p>
    <w:p w14:paraId="6A5F9BDD">
      <w:pPr>
        <w:keepNext w:val="0"/>
        <w:keepLines w:val="0"/>
        <w:pageBreakBefore w:val="0"/>
        <w:widowControl w:val="0"/>
        <w:kinsoku/>
        <w:wordWrap/>
        <w:overflowPunct/>
        <w:topLinePunct w:val="0"/>
        <w:autoSpaceDE/>
        <w:autoSpaceDN/>
        <w:bidi w:val="0"/>
        <w:adjustRightInd/>
        <w:snapToGrid w:val="0"/>
        <w:ind w:left="0" w:leftChars="0" w:firstLine="480" w:firstLineChars="200"/>
        <w:jc w:val="left"/>
        <w:textAlignment w:val="auto"/>
        <w:rPr>
          <w:rFonts w:hint="eastAsia"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②风机转动部件采取密封圈密封处理。风机转动部件自身配有空气过滤器、高效油滤器，能防止油洒落在地面。</w:t>
      </w:r>
    </w:p>
    <w:p w14:paraId="2054DFF2">
      <w:pPr>
        <w:keepNext w:val="0"/>
        <w:keepLines w:val="0"/>
        <w:pageBreakBefore w:val="0"/>
        <w:widowControl w:val="0"/>
        <w:kinsoku/>
        <w:wordWrap/>
        <w:overflowPunct/>
        <w:topLinePunct w:val="0"/>
        <w:autoSpaceDE/>
        <w:autoSpaceDN/>
        <w:bidi w:val="0"/>
        <w:adjustRightInd/>
        <w:snapToGrid w:val="0"/>
        <w:ind w:left="0" w:leftChars="0" w:firstLine="480" w:firstLineChars="200"/>
        <w:jc w:val="left"/>
        <w:textAlignment w:val="auto"/>
        <w:rPr>
          <w:rFonts w:hint="eastAsia"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③风机塔基础采用混凝土浇筑，底座铺设防渗材料，并设置</w:t>
      </w:r>
      <w:r>
        <w:rPr>
          <w:rFonts w:hint="eastAsia" w:ascii="TimesNewRomanPSMT" w:hAnsi="TimesNewRomanPSMT" w:eastAsia="TimesNewRomanPSMT"/>
          <w:color w:val="000000" w:themeColor="text1"/>
          <w:sz w:val="24"/>
          <w14:textFill>
            <w14:solidFill>
              <w14:schemeClr w14:val="tx1"/>
            </w14:solidFill>
          </w14:textFill>
        </w:rPr>
        <w:t xml:space="preserve">10 </w:t>
      </w:r>
      <w:r>
        <w:rPr>
          <w:rFonts w:hint="eastAsia" w:ascii="宋体" w:hAnsi="宋体" w:eastAsia="宋体"/>
          <w:color w:val="000000" w:themeColor="text1"/>
          <w:sz w:val="24"/>
          <w14:textFill>
            <w14:solidFill>
              <w14:schemeClr w14:val="tx1"/>
            </w14:solidFill>
          </w14:textFill>
        </w:rPr>
        <w:t>厘米围堰等，可有效防止油品渗入土壤及地下水环境。</w:t>
      </w:r>
    </w:p>
    <w:p w14:paraId="5B6B1385">
      <w:pPr>
        <w:keepNext w:val="0"/>
        <w:keepLines w:val="0"/>
        <w:pageBreakBefore w:val="0"/>
        <w:widowControl w:val="0"/>
        <w:kinsoku/>
        <w:wordWrap/>
        <w:overflowPunct/>
        <w:topLinePunct w:val="0"/>
        <w:autoSpaceDE/>
        <w:autoSpaceDN/>
        <w:bidi w:val="0"/>
        <w:adjustRightInd/>
        <w:snapToGrid w:val="0"/>
        <w:ind w:left="0" w:leftChars="0" w:firstLine="480" w:firstLineChars="200"/>
        <w:jc w:val="left"/>
        <w:textAlignment w:val="auto"/>
        <w:rPr>
          <w:rFonts w:hint="eastAsia"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④风电机组为密闭系统，运营期正常运转时无废矿物油（含废润滑油、废液压油等）产生。工程检修委托有资质的电力运行维护专业公司进行，检修期间产生的少量废油（主要滴落在风机塔筒内）即产即清，交由有资质单位清运处置，不在场内暂存。</w:t>
      </w:r>
    </w:p>
    <w:p w14:paraId="1CB32F9A">
      <w:pPr>
        <w:keepNext w:val="0"/>
        <w:keepLines w:val="0"/>
        <w:pageBreakBefore w:val="0"/>
        <w:widowControl w:val="0"/>
        <w:kinsoku/>
        <w:wordWrap/>
        <w:overflowPunct/>
        <w:topLinePunct w:val="0"/>
        <w:autoSpaceDE/>
        <w:autoSpaceDN/>
        <w:bidi w:val="0"/>
        <w:adjustRightInd/>
        <w:snapToGrid w:val="0"/>
        <w:ind w:left="0" w:leftChars="0" w:firstLine="480" w:firstLineChars="200"/>
        <w:jc w:val="left"/>
        <w:textAlignment w:val="auto"/>
        <w:rPr>
          <w:rFonts w:hint="eastAsia"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⑤风电场野外环境无法满足箱式变压器开箱维修环境，因此若巡检发现箱式变压器故障时，由变压器厂家上门整机运走返厂修理。</w:t>
      </w:r>
    </w:p>
    <w:p w14:paraId="28CF1ACD">
      <w:pPr>
        <w:keepNext w:val="0"/>
        <w:keepLines w:val="0"/>
        <w:pageBreakBefore w:val="0"/>
        <w:widowControl w:val="0"/>
        <w:kinsoku/>
        <w:wordWrap/>
        <w:overflowPunct/>
        <w:topLinePunct w:val="0"/>
        <w:autoSpaceDE/>
        <w:autoSpaceDN/>
        <w:bidi w:val="0"/>
        <w:adjustRightInd/>
        <w:snapToGrid w:val="0"/>
        <w:ind w:left="0" w:leftChars="0" w:firstLine="480" w:firstLineChars="200"/>
        <w:jc w:val="left"/>
        <w:textAlignment w:val="auto"/>
        <w:rPr>
          <w:rFonts w:hint="eastAsia"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⑥运输车辆，尤其是运输危险废物的车辆在经过靠近水源二级保护区路段时加强管理。在运输之前应做出周密的运输计划和行驶路线，其中包括有效的废物泄漏情况下的应急措施。对每辆危险废物运输车辆实行</w:t>
      </w:r>
      <w:r>
        <w:rPr>
          <w:rFonts w:hint="eastAsia" w:ascii="TimesNewRomanPSMT" w:hAnsi="TimesNewRomanPSMT" w:eastAsia="TimesNewRomanPSMT"/>
          <w:color w:val="000000" w:themeColor="text1"/>
          <w:sz w:val="24"/>
          <w14:textFill>
            <w14:solidFill>
              <w14:schemeClr w14:val="tx1"/>
            </w14:solidFill>
          </w14:textFill>
        </w:rPr>
        <w:t xml:space="preserve">GPS </w:t>
      </w:r>
      <w:r>
        <w:rPr>
          <w:rFonts w:hint="eastAsia" w:ascii="宋体" w:hAnsi="宋体" w:eastAsia="宋体"/>
          <w:color w:val="000000" w:themeColor="text1"/>
          <w:sz w:val="24"/>
          <w14:textFill>
            <w14:solidFill>
              <w14:schemeClr w14:val="tx1"/>
            </w14:solidFill>
          </w14:textFill>
        </w:rPr>
        <w:t>监控管理，实时监督危险废物运输现况。</w:t>
      </w:r>
    </w:p>
    <w:p w14:paraId="44666E7D">
      <w:pPr>
        <w:keepNext w:val="0"/>
        <w:keepLines w:val="0"/>
        <w:pageBreakBefore w:val="0"/>
        <w:widowControl w:val="0"/>
        <w:kinsoku/>
        <w:wordWrap/>
        <w:overflowPunct/>
        <w:topLinePunct w:val="0"/>
        <w:autoSpaceDE/>
        <w:autoSpaceDN/>
        <w:bidi w:val="0"/>
        <w:adjustRightInd/>
        <w:snapToGrid w:val="0"/>
        <w:ind w:left="0" w:leftChars="0" w:firstLine="480" w:firstLineChars="200"/>
        <w:jc w:val="left"/>
        <w:textAlignment w:val="auto"/>
        <w:rPr>
          <w:rFonts w:hint="eastAsia"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⑦委托的运输公司注重对运输车司机的培训，不仅要求运输车辆严格按照指定的运输路线行驶，并注重运输过程的安全，而且还培训运输路线经过的河流、地下水水源地及市镇村庄等保护目标，并强化对保护目标的保护意识，做到主动减速慢行，减少事故风险。</w:t>
      </w:r>
    </w:p>
    <w:p w14:paraId="4C85D6D9">
      <w:pPr>
        <w:keepNext w:val="0"/>
        <w:keepLines w:val="0"/>
        <w:pageBreakBefore w:val="0"/>
        <w:widowControl w:val="0"/>
        <w:kinsoku/>
        <w:wordWrap/>
        <w:overflowPunct/>
        <w:topLinePunct w:val="0"/>
        <w:autoSpaceDE/>
        <w:autoSpaceDN/>
        <w:bidi w:val="0"/>
        <w:adjustRightInd/>
        <w:snapToGrid w:val="0"/>
        <w:ind w:left="0" w:leftChars="0" w:firstLine="482" w:firstLineChars="200"/>
        <w:jc w:val="left"/>
        <w:textAlignment w:val="auto"/>
        <w:rPr>
          <w:rFonts w:hint="eastAsia"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t>(</w:t>
      </w:r>
      <w:r>
        <w:rPr>
          <w:rFonts w:hint="eastAsia"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t>2</w:t>
      </w:r>
      <w:r>
        <w:rPr>
          <w:rFonts w:hint="default"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t>)</w:t>
      </w:r>
      <w:r>
        <w:rPr>
          <w:rFonts w:hint="eastAsia"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t>火灾风险影响防范措施</w:t>
      </w:r>
    </w:p>
    <w:p w14:paraId="763F92AA">
      <w:pPr>
        <w:keepNext w:val="0"/>
        <w:keepLines w:val="0"/>
        <w:pageBreakBefore w:val="0"/>
        <w:widowControl w:val="0"/>
        <w:kinsoku/>
        <w:wordWrap/>
        <w:overflowPunct/>
        <w:topLinePunct w:val="0"/>
        <w:autoSpaceDE/>
        <w:autoSpaceDN/>
        <w:bidi w:val="0"/>
        <w:adjustRightInd/>
        <w:snapToGrid w:val="0"/>
        <w:ind w:left="0" w:leftChars="0" w:firstLine="480" w:firstLineChars="200"/>
        <w:jc w:val="left"/>
        <w:textAlignment w:val="auto"/>
        <w:rPr>
          <w:rFonts w:hint="eastAsia"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①严禁野外生火、乱丢烟头等可能引发火灾的不良行为；在荒地火灾高风险时期严禁一切野外用火。</w:t>
      </w:r>
    </w:p>
    <w:p w14:paraId="01D5E867">
      <w:pPr>
        <w:keepNext w:val="0"/>
        <w:keepLines w:val="0"/>
        <w:pageBreakBefore w:val="0"/>
        <w:widowControl w:val="0"/>
        <w:kinsoku/>
        <w:wordWrap/>
        <w:overflowPunct/>
        <w:topLinePunct w:val="0"/>
        <w:autoSpaceDE/>
        <w:autoSpaceDN/>
        <w:bidi w:val="0"/>
        <w:adjustRightInd/>
        <w:snapToGrid w:val="0"/>
        <w:ind w:left="0" w:leftChars="0" w:firstLine="480" w:firstLineChars="200"/>
        <w:jc w:val="left"/>
        <w:textAlignment w:val="auto"/>
        <w:rPr>
          <w:rFonts w:hint="eastAsia"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②加强对各种仪器设备的管理并定期检修，加强对风机润滑油、液压油的使用管理及监控，及时发现和消除火灾隐患。</w:t>
      </w:r>
    </w:p>
    <w:p w14:paraId="4916CEF1">
      <w:pPr>
        <w:keepNext w:val="0"/>
        <w:keepLines w:val="0"/>
        <w:pageBreakBefore w:val="0"/>
        <w:widowControl w:val="0"/>
        <w:kinsoku/>
        <w:wordWrap/>
        <w:overflowPunct/>
        <w:topLinePunct w:val="0"/>
        <w:autoSpaceDE/>
        <w:autoSpaceDN/>
        <w:bidi w:val="0"/>
        <w:adjustRightInd/>
        <w:snapToGrid w:val="0"/>
        <w:ind w:left="0" w:leftChars="0" w:firstLine="480" w:firstLineChars="200"/>
        <w:jc w:val="left"/>
        <w:textAlignment w:val="auto"/>
        <w:rPr>
          <w:rFonts w:hint="eastAsia"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③建立严格的环境管理制度，加强对施工人员和运行管理人员的防火意识和宣传教育，成立防火工作领导小组，进行定期和随机监督检查，发现隐患及时解决，并采取一定的奖惩制度机制，对引起火灾的责任者追究行政和法律责任。</w:t>
      </w:r>
    </w:p>
    <w:p w14:paraId="2B1DD103">
      <w:pPr>
        <w:keepNext w:val="0"/>
        <w:keepLines w:val="0"/>
        <w:pageBreakBefore w:val="0"/>
        <w:widowControl w:val="0"/>
        <w:kinsoku/>
        <w:wordWrap/>
        <w:overflowPunct/>
        <w:topLinePunct w:val="0"/>
        <w:autoSpaceDE/>
        <w:autoSpaceDN/>
        <w:bidi w:val="0"/>
        <w:adjustRightInd/>
        <w:snapToGrid w:val="0"/>
        <w:ind w:left="0" w:leftChars="0" w:firstLine="480" w:firstLineChars="200"/>
        <w:jc w:val="left"/>
        <w:textAlignment w:val="auto"/>
        <w:rPr>
          <w:rFonts w:hint="eastAsia"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④在每座风电机组区配备灭火器等应急救援保障设备及应急物资器材。</w:t>
      </w:r>
    </w:p>
    <w:p w14:paraId="295AAE71">
      <w:pPr>
        <w:keepNext w:val="0"/>
        <w:keepLines w:val="0"/>
        <w:pageBreakBefore w:val="0"/>
        <w:widowControl w:val="0"/>
        <w:kinsoku/>
        <w:wordWrap/>
        <w:overflowPunct/>
        <w:topLinePunct w:val="0"/>
        <w:autoSpaceDE/>
        <w:autoSpaceDN/>
        <w:bidi w:val="0"/>
        <w:adjustRightInd/>
        <w:snapToGrid w:val="0"/>
        <w:ind w:left="0" w:leftChars="0" w:firstLine="480" w:firstLineChars="200"/>
        <w:jc w:val="left"/>
        <w:textAlignment w:val="auto"/>
        <w:rPr>
          <w:rFonts w:hint="eastAsia"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⑤建设单位应设有消防设施布置图、互救信息等，并明确应急物资存放地点。</w:t>
      </w:r>
    </w:p>
    <w:p w14:paraId="0BF53B78">
      <w:pPr>
        <w:keepNext w:val="0"/>
        <w:keepLines w:val="0"/>
        <w:pageBreakBefore w:val="0"/>
        <w:widowControl w:val="0"/>
        <w:kinsoku/>
        <w:wordWrap/>
        <w:overflowPunct/>
        <w:topLinePunct w:val="0"/>
        <w:autoSpaceDE/>
        <w:autoSpaceDN/>
        <w:bidi w:val="0"/>
        <w:adjustRightInd/>
        <w:snapToGrid w:val="0"/>
        <w:ind w:left="0" w:leftChars="0" w:firstLine="480" w:firstLineChars="200"/>
        <w:jc w:val="left"/>
        <w:textAlignment w:val="auto"/>
        <w:rPr>
          <w:rFonts w:hint="eastAsia"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⑥建设单位应设有专职的安全环保管理人员，通过技能培训，承担工程运行后的环保安全工作。落实各项安全管理制度、生产操作规则和事故应急计划及相应的应急处理手段。</w:t>
      </w:r>
    </w:p>
    <w:p w14:paraId="2CA1877D">
      <w:pPr>
        <w:keepNext w:val="0"/>
        <w:keepLines w:val="0"/>
        <w:pageBreakBefore w:val="0"/>
        <w:widowControl w:val="0"/>
        <w:kinsoku/>
        <w:wordWrap/>
        <w:overflowPunct/>
        <w:topLinePunct w:val="0"/>
        <w:autoSpaceDE/>
        <w:autoSpaceDN/>
        <w:bidi w:val="0"/>
        <w:adjustRightInd/>
        <w:snapToGrid w:val="0"/>
        <w:ind w:left="0" w:leftChars="0" w:firstLine="482" w:firstLineChars="200"/>
        <w:jc w:val="left"/>
        <w:textAlignment w:val="auto"/>
        <w:rPr>
          <w:rFonts w:hint="eastAsia"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t>(</w:t>
      </w:r>
      <w:r>
        <w:rPr>
          <w:rFonts w:hint="eastAsia"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t>3</w:t>
      </w:r>
      <w:r>
        <w:rPr>
          <w:rFonts w:hint="default"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t>)</w:t>
      </w:r>
      <w:r>
        <w:rPr>
          <w:rFonts w:hint="eastAsia"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t>水源二级保护区风险防范措施</w:t>
      </w:r>
    </w:p>
    <w:p w14:paraId="27CA8F9E">
      <w:pPr>
        <w:keepNext w:val="0"/>
        <w:keepLines w:val="0"/>
        <w:pageBreakBefore w:val="0"/>
        <w:widowControl w:val="0"/>
        <w:kinsoku/>
        <w:wordWrap/>
        <w:overflowPunct/>
        <w:topLinePunct w:val="0"/>
        <w:autoSpaceDE/>
        <w:autoSpaceDN/>
        <w:bidi w:val="0"/>
        <w:adjustRightInd/>
        <w:snapToGrid w:val="0"/>
        <w:ind w:left="0" w:leftChars="0" w:firstLine="480" w:firstLineChars="200"/>
        <w:jc w:val="left"/>
        <w:textAlignment w:val="auto"/>
        <w:rPr>
          <w:rFonts w:hint="default"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运营期工作人员利用封闭车辆将油品通过场内道路运送至缺油风机处。项目油品的更换频率较低，同时单次更换的油品量较小，因此项目运行过程中发生泄漏的风险较低，同时针对周边水源地的部分路段，项目通过设置截排水沟等，可有效对极端情况下泄露的油品进行阻截。本项目箱式变压器均采取干式变压器，无废变压器油产生。风电机组基座采取重点防渗措施，底座采用混凝土浇筑，表面铺设防渗材料，底座设置</w:t>
      </w:r>
      <w:r>
        <w:rPr>
          <w:rFonts w:hint="eastAsia" w:ascii="TimesNewRomanPSMT" w:hAnsi="TimesNewRomanPSMT" w:eastAsia="TimesNewRomanPSMT"/>
          <w:color w:val="000000" w:themeColor="text1"/>
          <w:sz w:val="24"/>
          <w14:textFill>
            <w14:solidFill>
              <w14:schemeClr w14:val="tx1"/>
            </w14:solidFill>
          </w14:textFill>
        </w:rPr>
        <w:t>10</w:t>
      </w:r>
      <w:r>
        <w:rPr>
          <w:rFonts w:hint="eastAsia" w:ascii="宋体" w:hAnsi="宋体" w:eastAsia="宋体"/>
          <w:color w:val="000000" w:themeColor="text1"/>
          <w:sz w:val="24"/>
          <w14:textFill>
            <w14:solidFill>
              <w14:schemeClr w14:val="tx1"/>
            </w14:solidFill>
          </w14:textFill>
        </w:rPr>
        <w:t>厘米围堰，可杜绝风机事故废油外排；另外环评要求设备检修维护</w:t>
      </w:r>
      <w:r>
        <w:rPr>
          <w:rFonts w:hint="eastAsia" w:ascii="宋体" w:hAnsi="宋体" w:eastAsia="宋体"/>
          <w:color w:val="000000" w:themeColor="text1"/>
          <w:sz w:val="24"/>
          <w:lang w:val="en-US" w:eastAsia="zh-CN"/>
          <w14:textFill>
            <w14:solidFill>
              <w14:schemeClr w14:val="tx1"/>
            </w14:solidFill>
          </w14:textFill>
        </w:rPr>
        <w:t>过程中产生的废矿物油等即产即清，不在场内贮存</w:t>
      </w:r>
      <w:r>
        <w:rPr>
          <w:rFonts w:hint="eastAsia" w:ascii="宋体" w:hAnsi="宋体" w:eastAsia="宋体"/>
          <w:color w:val="000000" w:themeColor="text1"/>
          <w:sz w:val="24"/>
          <w14:textFill>
            <w14:solidFill>
              <w14:schemeClr w14:val="tx1"/>
            </w14:solidFill>
          </w14:textFill>
        </w:rPr>
        <w:t>，因此在源头上降低了在发生事故的情况下对保护目标的影响，同时在采取以下风险防范措施的情况下，可确保对敏感目标的影响降至最低。</w:t>
      </w:r>
    </w:p>
    <w:p w14:paraId="68B273C8">
      <w:pPr>
        <w:keepNext w:val="0"/>
        <w:keepLines w:val="0"/>
        <w:pageBreakBefore w:val="0"/>
        <w:widowControl w:val="0"/>
        <w:kinsoku/>
        <w:wordWrap/>
        <w:overflowPunct/>
        <w:topLinePunct w:val="0"/>
        <w:autoSpaceDE/>
        <w:autoSpaceDN/>
        <w:bidi w:val="0"/>
        <w:adjustRightInd/>
        <w:snapToGrid w:val="0"/>
        <w:spacing w:line="360" w:lineRule="auto"/>
        <w:ind w:left="0" w:leftChars="0" w:firstLine="482" w:firstLineChars="200"/>
        <w:textAlignment w:val="auto"/>
        <w:rPr>
          <w:rFonts w:hint="default"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t>(</w:t>
      </w:r>
      <w:r>
        <w:rPr>
          <w:rFonts w:hint="eastAsia" w:cs="Times New Roman" w:eastAsiaTheme="minorEastAsia"/>
          <w:b/>
          <w:bCs/>
          <w:snapToGrid w:val="0"/>
          <w:color w:val="000000" w:themeColor="text1"/>
          <w:sz w:val="24"/>
          <w:highlight w:val="none"/>
          <w:lang w:val="en-US" w:eastAsia="zh-CN"/>
          <w14:textFill>
            <w14:solidFill>
              <w14:schemeClr w14:val="tx1"/>
            </w14:solidFill>
          </w14:textFill>
        </w:rPr>
        <w:t>4</w:t>
      </w:r>
      <w:r>
        <w:rPr>
          <w:rFonts w:hint="default"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t>)环境风险管理</w:t>
      </w:r>
    </w:p>
    <w:p w14:paraId="7A5B328D">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 xml:space="preserve">①建立健全的安全生产、环境风险管理组织体系和管理责任制，设置了管理机构。 </w:t>
      </w:r>
    </w:p>
    <w:p w14:paraId="579A09A2">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②制定安全生产、环境风险管理制度，包括安全生产奖惩，安全培训教育，作业人员管理，安全检查和隐患排查治理，应急管理，生产安全事故或者重大事件管理，防火、防爆、防中毒、防泄漏管理，设备检维修等作业安全管理，职业健康相关管理，劳动防护用品使用维护管理等相关制度。</w:t>
      </w:r>
    </w:p>
    <w:p w14:paraId="1D0D86CA">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③编制安全操作规程，包括预防过程异常或预防误操作措施、紧急停车方案。内容涵盖</w:t>
      </w:r>
      <w:r>
        <w:rPr>
          <w:rFonts w:hint="eastAsia" w:cs="Times New Roman" w:eastAsiaTheme="minorEastAsia"/>
          <w:snapToGrid w:val="0"/>
          <w:color w:val="000000" w:themeColor="text1"/>
          <w:sz w:val="24"/>
          <w:highlight w:val="none"/>
          <w:lang w:val="en-US" w:eastAsia="zh-CN"/>
          <w14:textFill>
            <w14:solidFill>
              <w14:schemeClr w14:val="tx1"/>
            </w14:solidFill>
          </w14:textFill>
        </w:rPr>
        <w:t>设备</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检维修作业等。</w:t>
      </w:r>
    </w:p>
    <w:p w14:paraId="7A6D323A">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④按照相关要求制定突发环境事件应急预案，并完成备案，同时组织开展培训和演练。</w:t>
      </w:r>
    </w:p>
    <w:p w14:paraId="31CA4B84">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⑤主要负责人和管理人员具备一定程度的专业知识和与生产经营活动相适应的安全生产知识、管理能力，取得相关资格证书。特种作业人员应当依照规定，取得特种作业操作证书。</w:t>
      </w:r>
    </w:p>
    <w:p w14:paraId="6CA4AE8B">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⑥为员工配备劳动防护用品。</w:t>
      </w:r>
    </w:p>
    <w:p w14:paraId="541515BA">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fldChar w:fldCharType="begin"/>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instrText xml:space="preserve"> = 7 \* GB3 \* MERGEFORMAT </w:instrTex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fldChar w:fldCharType="separate"/>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⑦</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fldChar w:fldCharType="end"/>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场区环境风险防控系统纳入区域环境风险防控体系，当环境风险事故仅局限在场区范围内，对周边及其它地区没有影响时，采取场区环境风险防控；当环境风险事故超出了企业的范围，可能波及周边企业时，需场区与区域环境风险防控体系联动。</w:t>
      </w:r>
    </w:p>
    <w:p w14:paraId="79D202D1">
      <w:pPr>
        <w:keepNext w:val="0"/>
        <w:keepLines w:val="0"/>
        <w:pageBreakBefore w:val="0"/>
        <w:widowControl w:val="0"/>
        <w:kinsoku/>
        <w:wordWrap/>
        <w:overflowPunct/>
        <w:topLinePunct w:val="0"/>
        <w:autoSpaceDE/>
        <w:autoSpaceDN/>
        <w:bidi w:val="0"/>
        <w:adjustRightInd/>
        <w:snapToGrid w:val="0"/>
        <w:spacing w:line="360" w:lineRule="auto"/>
        <w:ind w:left="0" w:leftChars="0" w:firstLine="482" w:firstLineChars="200"/>
        <w:textAlignment w:val="auto"/>
        <w:rPr>
          <w:rFonts w:hint="default"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t>(</w:t>
      </w:r>
      <w:r>
        <w:rPr>
          <w:rFonts w:hint="eastAsia" w:cs="Times New Roman" w:eastAsiaTheme="minorEastAsia"/>
          <w:b/>
          <w:bCs/>
          <w:snapToGrid w:val="0"/>
          <w:color w:val="000000" w:themeColor="text1"/>
          <w:sz w:val="24"/>
          <w:highlight w:val="none"/>
          <w:lang w:val="en-US" w:eastAsia="zh-CN"/>
          <w14:textFill>
            <w14:solidFill>
              <w14:schemeClr w14:val="tx1"/>
            </w14:solidFill>
          </w14:textFill>
        </w:rPr>
        <w:t>5</w:t>
      </w:r>
      <w:r>
        <w:rPr>
          <w:rFonts w:hint="default"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t>)应急预案</w:t>
      </w:r>
    </w:p>
    <w:p w14:paraId="0E7CFCB3">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企业应根据《企业突发环境事件风险评估指南(试行)》(环办〔2014〕34号)《企业突发环境事件风险分级方法》(HJ941-2018)《突发事件应急预案管理办法》(国办发〔2024〕5号)等文件要求编制完成应急预案，包括预案适用范围、环境事件分类与分级、组织机构与职责、监控和预警、应急响应、应急保障、善后处理、预案管理与演练等内容。企业的突发环境事件应急预案应体现分级响应、区域联动的原则，与乌鲁木齐市突发环境事件应急预案及相衔接，明确分级响应程序，在事故状态时做好人员的疏散以及安置工作。企业在完成突发环境事件应急预案后，应去相关部门完成备案。应急预案相关要求如下：企业应急预案应依据可能发生的突发环境事件的危害程度，设置分级应急救援组织机构，并以组织机构图的形式将参与突发环境事件处置的部门或队伍列出；成立应急救援指挥部，应急救援指挥部由主要负责人担任总指挥和副总指挥，其他生态环境、安全、设备等部门领导组成指挥部成员；制订环境事件预防措施，措施应明确具体，操作性强；应根据突发环境事件严重性、紧急程度和可能波及的范围，对突发环境事件进行合理预警分级；应明确预警发布、解除、改正的报告方式、责任部门等，渠道应有效、畅通；应明确分级响应，污染事件现场应急措施有效，抢险、救援及控制措施有效，合理启用应急设施，应急监测应及时，有合理的人员撤离和疏散方案，信息报告和发布应及时、准确；善后处置、现场清洁净化和环境恢复方案应可行；应制定应急保障措施，制定合理的培训方案和计划，对演练的内容、范围、频次和组织等进行明确规定，在环境风险源显眼位置张贴突发环境事件处置流程图、人员疏散路线图等信息。</w:t>
      </w:r>
    </w:p>
    <w:p w14:paraId="3FE68524">
      <w:pPr>
        <w:keepNext w:val="0"/>
        <w:keepLines w:val="0"/>
        <w:pageBreakBefore w:val="0"/>
        <w:widowControl w:val="0"/>
        <w:numPr>
          <w:ilvl w:val="0"/>
          <w:numId w:val="0"/>
        </w:numPr>
        <w:tabs>
          <w:tab w:val="left" w:pos="1260"/>
        </w:tabs>
        <w:kinsoku/>
        <w:wordWrap/>
        <w:overflowPunct/>
        <w:topLinePunct w:val="0"/>
        <w:autoSpaceDE/>
        <w:autoSpaceDN/>
        <w:bidi w:val="0"/>
        <w:adjustRightInd/>
        <w:snapToGrid w:val="0"/>
        <w:spacing w:line="360" w:lineRule="auto"/>
        <w:textAlignment w:val="auto"/>
        <w:outlineLvl w:val="9"/>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pPr>
      <w:bookmarkStart w:id="474" w:name="_Toc23958980"/>
      <w:bookmarkStart w:id="475" w:name="_Toc534367390"/>
      <w:bookmarkStart w:id="476" w:name="_Toc519334275"/>
      <w:bookmarkStart w:id="477" w:name="_Toc35856616"/>
      <w:r>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t>5.2.8.6 风险评价结论</w:t>
      </w:r>
      <w:bookmarkEnd w:id="474"/>
      <w:bookmarkEnd w:id="475"/>
      <w:bookmarkEnd w:id="476"/>
      <w:bookmarkEnd w:id="477"/>
    </w:p>
    <w:p w14:paraId="5C0C8987">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本项目涉及环境风险的物质主要为</w:t>
      </w:r>
      <w:r>
        <w:rPr>
          <w:rFonts w:hint="eastAsia" w:cs="Times New Roman" w:eastAsiaTheme="minorEastAsia"/>
          <w:snapToGrid w:val="0"/>
          <w:color w:val="000000" w:themeColor="text1"/>
          <w:sz w:val="24"/>
          <w:highlight w:val="none"/>
          <w:lang w:val="en-US" w:eastAsia="zh-CN"/>
          <w14:textFill>
            <w14:solidFill>
              <w14:schemeClr w14:val="tx1"/>
            </w14:solidFill>
          </w14:textFill>
        </w:rPr>
        <w:t>矿物</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油，在切实落实初步设计报告、安全预评价、设计和本环评提出的各项环境风险防范措施和应急预案，并加强风险管理的基础上，可定性判定本项目风险可防可控，防范措施是有效的。</w:t>
      </w:r>
    </w:p>
    <w:p w14:paraId="42E0E663">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企业应根据《关于进一步加强环境影响评价管理防范环境风险的通知》(环发〔2012〕77号)等相关文件要求，采取完善的风险防范措施，严格环境风险管理，并根据《企业事业单位突发环境事件应急预案备案管理办法(试行)》(环发〔2015〕4号)等相关规定制定突发环境事件应急预案，按要求进行评估、备案和实施。建设项目环境风险简单分析见下表。</w:t>
      </w:r>
    </w:p>
    <w:p w14:paraId="482929B1">
      <w:pPr>
        <w:spacing w:line="240" w:lineRule="auto"/>
        <w:ind w:left="0" w:leftChars="0" w:firstLine="0" w:firstLineChars="0"/>
        <w:jc w:val="center"/>
        <w:rPr>
          <w:rFonts w:hint="default" w:ascii="Times New Roman" w:hAnsi="Times New Roman" w:cs="Times New Roman" w:eastAsiaTheme="minorEastAsia"/>
          <w:b/>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b/>
          <w:color w:val="000000" w:themeColor="text1"/>
          <w:sz w:val="24"/>
          <w:szCs w:val="24"/>
          <w:highlight w:val="none"/>
          <w14:textFill>
            <w14:solidFill>
              <w14:schemeClr w14:val="tx1"/>
            </w14:solidFill>
          </w14:textFill>
        </w:rPr>
        <w:t>表</w:t>
      </w:r>
      <w:r>
        <w:rPr>
          <w:rFonts w:hint="default" w:ascii="Times New Roman" w:hAnsi="Times New Roman" w:cs="Times New Roman" w:eastAsiaTheme="minorEastAsia"/>
          <w:b/>
          <w:color w:val="000000" w:themeColor="text1"/>
          <w:sz w:val="24"/>
          <w:szCs w:val="24"/>
          <w:highlight w:val="none"/>
          <w:lang w:val="en-US" w:eastAsia="zh-CN"/>
          <w14:textFill>
            <w14:solidFill>
              <w14:schemeClr w14:val="tx1"/>
            </w14:solidFill>
          </w14:textFill>
        </w:rPr>
        <w:t xml:space="preserve">5.2-23    </w:t>
      </w:r>
      <w:r>
        <w:rPr>
          <w:rFonts w:hint="default" w:ascii="Times New Roman" w:hAnsi="Times New Roman" w:cs="Times New Roman" w:eastAsiaTheme="minorEastAsia"/>
          <w:b/>
          <w:color w:val="000000" w:themeColor="text1"/>
          <w:sz w:val="24"/>
          <w:szCs w:val="24"/>
          <w:highlight w:val="none"/>
          <w14:textFill>
            <w14:solidFill>
              <w14:schemeClr w14:val="tx1"/>
            </w14:solidFill>
          </w14:textFill>
        </w:rPr>
        <w:t>建设项目环境风险简单分析内容表</w:t>
      </w:r>
    </w:p>
    <w:tbl>
      <w:tblPr>
        <w:tblStyle w:val="75"/>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1831"/>
        <w:gridCol w:w="1794"/>
        <w:gridCol w:w="2575"/>
        <w:gridCol w:w="646"/>
        <w:gridCol w:w="2226"/>
      </w:tblGrid>
      <w:tr w14:paraId="39B7A1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831" w:type="dxa"/>
            <w:tcBorders>
              <w:tl2br w:val="nil"/>
              <w:tr2bl w:val="nil"/>
            </w:tcBorders>
            <w:vAlign w:val="center"/>
          </w:tcPr>
          <w:p w14:paraId="4F53FF4C">
            <w:pPr>
              <w:keepNext w:val="0"/>
              <w:keepLines w:val="0"/>
              <w:pageBreakBefore w:val="0"/>
              <w:widowControl w:val="0"/>
              <w:kinsoku/>
              <w:wordWrap/>
              <w:overflowPunct/>
              <w:topLinePunct w:val="0"/>
              <w:autoSpaceDE/>
              <w:autoSpaceDN/>
              <w:bidi w:val="0"/>
              <w:adjustRightInd/>
              <w:snapToGrid w:val="0"/>
              <w:spacing w:line="360" w:lineRule="exact"/>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建设项目名称</w:t>
            </w:r>
          </w:p>
        </w:tc>
        <w:tc>
          <w:tcPr>
            <w:tcW w:w="7241" w:type="dxa"/>
            <w:gridSpan w:val="4"/>
            <w:tcBorders>
              <w:tl2br w:val="nil"/>
              <w:tr2bl w:val="nil"/>
            </w:tcBorders>
            <w:vAlign w:val="center"/>
          </w:tcPr>
          <w:p w14:paraId="27A7FB85">
            <w:pPr>
              <w:keepNext w:val="0"/>
              <w:keepLines w:val="0"/>
              <w:pageBreakBefore w:val="0"/>
              <w:widowControl w:val="0"/>
              <w:kinsoku/>
              <w:wordWrap/>
              <w:overflowPunct/>
              <w:topLinePunct w:val="0"/>
              <w:autoSpaceDE/>
              <w:autoSpaceDN/>
              <w:bidi w:val="0"/>
              <w:adjustRightInd/>
              <w:snapToGrid w:val="0"/>
              <w:spacing w:line="360" w:lineRule="exact"/>
              <w:ind w:left="0" w:leftChars="0"/>
              <w:jc w:val="center"/>
              <w:textAlignment w:val="auto"/>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电投融和沙依巴克区15万千瓦风电</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项目</w:t>
            </w:r>
          </w:p>
        </w:tc>
      </w:tr>
      <w:tr w14:paraId="0EA538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831" w:type="dxa"/>
            <w:tcBorders>
              <w:tl2br w:val="nil"/>
              <w:tr2bl w:val="nil"/>
            </w:tcBorders>
            <w:vAlign w:val="center"/>
          </w:tcPr>
          <w:p w14:paraId="11032D6B">
            <w:pPr>
              <w:keepNext w:val="0"/>
              <w:keepLines w:val="0"/>
              <w:pageBreakBefore w:val="0"/>
              <w:widowControl w:val="0"/>
              <w:kinsoku/>
              <w:wordWrap/>
              <w:overflowPunct/>
              <w:topLinePunct w:val="0"/>
              <w:autoSpaceDE/>
              <w:autoSpaceDN/>
              <w:bidi w:val="0"/>
              <w:adjustRightInd/>
              <w:snapToGrid w:val="0"/>
              <w:spacing w:line="360" w:lineRule="exact"/>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建设地点</w:t>
            </w:r>
          </w:p>
        </w:tc>
        <w:tc>
          <w:tcPr>
            <w:tcW w:w="1794" w:type="dxa"/>
            <w:tcBorders>
              <w:tl2br w:val="nil"/>
              <w:tr2bl w:val="nil"/>
            </w:tcBorders>
            <w:vAlign w:val="center"/>
          </w:tcPr>
          <w:p w14:paraId="132F7FDE">
            <w:pPr>
              <w:keepNext w:val="0"/>
              <w:keepLines w:val="0"/>
              <w:pageBreakBefore w:val="0"/>
              <w:widowControl w:val="0"/>
              <w:kinsoku/>
              <w:wordWrap/>
              <w:overflowPunct/>
              <w:topLinePunct w:val="0"/>
              <w:autoSpaceDE/>
              <w:autoSpaceDN/>
              <w:bidi w:val="0"/>
              <w:adjustRightInd/>
              <w:snapToGrid w:val="0"/>
              <w:spacing w:line="360" w:lineRule="exact"/>
              <w:ind w:left="0" w:left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新疆维吾尔自治区</w:t>
            </w:r>
          </w:p>
        </w:tc>
        <w:tc>
          <w:tcPr>
            <w:tcW w:w="2575" w:type="dxa"/>
            <w:tcBorders>
              <w:tl2br w:val="nil"/>
              <w:tr2bl w:val="nil"/>
            </w:tcBorders>
            <w:vAlign w:val="center"/>
          </w:tcPr>
          <w:p w14:paraId="791A82A0">
            <w:pPr>
              <w:keepNext w:val="0"/>
              <w:keepLines w:val="0"/>
              <w:pageBreakBefore w:val="0"/>
              <w:widowControl w:val="0"/>
              <w:kinsoku/>
              <w:wordWrap/>
              <w:overflowPunct/>
              <w:topLinePunct w:val="0"/>
              <w:autoSpaceDE/>
              <w:autoSpaceDN/>
              <w:bidi w:val="0"/>
              <w:adjustRightInd/>
              <w:snapToGrid w:val="0"/>
              <w:spacing w:line="360" w:lineRule="exact"/>
              <w:ind w:left="0" w:left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乌鲁木齐市</w:t>
            </w:r>
          </w:p>
        </w:tc>
        <w:tc>
          <w:tcPr>
            <w:tcW w:w="2872" w:type="dxa"/>
            <w:gridSpan w:val="2"/>
            <w:tcBorders>
              <w:tl2br w:val="nil"/>
              <w:tr2bl w:val="nil"/>
            </w:tcBorders>
            <w:vAlign w:val="center"/>
          </w:tcPr>
          <w:p w14:paraId="10C2B8D0">
            <w:pPr>
              <w:keepNext w:val="0"/>
              <w:keepLines w:val="0"/>
              <w:pageBreakBefore w:val="0"/>
              <w:widowControl w:val="0"/>
              <w:kinsoku/>
              <w:wordWrap/>
              <w:overflowPunct/>
              <w:topLinePunct w:val="0"/>
              <w:autoSpaceDE/>
              <w:autoSpaceDN/>
              <w:bidi w:val="0"/>
              <w:adjustRightInd/>
              <w:snapToGrid w:val="0"/>
              <w:spacing w:line="360" w:lineRule="exact"/>
              <w:ind w:left="0" w:left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沙依巴克区</w:t>
            </w:r>
          </w:p>
        </w:tc>
      </w:tr>
      <w:tr w14:paraId="078C4C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831" w:type="dxa"/>
            <w:tcBorders>
              <w:tl2br w:val="nil"/>
              <w:tr2bl w:val="nil"/>
            </w:tcBorders>
            <w:vAlign w:val="center"/>
          </w:tcPr>
          <w:p w14:paraId="04462398">
            <w:pPr>
              <w:keepNext w:val="0"/>
              <w:keepLines w:val="0"/>
              <w:pageBreakBefore w:val="0"/>
              <w:widowControl w:val="0"/>
              <w:kinsoku/>
              <w:wordWrap/>
              <w:overflowPunct/>
              <w:topLinePunct w:val="0"/>
              <w:autoSpaceDE/>
              <w:autoSpaceDN/>
              <w:bidi w:val="0"/>
              <w:adjustRightInd/>
              <w:snapToGrid w:val="0"/>
              <w:spacing w:line="360" w:lineRule="exact"/>
              <w:ind w:left="0" w:leftChars="0"/>
              <w:jc w:val="center"/>
              <w:textAlignment w:val="auto"/>
              <w:rPr>
                <w:rFonts w:hint="default" w:ascii="Times New Roman" w:hAnsi="Times New Roman" w:cs="Times New Roman" w:eastAsiaTheme="minorEastAsia"/>
                <w:color w:val="000000" w:themeColor="text1"/>
                <w:sz w:val="21"/>
                <w:szCs w:val="21"/>
                <w:highlight w:val="none"/>
                <w:lang w:val="en-US"/>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中心坐标</w:t>
            </w:r>
          </w:p>
        </w:tc>
        <w:tc>
          <w:tcPr>
            <w:tcW w:w="1794" w:type="dxa"/>
            <w:tcBorders>
              <w:tl2br w:val="nil"/>
              <w:tr2bl w:val="nil"/>
            </w:tcBorders>
            <w:vAlign w:val="center"/>
          </w:tcPr>
          <w:p w14:paraId="00B2D0D6">
            <w:pPr>
              <w:keepNext w:val="0"/>
              <w:keepLines w:val="0"/>
              <w:pageBreakBefore w:val="0"/>
              <w:widowControl w:val="0"/>
              <w:kinsoku/>
              <w:wordWrap/>
              <w:overflowPunct/>
              <w:topLinePunct w:val="0"/>
              <w:autoSpaceDE/>
              <w:autoSpaceDN/>
              <w:bidi w:val="0"/>
              <w:adjustRightInd/>
              <w:snapToGrid w:val="0"/>
              <w:spacing w:line="360" w:lineRule="exact"/>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经度</w:t>
            </w:r>
          </w:p>
        </w:tc>
        <w:tc>
          <w:tcPr>
            <w:tcW w:w="2575" w:type="dxa"/>
            <w:tcBorders>
              <w:tl2br w:val="nil"/>
              <w:tr2bl w:val="nil"/>
            </w:tcBorders>
            <w:vAlign w:val="center"/>
          </w:tcPr>
          <w:p w14:paraId="48DB0677">
            <w:pPr>
              <w:keepNext w:val="0"/>
              <w:keepLines w:val="0"/>
              <w:pageBreakBefore w:val="0"/>
              <w:widowControl w:val="0"/>
              <w:kinsoku/>
              <w:wordWrap/>
              <w:overflowPunct/>
              <w:topLinePunct w:val="0"/>
              <w:autoSpaceDE/>
              <w:autoSpaceDN/>
              <w:bidi w:val="0"/>
              <w:adjustRightInd/>
              <w:snapToGrid w:val="0"/>
              <w:spacing w:line="360" w:lineRule="exact"/>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87°30'18.291"</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 xml:space="preserve"> </w:t>
            </w:r>
          </w:p>
        </w:tc>
        <w:tc>
          <w:tcPr>
            <w:tcW w:w="646" w:type="dxa"/>
            <w:tcBorders>
              <w:tl2br w:val="nil"/>
              <w:tr2bl w:val="nil"/>
            </w:tcBorders>
            <w:vAlign w:val="center"/>
          </w:tcPr>
          <w:p w14:paraId="5454F83C">
            <w:pPr>
              <w:keepNext w:val="0"/>
              <w:keepLines w:val="0"/>
              <w:pageBreakBefore w:val="0"/>
              <w:widowControl w:val="0"/>
              <w:kinsoku/>
              <w:wordWrap/>
              <w:overflowPunct/>
              <w:topLinePunct w:val="0"/>
              <w:autoSpaceDE/>
              <w:autoSpaceDN/>
              <w:bidi w:val="0"/>
              <w:adjustRightInd/>
              <w:snapToGrid w:val="0"/>
              <w:spacing w:line="360" w:lineRule="exact"/>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纬度</w:t>
            </w:r>
          </w:p>
        </w:tc>
        <w:tc>
          <w:tcPr>
            <w:tcW w:w="2226" w:type="dxa"/>
            <w:tcBorders>
              <w:tl2br w:val="nil"/>
              <w:tr2bl w:val="nil"/>
            </w:tcBorders>
            <w:vAlign w:val="center"/>
          </w:tcPr>
          <w:p w14:paraId="1448F81C">
            <w:pPr>
              <w:keepNext w:val="0"/>
              <w:keepLines w:val="0"/>
              <w:pageBreakBefore w:val="0"/>
              <w:widowControl w:val="0"/>
              <w:kinsoku/>
              <w:wordWrap/>
              <w:overflowPunct/>
              <w:topLinePunct w:val="0"/>
              <w:autoSpaceDE/>
              <w:autoSpaceDN/>
              <w:bidi w:val="0"/>
              <w:adjustRightInd/>
              <w:snapToGrid w:val="0"/>
              <w:spacing w:line="360" w:lineRule="exact"/>
              <w:ind w:left="0" w:left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43°41'45.898"</w:t>
            </w:r>
          </w:p>
        </w:tc>
      </w:tr>
      <w:tr w14:paraId="16A5B4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831" w:type="dxa"/>
            <w:tcBorders>
              <w:tl2br w:val="nil"/>
              <w:tr2bl w:val="nil"/>
            </w:tcBorders>
            <w:vAlign w:val="center"/>
          </w:tcPr>
          <w:p w14:paraId="7ADFFC15">
            <w:pPr>
              <w:keepNext w:val="0"/>
              <w:keepLines w:val="0"/>
              <w:pageBreakBefore w:val="0"/>
              <w:widowControl w:val="0"/>
              <w:kinsoku/>
              <w:wordWrap/>
              <w:overflowPunct/>
              <w:topLinePunct w:val="0"/>
              <w:autoSpaceDE/>
              <w:autoSpaceDN/>
              <w:bidi w:val="0"/>
              <w:adjustRightInd/>
              <w:snapToGrid w:val="0"/>
              <w:spacing w:line="360" w:lineRule="exact"/>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主要</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风险</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物质</w:t>
            </w:r>
          </w:p>
          <w:p w14:paraId="2E66BCC3">
            <w:pPr>
              <w:keepNext w:val="0"/>
              <w:keepLines w:val="0"/>
              <w:pageBreakBefore w:val="0"/>
              <w:widowControl w:val="0"/>
              <w:kinsoku/>
              <w:wordWrap/>
              <w:overflowPunct/>
              <w:topLinePunct w:val="0"/>
              <w:autoSpaceDE/>
              <w:autoSpaceDN/>
              <w:bidi w:val="0"/>
              <w:adjustRightInd/>
              <w:snapToGrid w:val="0"/>
              <w:spacing w:line="360" w:lineRule="exact"/>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及分布</w:t>
            </w:r>
          </w:p>
        </w:tc>
        <w:tc>
          <w:tcPr>
            <w:tcW w:w="7241" w:type="dxa"/>
            <w:gridSpan w:val="4"/>
            <w:tcBorders>
              <w:tl2br w:val="nil"/>
              <w:tr2bl w:val="nil"/>
            </w:tcBorders>
            <w:vAlign w:val="center"/>
          </w:tcPr>
          <w:p w14:paraId="5A65DF6B">
            <w:pPr>
              <w:keepNext w:val="0"/>
              <w:keepLines w:val="0"/>
              <w:pageBreakBefore w:val="0"/>
              <w:widowControl w:val="0"/>
              <w:kinsoku/>
              <w:wordWrap/>
              <w:overflowPunct/>
              <w:topLinePunct w:val="0"/>
              <w:autoSpaceDE/>
              <w:autoSpaceDN/>
              <w:bidi w:val="0"/>
              <w:adjustRightInd/>
              <w:snapToGrid w:val="0"/>
              <w:spacing w:line="360" w:lineRule="exact"/>
              <w:ind w:left="0" w:leftChars="0"/>
              <w:jc w:val="both"/>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矿物</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油</w:t>
            </w:r>
          </w:p>
        </w:tc>
      </w:tr>
      <w:tr w14:paraId="015AA1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831" w:type="dxa"/>
            <w:tcBorders>
              <w:tl2br w:val="nil"/>
              <w:tr2bl w:val="nil"/>
            </w:tcBorders>
            <w:vAlign w:val="center"/>
          </w:tcPr>
          <w:p w14:paraId="0BD1F8DD">
            <w:pPr>
              <w:keepNext w:val="0"/>
              <w:keepLines w:val="0"/>
              <w:pageBreakBefore w:val="0"/>
              <w:widowControl w:val="0"/>
              <w:kinsoku/>
              <w:wordWrap/>
              <w:overflowPunct/>
              <w:topLinePunct w:val="0"/>
              <w:autoSpaceDE/>
              <w:autoSpaceDN/>
              <w:bidi w:val="0"/>
              <w:adjustRightInd/>
              <w:snapToGrid w:val="0"/>
              <w:spacing w:line="360" w:lineRule="exact"/>
              <w:ind w:left="0" w:leftChars="0"/>
              <w:jc w:val="center"/>
              <w:textAlignment w:val="auto"/>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环境影响途径及危害后果</w:t>
            </w: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大气、地表水、地下水等</w:t>
            </w: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w:t>
            </w:r>
          </w:p>
        </w:tc>
        <w:tc>
          <w:tcPr>
            <w:tcW w:w="7241" w:type="dxa"/>
            <w:gridSpan w:val="4"/>
            <w:tcBorders>
              <w:tl2br w:val="nil"/>
              <w:tr2bl w:val="nil"/>
            </w:tcBorders>
            <w:vAlign w:val="center"/>
          </w:tcPr>
          <w:p w14:paraId="276DE30C">
            <w:pPr>
              <w:keepNext w:val="0"/>
              <w:keepLines w:val="0"/>
              <w:pageBreakBefore w:val="0"/>
              <w:widowControl w:val="0"/>
              <w:kinsoku/>
              <w:wordWrap/>
              <w:overflowPunct/>
              <w:topLinePunct w:val="0"/>
              <w:autoSpaceDE/>
              <w:autoSpaceDN/>
              <w:bidi w:val="0"/>
              <w:adjustRightInd/>
              <w:snapToGrid w:val="0"/>
              <w:spacing w:line="360" w:lineRule="exact"/>
              <w:ind w:left="0" w:leftChars="0" w:firstLine="0" w:firstLineChars="0"/>
              <w:jc w:val="left"/>
              <w:textAlignment w:val="auto"/>
              <w:rPr>
                <w:rFonts w:hint="eastAsia" w:ascii="宋体" w:hAnsi="宋体" w:eastAsia="宋体"/>
                <w:color w:val="000000" w:themeColor="text1"/>
                <w:sz w:val="21"/>
                <w14:textFill>
                  <w14:solidFill>
                    <w14:schemeClr w14:val="tx1"/>
                  </w14:solidFill>
                </w14:textFill>
              </w:rPr>
            </w:pPr>
            <w:r>
              <w:rPr>
                <w:rFonts w:hint="eastAsia" w:ascii="宋体" w:hAnsi="宋体" w:eastAsia="宋体"/>
                <w:color w:val="000000" w:themeColor="text1"/>
                <w:sz w:val="21"/>
                <w14:textFill>
                  <w14:solidFill>
                    <w14:schemeClr w14:val="tx1"/>
                  </w14:solidFill>
                </w14:textFill>
              </w:rPr>
              <w:t>①润滑油、液压油发生泄漏，有害成分进入地下水和地表水，对水环境造成污染。</w:t>
            </w:r>
          </w:p>
          <w:p w14:paraId="3816F00F">
            <w:pPr>
              <w:keepNext w:val="0"/>
              <w:keepLines w:val="0"/>
              <w:pageBreakBefore w:val="0"/>
              <w:widowControl w:val="0"/>
              <w:kinsoku/>
              <w:wordWrap/>
              <w:overflowPunct/>
              <w:topLinePunct w:val="0"/>
              <w:autoSpaceDE/>
              <w:autoSpaceDN/>
              <w:bidi w:val="0"/>
              <w:adjustRightInd/>
              <w:snapToGrid w:val="0"/>
              <w:spacing w:line="360" w:lineRule="exact"/>
              <w:ind w:left="0" w:leftChars="0" w:firstLine="0" w:firstLineChars="0"/>
              <w:jc w:val="left"/>
              <w:textAlignment w:val="auto"/>
              <w:rPr>
                <w:rFonts w:hint="default" w:ascii="Times New Roman" w:hAnsi="Times New Roman" w:cs="Times New Roman" w:eastAsiaTheme="minorEastAsia"/>
                <w:color w:val="000000" w:themeColor="text1"/>
                <w:highlight w:val="none"/>
                <w:lang w:eastAsia="zh-CN"/>
                <w14:textFill>
                  <w14:solidFill>
                    <w14:schemeClr w14:val="tx1"/>
                  </w14:solidFill>
                </w14:textFill>
              </w:rPr>
            </w:pPr>
            <w:r>
              <w:rPr>
                <w:rFonts w:hint="eastAsia" w:ascii="宋体" w:hAnsi="宋体" w:eastAsia="宋体"/>
                <w:color w:val="000000" w:themeColor="text1"/>
                <w:sz w:val="21"/>
                <w14:textFill>
                  <w14:solidFill>
                    <w14:schemeClr w14:val="tx1"/>
                  </w14:solidFill>
                </w14:textFill>
              </w:rPr>
              <w:t>②润滑油、液压油泄漏遇明火发生火灾，火灾发生后，润滑油、液压油不完全燃烧将产生</w:t>
            </w:r>
            <w:r>
              <w:rPr>
                <w:rFonts w:hint="eastAsia" w:ascii="TimesNewRomanPSMT" w:hAnsi="TimesNewRomanPSMT" w:eastAsia="TimesNewRomanPSMT"/>
                <w:color w:val="000000" w:themeColor="text1"/>
                <w:sz w:val="21"/>
                <w14:textFill>
                  <w14:solidFill>
                    <w14:schemeClr w14:val="tx1"/>
                  </w14:solidFill>
                </w14:textFill>
              </w:rPr>
              <w:t>CO</w:t>
            </w:r>
            <w:r>
              <w:rPr>
                <w:rFonts w:hint="eastAsia" w:ascii="宋体" w:hAnsi="宋体" w:eastAsia="宋体"/>
                <w:color w:val="000000" w:themeColor="text1"/>
                <w:sz w:val="21"/>
                <w14:textFill>
                  <w14:solidFill>
                    <w14:schemeClr w14:val="tx1"/>
                  </w14:solidFill>
                </w14:textFill>
              </w:rPr>
              <w:t>，造成次生环境灾害。</w:t>
            </w:r>
          </w:p>
        </w:tc>
      </w:tr>
      <w:tr w14:paraId="1B2B6B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831" w:type="dxa"/>
            <w:tcBorders>
              <w:tl2br w:val="nil"/>
              <w:tr2bl w:val="nil"/>
            </w:tcBorders>
            <w:vAlign w:val="center"/>
          </w:tcPr>
          <w:p w14:paraId="169C4223">
            <w:pPr>
              <w:keepNext w:val="0"/>
              <w:keepLines w:val="0"/>
              <w:pageBreakBefore w:val="0"/>
              <w:widowControl w:val="0"/>
              <w:kinsoku/>
              <w:wordWrap/>
              <w:overflowPunct/>
              <w:topLinePunct w:val="0"/>
              <w:autoSpaceDE/>
              <w:autoSpaceDN/>
              <w:bidi w:val="0"/>
              <w:adjustRightInd/>
              <w:snapToGrid w:val="0"/>
              <w:spacing w:line="360" w:lineRule="exact"/>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风险防范措施要求</w:t>
            </w:r>
          </w:p>
        </w:tc>
        <w:tc>
          <w:tcPr>
            <w:tcW w:w="7241" w:type="dxa"/>
            <w:gridSpan w:val="4"/>
            <w:tcBorders>
              <w:tl2br w:val="nil"/>
              <w:tr2bl w:val="nil"/>
            </w:tcBorders>
            <w:vAlign w:val="center"/>
          </w:tcPr>
          <w:p w14:paraId="1497F1C2">
            <w:pPr>
              <w:keepNext w:val="0"/>
              <w:keepLines w:val="0"/>
              <w:pageBreakBefore w:val="0"/>
              <w:widowControl w:val="0"/>
              <w:kinsoku/>
              <w:wordWrap/>
              <w:overflowPunct/>
              <w:topLinePunct w:val="0"/>
              <w:autoSpaceDE/>
              <w:autoSpaceDN/>
              <w:bidi w:val="0"/>
              <w:adjustRightInd/>
              <w:snapToGrid w:val="0"/>
              <w:spacing w:line="360" w:lineRule="exact"/>
              <w:ind w:left="0" w:leftChars="0" w:firstLine="0" w:firstLineChars="0"/>
              <w:jc w:val="left"/>
              <w:textAlignment w:val="auto"/>
              <w:rPr>
                <w:rFonts w:hint="eastAsia" w:ascii="宋体" w:hAnsi="宋体" w:eastAsia="宋体"/>
                <w:color w:val="000000" w:themeColor="text1"/>
                <w:sz w:val="21"/>
                <w14:textFill>
                  <w14:solidFill>
                    <w14:schemeClr w14:val="tx1"/>
                  </w14:solidFill>
                </w14:textFill>
              </w:rPr>
            </w:pPr>
            <w:r>
              <w:rPr>
                <w:rFonts w:hint="eastAsia" w:ascii="宋体" w:hAnsi="宋体" w:eastAsia="宋体"/>
                <w:color w:val="000000" w:themeColor="text1"/>
                <w:sz w:val="21"/>
                <w14:textFill>
                  <w14:solidFill>
                    <w14:schemeClr w14:val="tx1"/>
                  </w14:solidFill>
                </w14:textFill>
              </w:rPr>
              <w:t>①严格按照国家环境保护法律法规，完善环境保护制度，加强职工环境保护知识教育。</w:t>
            </w:r>
          </w:p>
          <w:p w14:paraId="46779713">
            <w:pPr>
              <w:keepNext w:val="0"/>
              <w:keepLines w:val="0"/>
              <w:pageBreakBefore w:val="0"/>
              <w:widowControl w:val="0"/>
              <w:kinsoku/>
              <w:wordWrap/>
              <w:overflowPunct/>
              <w:topLinePunct w:val="0"/>
              <w:autoSpaceDE/>
              <w:autoSpaceDN/>
              <w:bidi w:val="0"/>
              <w:adjustRightInd/>
              <w:snapToGrid w:val="0"/>
              <w:spacing w:line="360" w:lineRule="exact"/>
              <w:ind w:left="0" w:leftChars="0" w:firstLine="0" w:firstLineChars="0"/>
              <w:jc w:val="left"/>
              <w:textAlignment w:val="auto"/>
              <w:rPr>
                <w:rFonts w:hint="eastAsia" w:ascii="宋体" w:hAnsi="宋体" w:eastAsia="宋体"/>
                <w:color w:val="000000" w:themeColor="text1"/>
                <w:sz w:val="21"/>
                <w14:textFill>
                  <w14:solidFill>
                    <w14:schemeClr w14:val="tx1"/>
                  </w14:solidFill>
                </w14:textFill>
              </w:rPr>
            </w:pPr>
            <w:r>
              <w:rPr>
                <w:rFonts w:hint="eastAsia" w:ascii="宋体" w:hAnsi="宋体" w:eastAsia="宋体"/>
                <w:color w:val="000000" w:themeColor="text1"/>
                <w:sz w:val="21"/>
                <w14:textFill>
                  <w14:solidFill>
                    <w14:schemeClr w14:val="tx1"/>
                  </w14:solidFill>
                </w14:textFill>
              </w:rPr>
              <w:t>②涉及危险品的生产区设置监视系统，配备专业人员进行监视。</w:t>
            </w:r>
          </w:p>
          <w:p w14:paraId="1BB95595">
            <w:pPr>
              <w:keepNext w:val="0"/>
              <w:keepLines w:val="0"/>
              <w:pageBreakBefore w:val="0"/>
              <w:widowControl w:val="0"/>
              <w:kinsoku/>
              <w:wordWrap/>
              <w:overflowPunct/>
              <w:topLinePunct w:val="0"/>
              <w:autoSpaceDE/>
              <w:autoSpaceDN/>
              <w:bidi w:val="0"/>
              <w:adjustRightInd/>
              <w:snapToGrid w:val="0"/>
              <w:spacing w:line="360" w:lineRule="exact"/>
              <w:ind w:left="0" w:leftChars="0" w:firstLine="0" w:firstLineChars="0"/>
              <w:jc w:val="left"/>
              <w:textAlignment w:val="auto"/>
              <w:rPr>
                <w:rFonts w:hint="eastAsia" w:ascii="宋体" w:hAnsi="宋体" w:eastAsia="宋体"/>
                <w:color w:val="000000" w:themeColor="text1"/>
                <w:sz w:val="21"/>
                <w14:textFill>
                  <w14:solidFill>
                    <w14:schemeClr w14:val="tx1"/>
                  </w14:solidFill>
                </w14:textFill>
              </w:rPr>
            </w:pPr>
            <w:r>
              <w:rPr>
                <w:rFonts w:hint="eastAsia" w:ascii="宋体" w:hAnsi="宋体" w:eastAsia="宋体"/>
                <w:color w:val="000000" w:themeColor="text1"/>
                <w:sz w:val="21"/>
                <w14:textFill>
                  <w14:solidFill>
                    <w14:schemeClr w14:val="tx1"/>
                  </w14:solidFill>
                </w14:textFill>
              </w:rPr>
              <w:t>③储存危险物质的容器上应注明物质名称、特性、安全使用说明等事项。</w:t>
            </w:r>
          </w:p>
          <w:p w14:paraId="04539566">
            <w:pPr>
              <w:keepNext w:val="0"/>
              <w:keepLines w:val="0"/>
              <w:pageBreakBefore w:val="0"/>
              <w:widowControl w:val="0"/>
              <w:kinsoku/>
              <w:wordWrap/>
              <w:overflowPunct/>
              <w:topLinePunct w:val="0"/>
              <w:autoSpaceDE/>
              <w:autoSpaceDN/>
              <w:bidi w:val="0"/>
              <w:adjustRightInd/>
              <w:snapToGrid w:val="0"/>
              <w:spacing w:line="360" w:lineRule="exact"/>
              <w:ind w:left="0" w:leftChars="0"/>
              <w:jc w:val="left"/>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eastAsia" w:ascii="宋体" w:hAnsi="宋体" w:eastAsia="宋体"/>
                <w:color w:val="000000" w:themeColor="text1"/>
                <w:sz w:val="21"/>
                <w14:textFill>
                  <w14:solidFill>
                    <w14:schemeClr w14:val="tx1"/>
                  </w14:solidFill>
                </w14:textFill>
              </w:rPr>
              <w:t>④编制突发事件环境应急预案并定期演练。</w:t>
            </w:r>
          </w:p>
        </w:tc>
      </w:tr>
      <w:tr w14:paraId="595531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9072" w:type="dxa"/>
            <w:gridSpan w:val="5"/>
            <w:tcBorders>
              <w:tl2br w:val="nil"/>
              <w:tr2bl w:val="nil"/>
            </w:tcBorders>
            <w:vAlign w:val="center"/>
          </w:tcPr>
          <w:p w14:paraId="3994B6F8">
            <w:pPr>
              <w:keepNext w:val="0"/>
              <w:keepLines w:val="0"/>
              <w:pageBreakBefore w:val="0"/>
              <w:widowControl w:val="0"/>
              <w:kinsoku/>
              <w:wordWrap/>
              <w:overflowPunct/>
              <w:topLinePunct w:val="0"/>
              <w:autoSpaceDE/>
              <w:autoSpaceDN/>
              <w:bidi w:val="0"/>
              <w:adjustRightInd/>
              <w:snapToGrid w:val="0"/>
              <w:spacing w:line="360" w:lineRule="exact"/>
              <w:ind w:left="0" w:leftChars="0"/>
              <w:textAlignment w:val="auto"/>
              <w:rPr>
                <w:rFonts w:hint="default" w:ascii="Times New Roman" w:hAnsi="Times New Roman" w:cs="Times New Roman" w:eastAsiaTheme="minorEastAsia"/>
                <w:color w:val="FF0000"/>
                <w:sz w:val="21"/>
                <w:szCs w:val="21"/>
                <w:highlight w:val="none"/>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填表说明</w:t>
            </w: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列出项目相关信息及评价说明</w:t>
            </w: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本项目具有潜在的事故风险，要从建设、生产、贮运等各方面积极采取防护措施，这是确保安全的根本。</w:t>
            </w:r>
          </w:p>
        </w:tc>
      </w:tr>
    </w:tbl>
    <w:p w14:paraId="087609D6">
      <w:pPr>
        <w:bidi w:val="0"/>
        <w:rPr>
          <w:rFonts w:hint="default" w:ascii="Times New Roman" w:hAnsi="Times New Roman" w:cs="Times New Roman"/>
          <w:color w:val="FF0000"/>
          <w:lang w:val="en-US" w:eastAsia="zh-CN"/>
        </w:rPr>
      </w:pPr>
      <w:bookmarkStart w:id="478" w:name="_Toc24521"/>
      <w:bookmarkStart w:id="479" w:name="_Toc4665"/>
    </w:p>
    <w:p w14:paraId="6C16255F">
      <w:pPr>
        <w:pStyle w:val="11"/>
        <w:keepNext/>
        <w:keepLines/>
        <w:pageBreakBefore w:val="0"/>
        <w:widowControl w:val="0"/>
        <w:kinsoku/>
        <w:wordWrap/>
        <w:overflowPunct/>
        <w:topLinePunct w:val="0"/>
        <w:autoSpaceDE/>
        <w:autoSpaceDN/>
        <w:bidi w:val="0"/>
        <w:adjustRightInd/>
        <w:snapToGrid/>
        <w:ind w:left="0"/>
        <w:textAlignment w:val="auto"/>
        <w:outlineLvl w:val="2"/>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5.2.</w:t>
      </w:r>
      <w:r>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t>8</w:t>
      </w: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 xml:space="preserve"> 风电场运营期光影影响分析</w:t>
      </w:r>
      <w:bookmarkEnd w:id="478"/>
      <w:bookmarkEnd w:id="479"/>
    </w:p>
    <w:p w14:paraId="06E998CD">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风电机组不停地转动的叶片，在白天阳光入射方向下，如果投射到附近居民住宅的玻璃窗户上，即可产生闪烁的光影，光影会使人时常产生心烦、眩晕的症状，正常生活产生影响。如果风机布置不科学，有可能对民宅产生光影污染。本次评价根据风机参数和区域环境特征预测出风机光影影响范围，提出风机设置的防护距离。</w:t>
      </w:r>
    </w:p>
    <w:p w14:paraId="284D1DAF">
      <w:pPr>
        <w:keepNext w:val="0"/>
        <w:keepLines w:val="0"/>
        <w:pageBreakBefore w:val="0"/>
        <w:widowControl w:val="0"/>
        <w:numPr>
          <w:ilvl w:val="0"/>
          <w:numId w:val="0"/>
        </w:numPr>
        <w:tabs>
          <w:tab w:val="left" w:pos="1260"/>
        </w:tabs>
        <w:kinsoku/>
        <w:wordWrap/>
        <w:overflowPunct/>
        <w:topLinePunct w:val="0"/>
        <w:autoSpaceDE/>
        <w:autoSpaceDN/>
        <w:bidi w:val="0"/>
        <w:adjustRightInd/>
        <w:snapToGrid/>
        <w:spacing w:line="360" w:lineRule="auto"/>
        <w:ind w:left="0"/>
        <w:textAlignment w:val="auto"/>
        <w:outlineLvl w:val="3"/>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t>5.2.</w:t>
      </w:r>
      <w:r>
        <w:rPr>
          <w:rFonts w:hint="eastAsia"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t>8</w:t>
      </w:r>
      <w:r>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t>.1 风机光影影响防护距离计算方法</w:t>
      </w:r>
    </w:p>
    <w:p w14:paraId="58BCACCA">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地球绕太阳公转，太阳光入射方向和地平面之间的夹角称之为太阳高度角，只要太阳高度角小于90°，暴露在阳光下的地面上的任何物体都会产生影子。太阳光入射方向自东向南直至西，以东为0°；所形成的光影自西向北直至东，以西为0°。风电机组不停地转动的叶片，在太阳入射方向下，投射到居民住宅的玻璃窗户上，即可产生一种闪烁的光影，通常被称之为光影影响。以风电机组为中心，东西方向为轴，处于北纬地区，轴北侧的居民区有可能受到风电机组的光影影响。风电机组的光影影响范围取决于太阳高度角的大小，太阳高度角越大，风机的影子越短，太阳高度角越小，风机的影子越长。通过风力发电机的光阴影预测，可以分析风机光阴影和闪烁对居民正常生活的影响，为风机优化选址提供参考，最大限度地减轻光影对居民区的影响。</w:t>
      </w:r>
    </w:p>
    <w:p w14:paraId="3B5675D4">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(1)风机光影影响时段的确定</w:t>
      </w:r>
    </w:p>
    <w:p w14:paraId="1A9DFDE4">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风机光影影响时段确定为冬至日11时至17时。</w:t>
      </w:r>
    </w:p>
    <w:p w14:paraId="3A9207A5">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(2)光影防护角度的确定</w:t>
      </w:r>
    </w:p>
    <w:p w14:paraId="1BE677C8">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光影防护角度为以风机所在位置为顶点，冬至日11时风机投影与17时风机投影的夹角度数。</w:t>
      </w:r>
    </w:p>
    <w:p w14:paraId="1A21690B">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光影防护角度х=β(17)-β(11)</w:t>
      </w:r>
    </w:p>
    <w:p w14:paraId="3DA5AB4E">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center"/>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object>
          <v:shape id="_x0000_i1028" o:spt="75" type="#_x0000_t75" style="height:34pt;width:130pt;" o:ole="t" filled="f" o:preferrelative="t" stroked="f" coordsize="21600,21600">
            <v:path/>
            <v:fill on="f" focussize="0,0"/>
            <v:stroke on="f"/>
            <v:imagedata r:id="rId40" o:title=""/>
            <o:lock v:ext="edit" aspectratio="t"/>
            <w10:wrap type="none"/>
            <w10:anchorlock/>
          </v:shape>
          <o:OLEObject Type="Embed" ProgID="Equation.KSEE3" ShapeID="_x0000_i1028" DrawAspect="Content" ObjectID="_1468075728" r:id="rId39">
            <o:LockedField>false</o:LockedField>
          </o:OLEObject>
        </w:object>
      </w:r>
    </w:p>
    <w:p w14:paraId="540E25C8">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center"/>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object>
          <v:shape id="_x0000_i1029" o:spt="75" type="#_x0000_t75" style="height:34pt;width:100pt;" o:ole="t" filled="f" o:preferrelative="t" stroked="f" coordsize="21600,21600">
            <v:path/>
            <v:fill on="f" focussize="0,0"/>
            <v:stroke on="f"/>
            <v:imagedata r:id="rId42" o:title=""/>
            <o:lock v:ext="edit" aspectratio="t"/>
            <w10:wrap type="none"/>
            <w10:anchorlock/>
          </v:shape>
          <o:OLEObject Type="Embed" ProgID="Equation.KSEE3" ShapeID="_x0000_i1029" DrawAspect="Content" ObjectID="_1468075729" r:id="rId41">
            <o:LockedField>false</o:LockedField>
          </o:OLEObject>
        </w:object>
      </w:r>
    </w:p>
    <w:p w14:paraId="4D3CF1E8">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式中：</w:t>
      </w:r>
    </w:p>
    <w:p w14:paraId="720A60A0">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β——逐时旋转角度，deg</w:t>
      </w:r>
    </w:p>
    <w:p w14:paraId="6D09DE6B">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α——日出角度，deg</w:t>
      </w:r>
    </w:p>
    <w:p w14:paraId="401171B6">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φ</w:t>
      </w:r>
      <w:r>
        <w:rPr>
          <w:rFonts w:hint="default" w:ascii="Times New Roman" w:hAnsi="Times New Roman" w:cs="Times New Roman" w:eastAsiaTheme="minorEastAsia"/>
          <w:snapToGrid w:val="0"/>
          <w:color w:val="000000" w:themeColor="text1"/>
          <w:sz w:val="24"/>
          <w:highlight w:val="none"/>
          <w:vertAlign w:val="subscript"/>
          <w:lang w:val="en-US" w:eastAsia="zh-CN"/>
          <w14:textFill>
            <w14:solidFill>
              <w14:schemeClr w14:val="tx1"/>
            </w14:solidFill>
          </w14:textFill>
        </w:rPr>
        <w:t>1</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——冬至日太阳直射纬度，deg(取23°26′)</w:t>
      </w:r>
    </w:p>
    <w:p w14:paraId="74484909">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φ</w:t>
      </w:r>
      <w:r>
        <w:rPr>
          <w:rFonts w:hint="default" w:ascii="Times New Roman" w:hAnsi="Times New Roman" w:cs="Times New Roman" w:eastAsiaTheme="minorEastAsia"/>
          <w:snapToGrid w:val="0"/>
          <w:color w:val="000000" w:themeColor="text1"/>
          <w:sz w:val="24"/>
          <w:highlight w:val="none"/>
          <w:vertAlign w:val="subscript"/>
          <w:lang w:val="en-US" w:eastAsia="zh-CN"/>
          <w14:textFill>
            <w14:solidFill>
              <w14:schemeClr w14:val="tx1"/>
            </w14:solidFill>
          </w14:textFill>
        </w:rPr>
        <w:t>2</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——所在地纬度，deg(取43</w:t>
      </w:r>
      <w:r>
        <w:rPr>
          <w:rFonts w:hint="eastAsia" w:cs="Times New Roman" w:eastAsiaTheme="minorEastAsia"/>
          <w:snapToGrid w:val="0"/>
          <w:color w:val="000000" w:themeColor="text1"/>
          <w:sz w:val="24"/>
          <w:highlight w:val="none"/>
          <w:lang w:val="en-US" w:eastAsia="zh-CN"/>
          <w14:textFill>
            <w14:solidFill>
              <w14:schemeClr w14:val="tx1"/>
            </w14:solidFill>
          </w14:textFill>
        </w:rPr>
        <w:t>.696</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w:t>
      </w:r>
    </w:p>
    <w:p w14:paraId="3013E0C6">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t</w:t>
      </w:r>
      <w:r>
        <w:rPr>
          <w:rFonts w:hint="default" w:ascii="Times New Roman" w:hAnsi="Times New Roman" w:cs="Times New Roman" w:eastAsiaTheme="minorEastAsia"/>
          <w:snapToGrid w:val="0"/>
          <w:color w:val="000000" w:themeColor="text1"/>
          <w:sz w:val="24"/>
          <w:highlight w:val="none"/>
          <w:vertAlign w:val="subscript"/>
          <w:lang w:val="en-US" w:eastAsia="zh-CN"/>
          <w14:textFill>
            <w14:solidFill>
              <w14:schemeClr w14:val="tx1"/>
            </w14:solidFill>
          </w14:textFill>
        </w:rPr>
        <w:t>1</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——所在地冬至日日出北京时间，取9:40</w:t>
      </w:r>
    </w:p>
    <w:p w14:paraId="236F208D">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t</w:t>
      </w:r>
      <w:r>
        <w:rPr>
          <w:rFonts w:hint="default" w:ascii="Times New Roman" w:hAnsi="Times New Roman" w:cs="Times New Roman" w:eastAsiaTheme="minorEastAsia"/>
          <w:snapToGrid w:val="0"/>
          <w:color w:val="000000" w:themeColor="text1"/>
          <w:sz w:val="24"/>
          <w:highlight w:val="none"/>
          <w:vertAlign w:val="subscript"/>
          <w:lang w:val="en-US" w:eastAsia="zh-CN"/>
          <w14:textFill>
            <w14:solidFill>
              <w14:schemeClr w14:val="tx1"/>
            </w14:solidFill>
          </w14:textFill>
        </w:rPr>
        <w:t>2</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——所在地冬至日日落北京时间，取18:40</w:t>
      </w:r>
    </w:p>
    <w:p w14:paraId="4A44C34A">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t——逐时北京时间</w:t>
      </w:r>
    </w:p>
    <w:p w14:paraId="55281660">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根据计算，风机光影影响角度约为26°～147°，范围约为121°。</w:t>
      </w:r>
    </w:p>
    <w:p w14:paraId="15C37CF9">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(3)光影防护距离的确定</w:t>
      </w:r>
    </w:p>
    <w:p w14:paraId="298BE8FD">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地球绕太阳公转，由于地轴的倾斜，地轴与轨道平面始终保持着大概66°34′的夹角，这样，才引起太阳直射点在南北纬23°26′之间往返移动，冬至日，太阳直射南回归线—即直射点的纬度为S23°26′；夏至日，太阳直射北回归线—即直射点的纬度为N23°26′。北方地区冬至日一年中日期序数为355，太阳高度角计算公式如下：</w:t>
      </w:r>
    </w:p>
    <w:p w14:paraId="590B2B42">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center"/>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position w:val="-12"/>
          <w:sz w:val="24"/>
          <w:highlight w:val="none"/>
          <w:lang w:val="en-US" w:eastAsia="zh-CN"/>
          <w14:textFill>
            <w14:solidFill>
              <w14:schemeClr w14:val="tx1"/>
            </w14:solidFill>
          </w14:textFill>
        </w:rPr>
        <w:object>
          <v:shape id="_x0000_i1030" o:spt="75" type="#_x0000_t75" style="height:18pt;width:257pt;" o:ole="t" filled="f" o:preferrelative="t" stroked="f" coordsize="21600,21600">
            <v:path/>
            <v:fill on="f" focussize="0,0"/>
            <v:stroke on="f"/>
            <v:imagedata r:id="rId44" o:title=""/>
            <o:lock v:ext="edit" aspectratio="t"/>
            <w10:wrap type="none"/>
            <w10:anchorlock/>
          </v:shape>
          <o:OLEObject Type="Embed" ProgID="Equation.KSEE3" ShapeID="_x0000_i1030" DrawAspect="Content" ObjectID="_1468075730" r:id="rId43">
            <o:LockedField>false</o:LockedField>
          </o:OLEObject>
        </w:object>
      </w:r>
    </w:p>
    <w:p w14:paraId="3397F4FF">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式中：h</w:t>
      </w:r>
      <w:r>
        <w:rPr>
          <w:rFonts w:hint="default" w:ascii="Times New Roman" w:hAnsi="Times New Roman" w:cs="Times New Roman" w:eastAsiaTheme="minorEastAsia"/>
          <w:snapToGrid w:val="0"/>
          <w:color w:val="000000" w:themeColor="text1"/>
          <w:sz w:val="24"/>
          <w:highlight w:val="none"/>
          <w:vertAlign w:val="subscript"/>
          <w:lang w:val="en-US" w:eastAsia="zh-CN"/>
          <w14:textFill>
            <w14:solidFill>
              <w14:schemeClr w14:val="tx1"/>
            </w14:solidFill>
          </w14:textFill>
        </w:rPr>
        <w:t>0</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-太阳高度角，deg；</w:t>
      </w:r>
    </w:p>
    <w:p w14:paraId="41FD27F1">
      <w:pPr>
        <w:keepNext w:val="0"/>
        <w:keepLines w:val="0"/>
        <w:pageBreakBefore w:val="0"/>
        <w:widowControl w:val="0"/>
        <w:kinsoku/>
        <w:wordWrap/>
        <w:overflowPunct/>
        <w:topLinePunct w:val="0"/>
        <w:autoSpaceDE/>
        <w:autoSpaceDN/>
        <w:bidi w:val="0"/>
        <w:adjustRightInd/>
        <w:snapToGrid/>
        <w:spacing w:line="360" w:lineRule="auto"/>
        <w:ind w:left="0" w:leftChars="0" w:firstLine="1400" w:firstLineChars="5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drawing>
          <wp:inline distT="0" distB="0" distL="114300" distR="114300">
            <wp:extent cx="133350" cy="161925"/>
            <wp:effectExtent l="0" t="0" r="0" b="7620"/>
            <wp:docPr id="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7"/>
                    <pic:cNvPicPr>
                      <a:picLocks noChangeAspect="1"/>
                    </pic:cNvPicPr>
                  </pic:nvPicPr>
                  <pic:blipFill>
                    <a:blip r:embed="rId45"/>
                    <a:stretch>
                      <a:fillRect/>
                    </a:stretch>
                  </pic:blipFill>
                  <pic:spPr>
                    <a:xfrm>
                      <a:off x="0" y="0"/>
                      <a:ext cx="133350" cy="161925"/>
                    </a:xfrm>
                    <a:prstGeom prst="rect">
                      <a:avLst/>
                    </a:prstGeom>
                    <a:noFill/>
                    <a:ln>
                      <a:noFill/>
                    </a:ln>
                  </pic:spPr>
                </pic:pic>
              </a:graphicData>
            </a:graphic>
          </wp:inline>
        </w:drawing>
      </w:r>
      <w:r>
        <w:rPr>
          <w:rFonts w:hint="default" w:ascii="Times New Roman" w:hAnsi="Times New Roman" w:cs="Times New Roman" w:eastAsiaTheme="minorEastAsia"/>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当地纬度，deg；</w:t>
      </w:r>
    </w:p>
    <w:p w14:paraId="028436EA">
      <w:pPr>
        <w:keepNext w:val="0"/>
        <w:keepLines w:val="0"/>
        <w:pageBreakBefore w:val="0"/>
        <w:widowControl w:val="0"/>
        <w:kinsoku/>
        <w:wordWrap/>
        <w:overflowPunct/>
        <w:topLinePunct w:val="0"/>
        <w:autoSpaceDE/>
        <w:autoSpaceDN/>
        <w:bidi w:val="0"/>
        <w:adjustRightInd/>
        <w:snapToGrid/>
        <w:spacing w:line="360" w:lineRule="auto"/>
        <w:ind w:left="0" w:leftChars="0" w:firstLine="1200" w:firstLineChars="5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λ－当地经度，deg；</w:t>
      </w:r>
    </w:p>
    <w:p w14:paraId="436BF47E">
      <w:pPr>
        <w:keepNext w:val="0"/>
        <w:keepLines w:val="0"/>
        <w:pageBreakBefore w:val="0"/>
        <w:widowControl w:val="0"/>
        <w:kinsoku/>
        <w:wordWrap/>
        <w:overflowPunct/>
        <w:topLinePunct w:val="0"/>
        <w:autoSpaceDE/>
        <w:autoSpaceDN/>
        <w:bidi w:val="0"/>
        <w:adjustRightInd/>
        <w:snapToGrid/>
        <w:spacing w:line="360" w:lineRule="auto"/>
        <w:ind w:left="0" w:leftChars="0" w:firstLine="1200" w:firstLineChars="5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t－进行观测时的北京时间；</w:t>
      </w:r>
    </w:p>
    <w:p w14:paraId="0F811D5A">
      <w:pPr>
        <w:keepNext w:val="0"/>
        <w:keepLines w:val="0"/>
        <w:pageBreakBefore w:val="0"/>
        <w:widowControl w:val="0"/>
        <w:kinsoku/>
        <w:wordWrap/>
        <w:overflowPunct/>
        <w:topLinePunct w:val="0"/>
        <w:autoSpaceDE/>
        <w:autoSpaceDN/>
        <w:bidi w:val="0"/>
        <w:adjustRightInd/>
        <w:snapToGrid/>
        <w:spacing w:line="360" w:lineRule="auto"/>
        <w:ind w:left="0" w:leftChars="0" w:firstLine="1200" w:firstLineChars="5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σ－太阳倾角，deg，可按下式计算；</w:t>
      </w:r>
    </w:p>
    <w:p w14:paraId="4CAEC3D3">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center"/>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position w:val="-68"/>
          <w:sz w:val="24"/>
          <w:highlight w:val="none"/>
          <w:lang w:val="en-US" w:eastAsia="zh-CN"/>
          <w14:textFill>
            <w14:solidFill>
              <w14:schemeClr w14:val="tx1"/>
            </w14:solidFill>
          </w14:textFill>
        </w:rPr>
        <w:object>
          <v:shape id="_x0000_i1031" o:spt="75" type="#_x0000_t75" style="height:74pt;width:244pt;" o:ole="t" filled="f" o:preferrelative="t" stroked="f" coordsize="21600,21600">
            <v:path/>
            <v:fill on="f" focussize="0,0"/>
            <v:stroke on="f"/>
            <v:imagedata r:id="rId47" o:title=""/>
            <o:lock v:ext="edit" aspectratio="t"/>
            <w10:wrap type="none"/>
            <w10:anchorlock/>
          </v:shape>
          <o:OLEObject Type="Embed" ProgID="Equation.KSEE3" ShapeID="_x0000_i1031" DrawAspect="Content" ObjectID="_1468075731" r:id="rId46">
            <o:LockedField>false</o:LockedField>
          </o:OLEObject>
        </w:object>
      </w:r>
    </w:p>
    <w:p w14:paraId="1A171128">
      <w:pPr>
        <w:keepNext w:val="0"/>
        <w:keepLines w:val="0"/>
        <w:pageBreakBefore w:val="0"/>
        <w:widowControl w:val="0"/>
        <w:tabs>
          <w:tab w:val="center" w:pos="4479"/>
        </w:tabs>
        <w:kinsoku/>
        <w:wordWrap/>
        <w:overflowPunct/>
        <w:topLinePunct w:val="0"/>
        <w:autoSpaceDE/>
        <w:autoSpaceDN/>
        <w:bidi w:val="0"/>
        <w:adjustRightInd w:val="0"/>
        <w:snapToGrid w:val="0"/>
        <w:spacing w:line="24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式中：</w:t>
      </w:r>
      <w:r>
        <w:rPr>
          <w:rFonts w:hint="default" w:ascii="Times New Roman" w:hAnsi="Times New Roman" w:cs="Times New Roman" w:eastAsiaTheme="minorEastAsia"/>
          <w:color w:val="000000" w:themeColor="text1"/>
          <w:highlight w:val="none"/>
          <w14:textFill>
            <w14:solidFill>
              <w14:schemeClr w14:val="tx1"/>
            </w14:solidFill>
          </w14:textFill>
        </w:rPr>
        <w:drawing>
          <wp:inline distT="0" distB="0" distL="114300" distR="114300">
            <wp:extent cx="161925" cy="228600"/>
            <wp:effectExtent l="0" t="0" r="8255" b="0"/>
            <wp:docPr id="2"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6"/>
                    <pic:cNvPicPr>
                      <a:picLocks noChangeAspect="1"/>
                    </pic:cNvPicPr>
                  </pic:nvPicPr>
                  <pic:blipFill>
                    <a:blip r:embed="rId48"/>
                    <a:stretch>
                      <a:fillRect/>
                    </a:stretch>
                  </pic:blipFill>
                  <pic:spPr>
                    <a:xfrm>
                      <a:off x="0" y="0"/>
                      <a:ext cx="161925" cy="228600"/>
                    </a:xfrm>
                    <a:prstGeom prst="rect">
                      <a:avLst/>
                    </a:prstGeom>
                    <a:noFill/>
                    <a:ln>
                      <a:noFill/>
                    </a:ln>
                  </pic:spPr>
                </pic:pic>
              </a:graphicData>
            </a:graphic>
          </wp:inline>
        </w:drawing>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=360dn/365，deg；</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ab/>
      </w:r>
    </w:p>
    <w:p w14:paraId="15F42A31">
      <w:pPr>
        <w:keepNext w:val="0"/>
        <w:keepLines w:val="0"/>
        <w:pageBreakBefore w:val="0"/>
        <w:widowControl w:val="0"/>
        <w:kinsoku/>
        <w:wordWrap/>
        <w:overflowPunct/>
        <w:topLinePunct w:val="0"/>
        <w:autoSpaceDE/>
        <w:autoSpaceDN/>
        <w:bidi w:val="0"/>
        <w:adjustRightInd/>
        <w:snapToGrid/>
        <w:spacing w:line="360" w:lineRule="auto"/>
        <w:ind w:left="0" w:leftChars="0" w:firstLine="1200" w:firstLineChars="5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dn－冬至日一年中日期序数，0、1、2……364，取355；</w:t>
      </w:r>
    </w:p>
    <w:p w14:paraId="641678EF">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根据太阳高度角的数值即可算出物体的阴影长度L。</w:t>
      </w:r>
    </w:p>
    <w:p w14:paraId="0510B0B1">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center"/>
        <w:textAlignment w:val="auto"/>
        <w:rPr>
          <w:rFonts w:hint="default" w:ascii="Times New Roman" w:hAnsi="Times New Roman" w:cs="Times New Roman" w:eastAsiaTheme="minorEastAsia"/>
          <w:snapToGrid w:val="0"/>
          <w:color w:val="FF0000"/>
          <w:sz w:val="24"/>
          <w:highlight w:val="none"/>
          <w:lang w:val="en-US" w:eastAsia="zh-CN"/>
        </w:rPr>
      </w:pPr>
      <w:r>
        <w:rPr>
          <w:rFonts w:hint="default" w:ascii="Times New Roman" w:hAnsi="Times New Roman" w:cs="Times New Roman" w:eastAsiaTheme="minorEastAsia"/>
          <w:snapToGrid w:val="0"/>
          <w:color w:val="FF0000"/>
          <w:sz w:val="24"/>
          <w:highlight w:val="none"/>
          <w:lang w:val="en-US" w:eastAsia="zh-CN"/>
        </w:rPr>
        <w:object>
          <v:shape id="_x0000_i1032" o:spt="75" type="#_x0000_t75" style="height:36pt;width:60.95pt;" o:ole="t" filled="f" o:preferrelative="t" stroked="f" coordsize="21600,21600">
            <v:path/>
            <v:fill on="f" focussize="0,0"/>
            <v:stroke on="f"/>
            <v:imagedata r:id="rId50" o:title=""/>
            <o:lock v:ext="edit" aspectratio="t"/>
            <w10:wrap type="none"/>
            <w10:anchorlock/>
          </v:shape>
          <o:OLEObject Type="Embed" ProgID="Equation.KSEE3" ShapeID="_x0000_i1032" DrawAspect="Content" ObjectID="_1468075732" r:id="rId49">
            <o:LockedField>false</o:LockedField>
          </o:OLEObject>
        </w:object>
      </w:r>
    </w:p>
    <w:p w14:paraId="4E1DF222">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式中：D－风机有效高度，m</w:t>
      </w:r>
    </w:p>
    <w:p w14:paraId="6A7FBF5E">
      <w:pPr>
        <w:keepNext w:val="0"/>
        <w:keepLines w:val="0"/>
        <w:pageBreakBefore w:val="0"/>
        <w:widowControl w:val="0"/>
        <w:kinsoku/>
        <w:wordWrap/>
        <w:overflowPunct/>
        <w:topLinePunct w:val="0"/>
        <w:autoSpaceDE/>
        <w:autoSpaceDN/>
        <w:bidi w:val="0"/>
        <w:adjustRightInd/>
        <w:snapToGrid/>
        <w:spacing w:line="360" w:lineRule="auto"/>
        <w:ind w:left="0" w:leftChars="0" w:firstLine="1200" w:firstLineChars="5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D</w:t>
      </w:r>
      <w:r>
        <w:rPr>
          <w:rFonts w:hint="default" w:ascii="Times New Roman" w:hAnsi="Times New Roman" w:cs="Times New Roman" w:eastAsiaTheme="minorEastAsia"/>
          <w:snapToGrid w:val="0"/>
          <w:color w:val="000000" w:themeColor="text1"/>
          <w:sz w:val="24"/>
          <w:highlight w:val="none"/>
          <w:vertAlign w:val="subscript"/>
          <w:lang w:val="en-US" w:eastAsia="zh-CN"/>
          <w14:textFill>
            <w14:solidFill>
              <w14:schemeClr w14:val="tx1"/>
            </w14:solidFill>
          </w14:textFill>
        </w:rPr>
        <w:t>0－</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风机高度，m</w:t>
      </w:r>
    </w:p>
    <w:p w14:paraId="627B6EF6">
      <w:pPr>
        <w:keepNext w:val="0"/>
        <w:keepLines w:val="0"/>
        <w:pageBreakBefore w:val="0"/>
        <w:widowControl w:val="0"/>
        <w:kinsoku/>
        <w:wordWrap/>
        <w:overflowPunct/>
        <w:topLinePunct w:val="0"/>
        <w:autoSpaceDE/>
        <w:autoSpaceDN/>
        <w:bidi w:val="0"/>
        <w:adjustRightInd/>
        <w:snapToGrid/>
        <w:spacing w:line="360" w:lineRule="auto"/>
        <w:ind w:left="0" w:leftChars="0" w:firstLine="1200" w:firstLineChars="5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D</w:t>
      </w:r>
      <w:r>
        <w:rPr>
          <w:rFonts w:hint="default" w:ascii="Times New Roman" w:hAnsi="Times New Roman" w:cs="Times New Roman" w:eastAsiaTheme="minorEastAsia"/>
          <w:snapToGrid w:val="0"/>
          <w:color w:val="000000" w:themeColor="text1"/>
          <w:sz w:val="24"/>
          <w:highlight w:val="none"/>
          <w:vertAlign w:val="subscript"/>
          <w:lang w:val="en-US" w:eastAsia="zh-CN"/>
          <w14:textFill>
            <w14:solidFill>
              <w14:schemeClr w14:val="tx1"/>
            </w14:solidFill>
          </w14:textFill>
        </w:rPr>
        <w:t>1</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-风机所在位置与附近光影敏感点间的地面高差，m</w:t>
      </w:r>
    </w:p>
    <w:p w14:paraId="3E23368D">
      <w:pPr>
        <w:keepNext w:val="0"/>
        <w:keepLines w:val="0"/>
        <w:pageBreakBefore w:val="0"/>
        <w:widowControl w:val="0"/>
        <w:kinsoku/>
        <w:wordWrap/>
        <w:overflowPunct/>
        <w:topLinePunct w:val="0"/>
        <w:autoSpaceDE/>
        <w:autoSpaceDN/>
        <w:bidi w:val="0"/>
        <w:adjustRightInd/>
        <w:snapToGrid/>
        <w:spacing w:line="360" w:lineRule="auto"/>
        <w:ind w:left="0" w:leftChars="0" w:firstLine="1200" w:firstLineChars="5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h</w:t>
      </w:r>
      <w:r>
        <w:rPr>
          <w:rFonts w:hint="default" w:ascii="Times New Roman" w:hAnsi="Times New Roman" w:cs="Times New Roman" w:eastAsiaTheme="minorEastAsia"/>
          <w:snapToGrid w:val="0"/>
          <w:color w:val="000000" w:themeColor="text1"/>
          <w:sz w:val="24"/>
          <w:highlight w:val="none"/>
          <w:vertAlign w:val="subscript"/>
          <w:lang w:val="en-US" w:eastAsia="zh-CN"/>
          <w14:textFill>
            <w14:solidFill>
              <w14:schemeClr w14:val="tx1"/>
            </w14:solidFill>
          </w14:textFill>
        </w:rPr>
        <w:t>0</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-太阳高度角，deg；</w:t>
      </w:r>
    </w:p>
    <w:p w14:paraId="33C53D77">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由于</w:t>
      </w:r>
      <w:r>
        <w:rPr>
          <w:rFonts w:hint="eastAsia" w:cs="Times New Roman" w:eastAsiaTheme="minorEastAsia"/>
          <w:snapToGrid w:val="0"/>
          <w:color w:val="000000" w:themeColor="text1"/>
          <w:sz w:val="24"/>
          <w:highlight w:val="none"/>
          <w:lang w:val="en-US" w:eastAsia="zh-CN"/>
          <w14:textFill>
            <w14:solidFill>
              <w14:schemeClr w14:val="tx1"/>
            </w14:solidFill>
          </w14:textFill>
        </w:rPr>
        <w:t>场址所在区域地势平坦，500m范围内无敏感目标，</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风机与敏感点高差暂不考虑。本项目轮毂高度12</w:t>
      </w:r>
      <w:r>
        <w:rPr>
          <w:rFonts w:hint="eastAsia" w:cs="Times New Roman" w:eastAsiaTheme="minorEastAsia"/>
          <w:snapToGrid w:val="0"/>
          <w:color w:val="000000" w:themeColor="text1"/>
          <w:sz w:val="24"/>
          <w:highlight w:val="none"/>
          <w:lang w:val="en-US" w:eastAsia="zh-CN"/>
          <w14:textFill>
            <w14:solidFill>
              <w14:schemeClr w14:val="tx1"/>
            </w14:solidFill>
          </w14:textFill>
        </w:rPr>
        <w:t>0</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m，风轮直径22</w:t>
      </w:r>
      <w:r>
        <w:rPr>
          <w:rFonts w:hint="eastAsia" w:cs="Times New Roman" w:eastAsiaTheme="minorEastAsia"/>
          <w:snapToGrid w:val="0"/>
          <w:color w:val="000000" w:themeColor="text1"/>
          <w:sz w:val="24"/>
          <w:highlight w:val="none"/>
          <w:lang w:val="en-US" w:eastAsia="zh-CN"/>
          <w14:textFill>
            <w14:solidFill>
              <w14:schemeClr w14:val="tx1"/>
            </w14:solidFill>
          </w14:textFill>
        </w:rPr>
        <w:t>0</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m，则风力发电机组(含叶片)高度约23</w:t>
      </w:r>
      <w:r>
        <w:rPr>
          <w:rFonts w:hint="eastAsia" w:cs="Times New Roman" w:eastAsiaTheme="minorEastAsia"/>
          <w:snapToGrid w:val="0"/>
          <w:color w:val="000000" w:themeColor="text1"/>
          <w:sz w:val="24"/>
          <w:highlight w:val="none"/>
          <w:lang w:val="en-US" w:eastAsia="zh-CN"/>
          <w14:textFill>
            <w14:solidFill>
              <w14:schemeClr w14:val="tx1"/>
            </w14:solidFill>
          </w14:textFill>
        </w:rPr>
        <w:t>0</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m，根据上式估算，本项目风机产生光影影响距离见下表。</w:t>
      </w:r>
    </w:p>
    <w:p w14:paraId="05211F5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highlight w:val="none"/>
          <w:lang w:val="en-US" w:eastAsia="zh-CN"/>
          <w14:textFill>
            <w14:solidFill>
              <w14:schemeClr w14:val="tx1"/>
            </w14:solidFill>
          </w14:textFill>
        </w:rPr>
        <w:t>表5.2-24    风机光影影响距离</w:t>
      </w:r>
    </w:p>
    <w:tbl>
      <w:tblPr>
        <w:tblStyle w:val="76"/>
        <w:tblW w:w="9174"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46"/>
        <w:gridCol w:w="1146"/>
        <w:gridCol w:w="1146"/>
        <w:gridCol w:w="1146"/>
        <w:gridCol w:w="1146"/>
        <w:gridCol w:w="1146"/>
        <w:gridCol w:w="1149"/>
        <w:gridCol w:w="1149"/>
      </w:tblGrid>
      <w:tr w14:paraId="4B00E6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146" w:type="dxa"/>
            <w:tcBorders>
              <w:tl2br w:val="nil"/>
              <w:tr2bl w:val="nil"/>
            </w:tcBorders>
            <w:vAlign w:val="center"/>
          </w:tcPr>
          <w:p w14:paraId="2D7B7D0F">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预测时间</w:t>
            </w:r>
          </w:p>
        </w:tc>
        <w:tc>
          <w:tcPr>
            <w:tcW w:w="1146" w:type="dxa"/>
            <w:tcBorders>
              <w:tl2br w:val="nil"/>
              <w:tr2bl w:val="nil"/>
            </w:tcBorders>
            <w:vAlign w:val="center"/>
          </w:tcPr>
          <w:p w14:paraId="5126DAE5">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11:00</w:t>
            </w:r>
          </w:p>
        </w:tc>
        <w:tc>
          <w:tcPr>
            <w:tcW w:w="1146" w:type="dxa"/>
            <w:tcBorders>
              <w:tl2br w:val="nil"/>
              <w:tr2bl w:val="nil"/>
            </w:tcBorders>
            <w:vAlign w:val="center"/>
          </w:tcPr>
          <w:p w14:paraId="342F17DA">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12:00</w:t>
            </w:r>
          </w:p>
        </w:tc>
        <w:tc>
          <w:tcPr>
            <w:tcW w:w="1146" w:type="dxa"/>
            <w:tcBorders>
              <w:tl2br w:val="nil"/>
              <w:tr2bl w:val="nil"/>
            </w:tcBorders>
            <w:vAlign w:val="center"/>
          </w:tcPr>
          <w:p w14:paraId="5F51BDAF">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13:00</w:t>
            </w:r>
          </w:p>
        </w:tc>
        <w:tc>
          <w:tcPr>
            <w:tcW w:w="1146" w:type="dxa"/>
            <w:tcBorders>
              <w:tl2br w:val="nil"/>
              <w:tr2bl w:val="nil"/>
            </w:tcBorders>
            <w:vAlign w:val="center"/>
          </w:tcPr>
          <w:p w14:paraId="6DC51BB8">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14:00</w:t>
            </w:r>
          </w:p>
        </w:tc>
        <w:tc>
          <w:tcPr>
            <w:tcW w:w="1146" w:type="dxa"/>
            <w:tcBorders>
              <w:tl2br w:val="nil"/>
              <w:tr2bl w:val="nil"/>
            </w:tcBorders>
            <w:vAlign w:val="center"/>
          </w:tcPr>
          <w:p w14:paraId="5B00B483">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15:00</w:t>
            </w:r>
          </w:p>
        </w:tc>
        <w:tc>
          <w:tcPr>
            <w:tcW w:w="1149" w:type="dxa"/>
            <w:tcBorders>
              <w:tl2br w:val="nil"/>
              <w:tr2bl w:val="nil"/>
            </w:tcBorders>
            <w:vAlign w:val="center"/>
          </w:tcPr>
          <w:p w14:paraId="22F50F9E">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16:00</w:t>
            </w:r>
          </w:p>
        </w:tc>
        <w:tc>
          <w:tcPr>
            <w:tcW w:w="1149" w:type="dxa"/>
            <w:tcBorders>
              <w:tl2br w:val="nil"/>
              <w:tr2bl w:val="nil"/>
            </w:tcBorders>
            <w:vAlign w:val="center"/>
          </w:tcPr>
          <w:p w14:paraId="134F49CF">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17:00</w:t>
            </w:r>
          </w:p>
        </w:tc>
      </w:tr>
      <w:tr w14:paraId="5B822D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146" w:type="dxa"/>
            <w:tcBorders>
              <w:tl2br w:val="nil"/>
              <w:tr2bl w:val="nil"/>
            </w:tcBorders>
            <w:vAlign w:val="center"/>
          </w:tcPr>
          <w:p w14:paraId="2EEB0E23">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影响距离</w:t>
            </w:r>
          </w:p>
        </w:tc>
        <w:tc>
          <w:tcPr>
            <w:tcW w:w="1146" w:type="dxa"/>
            <w:tcBorders>
              <w:tl2br w:val="nil"/>
              <w:tr2bl w:val="nil"/>
            </w:tcBorders>
            <w:vAlign w:val="center"/>
          </w:tcPr>
          <w:p w14:paraId="71A64A01">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eastAsia" w:cs="Times New Roman" w:eastAsiaTheme="minorEastAsia"/>
                <w:color w:val="000000" w:themeColor="text1"/>
                <w:sz w:val="21"/>
                <w:szCs w:val="21"/>
                <w:highlight w:val="none"/>
                <w:vertAlign w:val="baseline"/>
                <w:lang w:val="en-US" w:eastAsia="zh-CN"/>
                <w14:textFill>
                  <w14:solidFill>
                    <w14:schemeClr w14:val="tx1"/>
                  </w14:solidFill>
                </w14:textFill>
              </w:rPr>
              <w:t>233</w:t>
            </w:r>
          </w:p>
        </w:tc>
        <w:tc>
          <w:tcPr>
            <w:tcW w:w="1146" w:type="dxa"/>
            <w:tcBorders>
              <w:tl2br w:val="nil"/>
              <w:tr2bl w:val="nil"/>
            </w:tcBorders>
            <w:vAlign w:val="center"/>
          </w:tcPr>
          <w:p w14:paraId="7330A21F">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eastAsia" w:cs="Times New Roman" w:eastAsiaTheme="minorEastAsia"/>
                <w:color w:val="000000" w:themeColor="text1"/>
                <w:sz w:val="21"/>
                <w:szCs w:val="21"/>
                <w:highlight w:val="none"/>
                <w:vertAlign w:val="baseline"/>
                <w:lang w:val="en-US" w:eastAsia="zh-CN"/>
                <w14:textFill>
                  <w14:solidFill>
                    <w14:schemeClr w14:val="tx1"/>
                  </w14:solidFill>
                </w14:textFill>
              </w:rPr>
              <w:t>223</w:t>
            </w:r>
          </w:p>
        </w:tc>
        <w:tc>
          <w:tcPr>
            <w:tcW w:w="1146" w:type="dxa"/>
            <w:tcBorders>
              <w:tl2br w:val="nil"/>
              <w:tr2bl w:val="nil"/>
            </w:tcBorders>
            <w:vAlign w:val="center"/>
          </w:tcPr>
          <w:p w14:paraId="5BDFF6CF">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eastAsia" w:cs="Times New Roman" w:eastAsiaTheme="minorEastAsia"/>
                <w:color w:val="000000" w:themeColor="text1"/>
                <w:sz w:val="21"/>
                <w:szCs w:val="21"/>
                <w:highlight w:val="none"/>
                <w:vertAlign w:val="baseline"/>
                <w:lang w:val="en-US" w:eastAsia="zh-CN"/>
                <w14:textFill>
                  <w14:solidFill>
                    <w14:schemeClr w14:val="tx1"/>
                  </w14:solidFill>
                </w14:textFill>
              </w:rPr>
              <w:t>219</w:t>
            </w:r>
          </w:p>
        </w:tc>
        <w:tc>
          <w:tcPr>
            <w:tcW w:w="1146" w:type="dxa"/>
            <w:tcBorders>
              <w:tl2br w:val="nil"/>
              <w:tr2bl w:val="nil"/>
            </w:tcBorders>
            <w:vAlign w:val="center"/>
          </w:tcPr>
          <w:p w14:paraId="680D3223">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eastAsia" w:cs="Times New Roman" w:eastAsiaTheme="minorEastAsia"/>
                <w:color w:val="000000" w:themeColor="text1"/>
                <w:sz w:val="21"/>
                <w:szCs w:val="21"/>
                <w:highlight w:val="none"/>
                <w:vertAlign w:val="baseline"/>
                <w:lang w:val="en-US" w:eastAsia="zh-CN"/>
                <w14:textFill>
                  <w14:solidFill>
                    <w14:schemeClr w14:val="tx1"/>
                  </w14:solidFill>
                </w14:textFill>
              </w:rPr>
              <w:t>221</w:t>
            </w:r>
          </w:p>
        </w:tc>
        <w:tc>
          <w:tcPr>
            <w:tcW w:w="1146" w:type="dxa"/>
            <w:tcBorders>
              <w:tl2br w:val="nil"/>
              <w:tr2bl w:val="nil"/>
            </w:tcBorders>
            <w:vAlign w:val="center"/>
          </w:tcPr>
          <w:p w14:paraId="47243B43">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eastAsia" w:cs="Times New Roman" w:eastAsiaTheme="minorEastAsia"/>
                <w:color w:val="000000" w:themeColor="text1"/>
                <w:sz w:val="21"/>
                <w:szCs w:val="21"/>
                <w:highlight w:val="none"/>
                <w:vertAlign w:val="baseline"/>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94</w:t>
            </w:r>
          </w:p>
        </w:tc>
        <w:tc>
          <w:tcPr>
            <w:tcW w:w="1149" w:type="dxa"/>
            <w:tcBorders>
              <w:tl2br w:val="nil"/>
              <w:tr2bl w:val="nil"/>
            </w:tcBorders>
            <w:vAlign w:val="center"/>
          </w:tcPr>
          <w:p w14:paraId="11775EC9">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eastAsia" w:cs="Times New Roman" w:eastAsiaTheme="minorEastAsia"/>
                <w:color w:val="000000" w:themeColor="text1"/>
                <w:sz w:val="21"/>
                <w:szCs w:val="21"/>
                <w:highlight w:val="none"/>
                <w:vertAlign w:val="baseline"/>
                <w:lang w:val="en-US" w:eastAsia="zh-CN"/>
                <w14:textFill>
                  <w14:solidFill>
                    <w14:schemeClr w14:val="tx1"/>
                  </w14:solidFill>
                </w14:textFill>
              </w:rPr>
              <w:t>31</w:t>
            </w: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3</w:t>
            </w:r>
          </w:p>
        </w:tc>
        <w:tc>
          <w:tcPr>
            <w:tcW w:w="1149" w:type="dxa"/>
            <w:tcBorders>
              <w:tl2br w:val="nil"/>
              <w:tr2bl w:val="nil"/>
            </w:tcBorders>
            <w:vAlign w:val="center"/>
          </w:tcPr>
          <w:p w14:paraId="42E809D6">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eastAsia" w:cs="Times New Roman" w:eastAsiaTheme="minorEastAsia"/>
                <w:color w:val="000000" w:themeColor="text1"/>
                <w:sz w:val="21"/>
                <w:szCs w:val="21"/>
                <w:highlight w:val="none"/>
                <w:vertAlign w:val="baseline"/>
                <w:lang w:val="en-US" w:eastAsia="zh-CN"/>
                <w14:textFill>
                  <w14:solidFill>
                    <w14:schemeClr w14:val="tx1"/>
                  </w14:solidFill>
                </w14:textFill>
              </w:rPr>
              <w:t>39</w:t>
            </w: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5</w:t>
            </w:r>
          </w:p>
        </w:tc>
      </w:tr>
    </w:tbl>
    <w:p w14:paraId="78512F19">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color w:val="FF0000"/>
          <w:highlight w:val="none"/>
          <w:lang w:val="en-US" w:eastAsia="zh-CN"/>
        </w:rPr>
      </w:pPr>
    </w:p>
    <w:p w14:paraId="68E2FD1E">
      <w:pPr>
        <w:keepNext w:val="0"/>
        <w:keepLines w:val="0"/>
        <w:pageBreakBefore w:val="0"/>
        <w:widowControl w:val="0"/>
        <w:numPr>
          <w:ilvl w:val="0"/>
          <w:numId w:val="0"/>
        </w:numPr>
        <w:tabs>
          <w:tab w:val="left" w:pos="1260"/>
        </w:tabs>
        <w:kinsoku/>
        <w:wordWrap/>
        <w:overflowPunct/>
        <w:topLinePunct w:val="0"/>
        <w:autoSpaceDE/>
        <w:autoSpaceDN/>
        <w:bidi w:val="0"/>
        <w:adjustRightInd/>
        <w:snapToGrid w:val="0"/>
        <w:spacing w:line="360" w:lineRule="auto"/>
        <w:ind w:left="0"/>
        <w:textAlignment w:val="auto"/>
        <w:outlineLvl w:val="3"/>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t>5.2.</w:t>
      </w:r>
      <w:r>
        <w:rPr>
          <w:rFonts w:hint="eastAsia"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t>8</w:t>
      </w:r>
      <w:r>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t>.2 预测结果</w:t>
      </w:r>
    </w:p>
    <w:p w14:paraId="79AA0259">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由表5.2-14可以看出，本次评价风机产生的光影影响距离最大值为</w:t>
      </w:r>
      <w:r>
        <w:rPr>
          <w:rFonts w:hint="eastAsia" w:cs="Times New Roman" w:eastAsiaTheme="minorEastAsia"/>
          <w:snapToGrid w:val="0"/>
          <w:color w:val="000000" w:themeColor="text1"/>
          <w:sz w:val="24"/>
          <w:highlight w:val="none"/>
          <w:lang w:val="en-US" w:eastAsia="zh-CN"/>
          <w14:textFill>
            <w14:solidFill>
              <w14:schemeClr w14:val="tx1"/>
            </w14:solidFill>
          </w14:textFill>
        </w:rPr>
        <w:t>395</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m，考虑到光的散射和折射因素，当光影到达一定范围时，强度会减弱，光影的影响也较小。为有效防治光影、噪声对周围居民的影响，本项目风机选址应避开周边居民区，光影防护距离按</w:t>
      </w:r>
      <w:r>
        <w:rPr>
          <w:rFonts w:hint="eastAsia" w:cs="Times New Roman" w:eastAsiaTheme="minorEastAsia"/>
          <w:snapToGrid w:val="0"/>
          <w:color w:val="000000" w:themeColor="text1"/>
          <w:sz w:val="24"/>
          <w:highlight w:val="none"/>
          <w:lang w:val="en-US" w:eastAsia="zh-CN"/>
          <w14:textFill>
            <w14:solidFill>
              <w14:schemeClr w14:val="tx1"/>
            </w14:solidFill>
          </w14:textFill>
        </w:rPr>
        <w:t>5</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00m考虑。本项目风机周边无居民区，距离国道最近距离约</w:t>
      </w:r>
      <w:r>
        <w:rPr>
          <w:rFonts w:hint="eastAsia" w:cs="Times New Roman" w:eastAsiaTheme="minorEastAsia"/>
          <w:snapToGrid w:val="0"/>
          <w:color w:val="000000" w:themeColor="text1"/>
          <w:sz w:val="24"/>
          <w:highlight w:val="none"/>
          <w:lang w:val="en-US" w:eastAsia="zh-CN"/>
          <w14:textFill>
            <w14:solidFill>
              <w14:schemeClr w14:val="tx1"/>
            </w14:solidFill>
          </w14:textFill>
        </w:rPr>
        <w:t>410</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m，受光影闪烁影响较小。</w:t>
      </w:r>
    </w:p>
    <w:p w14:paraId="13DA6D67">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本项目将进一步采取如下措施减小风机光影的影响：</w:t>
      </w:r>
    </w:p>
    <w:p w14:paraId="4F13B7AD">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①通过风机偏航和变桨操作，可使得风机叶轮迎风面与太阳光夹角变小，减少对敏感区域的光影影响。</w:t>
      </w:r>
    </w:p>
    <w:p w14:paraId="23F7865C">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②在冬至前后，采用降功率运行措施降低叶轮转速，从而减少叶轮光影的扫略速度，减少光影影响。</w:t>
      </w:r>
    </w:p>
    <w:p w14:paraId="75A347E2">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③调整检修计划，在冬至前后时段安排风电机组停机进行检修维护，以达到消除对敏感点光影影响的目的。</w:t>
      </w:r>
    </w:p>
    <w:p w14:paraId="4B2C7F44">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综上，风电机组的光影及闪烁对周边区域的局面的基本无影响，本项目风电场各风机产生的光影不会干扰附近居民的日常生活。</w:t>
      </w:r>
    </w:p>
    <w:p w14:paraId="5C801B6F">
      <w:pPr>
        <w:pStyle w:val="11"/>
        <w:keepNext/>
        <w:keepLines/>
        <w:pageBreakBefore w:val="0"/>
        <w:widowControl w:val="0"/>
        <w:kinsoku/>
        <w:wordWrap/>
        <w:overflowPunct/>
        <w:topLinePunct w:val="0"/>
        <w:autoSpaceDE/>
        <w:autoSpaceDN/>
        <w:bidi w:val="0"/>
        <w:adjustRightInd/>
        <w:snapToGrid w:val="0"/>
        <w:spacing w:beforeLines="0" w:afterLines="0"/>
        <w:ind w:left="0"/>
        <w:textAlignment w:val="auto"/>
        <w:outlineLvl w:val="2"/>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5.2.</w:t>
      </w:r>
      <w:r>
        <w:rPr>
          <w:rFonts w:hint="eastAsia" w:cs="Times New Roman" w:eastAsiaTheme="minorEastAsia"/>
          <w:color w:val="000000" w:themeColor="text1"/>
          <w:highlight w:val="none"/>
          <w:lang w:val="en-US" w:eastAsia="zh-CN"/>
          <w14:textFill>
            <w14:solidFill>
              <w14:schemeClr w14:val="tx1"/>
            </w14:solidFill>
          </w14:textFill>
        </w:rPr>
        <w:t>9</w:t>
      </w: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 xml:space="preserve"> 运营期水源地影响分析</w:t>
      </w:r>
    </w:p>
    <w:p w14:paraId="50BF512D">
      <w:pPr>
        <w:keepNext w:val="0"/>
        <w:keepLines w:val="0"/>
        <w:pageBreakBefore w:val="0"/>
        <w:widowControl w:val="0"/>
        <w:numPr>
          <w:ilvl w:val="0"/>
          <w:numId w:val="0"/>
        </w:numPr>
        <w:tabs>
          <w:tab w:val="left" w:pos="1260"/>
        </w:tabs>
        <w:kinsoku/>
        <w:wordWrap/>
        <w:overflowPunct/>
        <w:topLinePunct w:val="0"/>
        <w:autoSpaceDE/>
        <w:autoSpaceDN/>
        <w:bidi w:val="0"/>
        <w:adjustRightInd/>
        <w:snapToGrid w:val="0"/>
        <w:spacing w:line="360" w:lineRule="auto"/>
        <w:ind w:left="0" w:leftChars="0" w:firstLine="480" w:firstLineChars="200"/>
        <w:textAlignment w:val="auto"/>
        <w:outlineLvl w:val="9"/>
        <w:rPr>
          <w:rFonts w:hint="default" w:ascii="Times New Roman" w:hAnsi="Times New Roman" w:cs="Times New Roman" w:eastAsiaTheme="minorEastAsia"/>
          <w:snapToGrid w:val="0"/>
          <w:color w:val="FF0000"/>
          <w:sz w:val="24"/>
          <w:highlight w:val="yellow"/>
          <w:lang w:val="en-US" w:eastAsia="zh-CN"/>
        </w:rPr>
      </w:pPr>
      <w:r>
        <w:rPr>
          <w:rFonts w:hint="default" w:ascii="Times New Roman" w:hAnsi="Times New Roman" w:cs="Times New Roman" w:eastAsiaTheme="minorEastAsia"/>
          <w:color w:val="000000" w:themeColor="text1"/>
          <w:kern w:val="2"/>
          <w:sz w:val="24"/>
          <w:szCs w:val="20"/>
          <w:highlight w:val="none"/>
          <w:lang w:val="en-US" w:eastAsia="zh-CN" w:bidi="ar-SA"/>
          <w14:textFill>
            <w14:solidFill>
              <w14:schemeClr w14:val="tx1"/>
            </w14:solidFill>
          </w14:textFill>
        </w:rPr>
        <w:t>本项目占用</w:t>
      </w:r>
      <w:r>
        <w:rPr>
          <w:rFonts w:hint="eastAsia" w:ascii="宋体" w:hAnsi="宋体" w:eastAsia="宋体" w:cs="宋体"/>
          <w:color w:val="000000" w:themeColor="text1"/>
          <w:sz w:val="24"/>
          <w:lang w:val="en-US" w:eastAsia="zh-CN"/>
          <w14:textFill>
            <w14:solidFill>
              <w14:schemeClr w14:val="tx1"/>
            </w14:solidFill>
          </w14:textFill>
        </w:rPr>
        <w:t>西山地下饮用水源地二级保护区</w:t>
      </w:r>
      <w:r>
        <w:rPr>
          <w:rFonts w:hint="default" w:ascii="Times New Roman" w:hAnsi="Times New Roman" w:cs="Times New Roman" w:eastAsiaTheme="minorEastAsia"/>
          <w:color w:val="000000" w:themeColor="text1"/>
          <w:kern w:val="2"/>
          <w:sz w:val="24"/>
          <w:szCs w:val="20"/>
          <w:highlight w:val="none"/>
          <w:lang w:val="en-US" w:eastAsia="zh-CN" w:bidi="ar-SA"/>
          <w14:textFill>
            <w14:solidFill>
              <w14:schemeClr w14:val="tx1"/>
            </w14:solidFill>
          </w14:textFill>
        </w:rPr>
        <w:t>面积</w:t>
      </w:r>
      <w:r>
        <w:rPr>
          <w:rFonts w:hint="eastAsia" w:cs="Times New Roman" w:eastAsiaTheme="minorEastAsia"/>
          <w:color w:val="000000" w:themeColor="text1"/>
          <w:kern w:val="2"/>
          <w:sz w:val="24"/>
          <w:szCs w:val="20"/>
          <w:highlight w:val="none"/>
          <w:lang w:val="en-US" w:eastAsia="zh-CN" w:bidi="ar-SA"/>
          <w14:textFill>
            <w14:solidFill>
              <w14:schemeClr w14:val="tx1"/>
            </w14:solidFill>
          </w14:textFill>
        </w:rPr>
        <w:t>23387</w:t>
      </w:r>
      <w:r>
        <w:rPr>
          <w:rFonts w:hint="default" w:ascii="Times New Roman" w:hAnsi="Times New Roman" w:cs="Times New Roman" w:eastAsiaTheme="minorEastAsia"/>
          <w:color w:val="000000" w:themeColor="text1"/>
          <w:kern w:val="2"/>
          <w:sz w:val="24"/>
          <w:szCs w:val="20"/>
          <w:highlight w:val="none"/>
          <w:lang w:val="en-US" w:eastAsia="zh-CN" w:bidi="ar-SA"/>
          <w14:textFill>
            <w14:solidFill>
              <w14:schemeClr w14:val="tx1"/>
            </w14:solidFill>
          </w14:textFill>
        </w:rPr>
        <w:t>m</w:t>
      </w:r>
      <w:r>
        <w:rPr>
          <w:rFonts w:hint="default" w:ascii="Times New Roman" w:hAnsi="Times New Roman" w:cs="Times New Roman" w:eastAsiaTheme="minorEastAsia"/>
          <w:color w:val="000000" w:themeColor="text1"/>
          <w:kern w:val="2"/>
          <w:sz w:val="24"/>
          <w:szCs w:val="20"/>
          <w:highlight w:val="none"/>
          <w:vertAlign w:val="superscript"/>
          <w:lang w:val="en-US" w:eastAsia="zh-CN" w:bidi="ar-SA"/>
          <w14:textFill>
            <w14:solidFill>
              <w14:schemeClr w14:val="tx1"/>
            </w14:solidFill>
          </w14:textFill>
        </w:rPr>
        <w:t>2</w:t>
      </w:r>
      <w:r>
        <w:rPr>
          <w:rFonts w:hint="default" w:ascii="Times New Roman" w:hAnsi="Times New Roman" w:cs="Times New Roman" w:eastAsiaTheme="minorEastAsia"/>
          <w:color w:val="000000" w:themeColor="text1"/>
          <w:kern w:val="2"/>
          <w:sz w:val="24"/>
          <w:szCs w:val="20"/>
          <w:highlight w:val="none"/>
          <w:lang w:val="en-US" w:eastAsia="zh-CN" w:bidi="ar-SA"/>
          <w14:textFill>
            <w14:solidFill>
              <w14:schemeClr w14:val="tx1"/>
            </w14:solidFill>
          </w14:textFill>
        </w:rPr>
        <w:t>，其中</w:t>
      </w:r>
      <w:r>
        <w:rPr>
          <w:rFonts w:hint="default" w:ascii="Times New Roman" w:hAnsi="Times New Roman" w:cs="Times New Roman" w:eastAsiaTheme="minorEastAsia"/>
          <w:color w:val="000000" w:themeColor="text1"/>
          <w:kern w:val="0"/>
          <w:sz w:val="24"/>
          <w:szCs w:val="20"/>
          <w:highlight w:val="none"/>
          <w:lang w:val="en-US" w:eastAsia="zh-CN" w:bidi="ar-SA"/>
          <w14:textFill>
            <w14:solidFill>
              <w14:schemeClr w14:val="tx1"/>
            </w14:solidFill>
          </w14:textFill>
        </w:rPr>
        <w:t>永久占地面积约</w:t>
      </w:r>
      <w:r>
        <w:rPr>
          <w:rFonts w:hint="eastAsia" w:cs="Times New Roman" w:eastAsiaTheme="minorEastAsia"/>
          <w:color w:val="000000" w:themeColor="text1"/>
          <w:kern w:val="0"/>
          <w:sz w:val="24"/>
          <w:szCs w:val="20"/>
          <w:highlight w:val="none"/>
          <w:lang w:val="en-US" w:eastAsia="zh-CN" w:bidi="ar-SA"/>
          <w14:textFill>
            <w14:solidFill>
              <w14:schemeClr w14:val="tx1"/>
            </w14:solidFill>
          </w14:textFill>
        </w:rPr>
        <w:t>9637</w:t>
      </w:r>
      <w:r>
        <w:rPr>
          <w:rFonts w:hint="default" w:ascii="Times New Roman" w:hAnsi="Times New Roman" w:cs="Times New Roman" w:eastAsiaTheme="minorEastAsia"/>
          <w:color w:val="000000" w:themeColor="text1"/>
          <w:kern w:val="0"/>
          <w:sz w:val="24"/>
          <w:szCs w:val="20"/>
          <w:highlight w:val="none"/>
          <w:lang w:val="en-US" w:eastAsia="zh-CN" w:bidi="ar-SA"/>
          <w14:textFill>
            <w14:solidFill>
              <w14:schemeClr w14:val="tx1"/>
            </w14:solidFill>
          </w14:textFill>
        </w:rPr>
        <w:t>m</w:t>
      </w:r>
      <w:r>
        <w:rPr>
          <w:rFonts w:hint="default" w:ascii="Times New Roman" w:hAnsi="Times New Roman" w:cs="Times New Roman" w:eastAsiaTheme="minorEastAsia"/>
          <w:color w:val="000000" w:themeColor="text1"/>
          <w:kern w:val="0"/>
          <w:sz w:val="24"/>
          <w:szCs w:val="20"/>
          <w:highlight w:val="none"/>
          <w:vertAlign w:val="superscript"/>
          <w:lang w:val="en-US" w:eastAsia="zh-CN" w:bidi="ar-SA"/>
          <w14:textFill>
            <w14:solidFill>
              <w14:schemeClr w14:val="tx1"/>
            </w14:solidFill>
          </w14:textFill>
        </w:rPr>
        <w:t>2</w:t>
      </w:r>
      <w:r>
        <w:rPr>
          <w:rFonts w:hint="default" w:ascii="Times New Roman" w:hAnsi="Times New Roman" w:cs="Times New Roman" w:eastAsiaTheme="minorEastAsia"/>
          <w:color w:val="000000" w:themeColor="text1"/>
          <w:kern w:val="0"/>
          <w:sz w:val="24"/>
          <w:szCs w:val="20"/>
          <w:highlight w:val="none"/>
          <w:lang w:val="en-US" w:eastAsia="zh-CN" w:bidi="ar-SA"/>
          <w14:textFill>
            <w14:solidFill>
              <w14:schemeClr w14:val="tx1"/>
            </w14:solidFill>
          </w14:textFill>
        </w:rPr>
        <w:t>，临时占地面积约</w:t>
      </w:r>
      <w:r>
        <w:rPr>
          <w:rFonts w:hint="eastAsia" w:cs="Times New Roman" w:eastAsiaTheme="minorEastAsia"/>
          <w:color w:val="000000" w:themeColor="text1"/>
          <w:kern w:val="0"/>
          <w:sz w:val="24"/>
          <w:szCs w:val="20"/>
          <w:highlight w:val="none"/>
          <w:lang w:val="en-US" w:eastAsia="zh-CN" w:bidi="ar-SA"/>
          <w14:textFill>
            <w14:solidFill>
              <w14:schemeClr w14:val="tx1"/>
            </w14:solidFill>
          </w14:textFill>
        </w:rPr>
        <w:t>13750</w:t>
      </w:r>
      <w:r>
        <w:rPr>
          <w:rFonts w:hint="default" w:ascii="Times New Roman" w:hAnsi="Times New Roman" w:cs="Times New Roman" w:eastAsiaTheme="minorEastAsia"/>
          <w:color w:val="000000" w:themeColor="text1"/>
          <w:kern w:val="0"/>
          <w:sz w:val="24"/>
          <w:szCs w:val="20"/>
          <w:highlight w:val="none"/>
          <w:lang w:val="en-US" w:eastAsia="zh-CN" w:bidi="ar-SA"/>
          <w14:textFill>
            <w14:solidFill>
              <w14:schemeClr w14:val="tx1"/>
            </w14:solidFill>
          </w14:textFill>
        </w:rPr>
        <w:t>m</w:t>
      </w:r>
      <w:r>
        <w:rPr>
          <w:rFonts w:hint="default" w:ascii="Times New Roman" w:hAnsi="Times New Roman" w:cs="Times New Roman" w:eastAsiaTheme="minorEastAsia"/>
          <w:color w:val="000000" w:themeColor="text1"/>
          <w:kern w:val="0"/>
          <w:sz w:val="24"/>
          <w:szCs w:val="20"/>
          <w:highlight w:val="none"/>
          <w:vertAlign w:val="superscript"/>
          <w:lang w:val="en-US" w:eastAsia="zh-CN" w:bidi="ar-SA"/>
          <w14:textFill>
            <w14:solidFill>
              <w14:schemeClr w14:val="tx1"/>
            </w14:solidFill>
          </w14:textFill>
        </w:rPr>
        <w:t>2</w:t>
      </w:r>
      <w:r>
        <w:rPr>
          <w:rFonts w:hint="eastAsia" w:cs="Times New Roman" w:eastAsiaTheme="minorEastAsia"/>
          <w:color w:val="000000" w:themeColor="text1"/>
          <w:kern w:val="0"/>
          <w:sz w:val="24"/>
          <w:szCs w:val="20"/>
          <w:highlight w:val="none"/>
          <w:vertAlign w:val="baseline"/>
          <w:lang w:val="en-US" w:eastAsia="zh-CN" w:bidi="ar-SA"/>
          <w14:textFill>
            <w14:solidFill>
              <w14:schemeClr w14:val="tx1"/>
            </w14:solidFill>
          </w14:textFill>
        </w:rPr>
        <w:t>；</w:t>
      </w:r>
      <w:r>
        <w:rPr>
          <w:rFonts w:hint="default" w:ascii="Times New Roman" w:hAnsi="Times New Roman" w:cs="Times New Roman" w:eastAsiaTheme="minorEastAsia"/>
          <w:color w:val="000000" w:themeColor="text1"/>
          <w:kern w:val="2"/>
          <w:sz w:val="24"/>
          <w:szCs w:val="20"/>
          <w:highlight w:val="none"/>
          <w:lang w:val="en-US" w:eastAsia="zh-CN" w:bidi="ar-SA"/>
          <w14:textFill>
            <w14:solidFill>
              <w14:schemeClr w14:val="tx1"/>
            </w14:solidFill>
          </w14:textFill>
        </w:rPr>
        <w:t>占用</w:t>
      </w:r>
      <w:r>
        <w:rPr>
          <w:rFonts w:hint="eastAsia" w:ascii="宋体" w:hAnsi="宋体" w:eastAsia="宋体"/>
          <w:color w:val="000000" w:themeColor="text1"/>
          <w:sz w:val="24"/>
          <w:highlight w:val="none"/>
          <w14:textFill>
            <w14:solidFill>
              <w14:schemeClr w14:val="tx1"/>
            </w14:solidFill>
          </w14:textFill>
        </w:rPr>
        <w:t>甘河子（含铁路专供）</w:t>
      </w:r>
      <w:r>
        <w:rPr>
          <w:rFonts w:hint="eastAsia" w:ascii="宋体" w:hAnsi="宋体" w:eastAsia="宋体"/>
          <w:color w:val="000000" w:themeColor="text1"/>
          <w:sz w:val="24"/>
          <w:highlight w:val="none"/>
          <w:lang w:val="en-US" w:eastAsia="zh-CN"/>
          <w14:textFill>
            <w14:solidFill>
              <w14:schemeClr w14:val="tx1"/>
            </w14:solidFill>
          </w14:textFill>
        </w:rPr>
        <w:t>地下饮用</w:t>
      </w:r>
      <w:r>
        <w:rPr>
          <w:rFonts w:hint="eastAsia" w:ascii="宋体" w:hAnsi="宋体" w:eastAsia="宋体"/>
          <w:color w:val="000000" w:themeColor="text1"/>
          <w:sz w:val="24"/>
          <w:highlight w:val="none"/>
          <w14:textFill>
            <w14:solidFill>
              <w14:schemeClr w14:val="tx1"/>
            </w14:solidFill>
          </w14:textFill>
        </w:rPr>
        <w:t>水源地</w:t>
      </w:r>
      <w:r>
        <w:rPr>
          <w:rFonts w:hint="eastAsia" w:ascii="宋体" w:hAnsi="宋体" w:eastAsia="宋体"/>
          <w:color w:val="000000" w:themeColor="text1"/>
          <w:sz w:val="24"/>
          <w:highlight w:val="none"/>
          <w:lang w:val="en-US" w:eastAsia="zh-CN"/>
          <w14:textFill>
            <w14:solidFill>
              <w14:schemeClr w14:val="tx1"/>
            </w14:solidFill>
          </w14:textFill>
        </w:rPr>
        <w:t>二级保护区</w:t>
      </w:r>
      <w:r>
        <w:rPr>
          <w:rFonts w:hint="default" w:ascii="Times New Roman" w:hAnsi="Times New Roman" w:cs="Times New Roman" w:eastAsiaTheme="minorEastAsia"/>
          <w:color w:val="000000" w:themeColor="text1"/>
          <w:kern w:val="2"/>
          <w:sz w:val="24"/>
          <w:szCs w:val="20"/>
          <w:highlight w:val="none"/>
          <w:lang w:val="en-US" w:eastAsia="zh-CN" w:bidi="ar-SA"/>
          <w14:textFill>
            <w14:solidFill>
              <w14:schemeClr w14:val="tx1"/>
            </w14:solidFill>
          </w14:textFill>
        </w:rPr>
        <w:t>面积</w:t>
      </w:r>
      <w:r>
        <w:rPr>
          <w:rFonts w:hint="eastAsia" w:cs="Times New Roman" w:eastAsiaTheme="minorEastAsia"/>
          <w:color w:val="000000" w:themeColor="text1"/>
          <w:kern w:val="2"/>
          <w:sz w:val="24"/>
          <w:szCs w:val="20"/>
          <w:highlight w:val="none"/>
          <w:lang w:val="en-US" w:eastAsia="zh-CN" w:bidi="ar-SA"/>
          <w14:textFill>
            <w14:solidFill>
              <w14:schemeClr w14:val="tx1"/>
            </w14:solidFill>
          </w14:textFill>
        </w:rPr>
        <w:t>31557</w:t>
      </w:r>
      <w:r>
        <w:rPr>
          <w:rFonts w:hint="default" w:ascii="Times New Roman" w:hAnsi="Times New Roman" w:cs="Times New Roman" w:eastAsiaTheme="minorEastAsia"/>
          <w:color w:val="000000" w:themeColor="text1"/>
          <w:kern w:val="2"/>
          <w:sz w:val="24"/>
          <w:szCs w:val="20"/>
          <w:highlight w:val="none"/>
          <w:lang w:val="en-US" w:eastAsia="zh-CN" w:bidi="ar-SA"/>
          <w14:textFill>
            <w14:solidFill>
              <w14:schemeClr w14:val="tx1"/>
            </w14:solidFill>
          </w14:textFill>
        </w:rPr>
        <w:t>m</w:t>
      </w:r>
      <w:r>
        <w:rPr>
          <w:rFonts w:hint="default" w:ascii="Times New Roman" w:hAnsi="Times New Roman" w:cs="Times New Roman" w:eastAsiaTheme="minorEastAsia"/>
          <w:color w:val="000000" w:themeColor="text1"/>
          <w:kern w:val="2"/>
          <w:sz w:val="24"/>
          <w:szCs w:val="20"/>
          <w:highlight w:val="none"/>
          <w:vertAlign w:val="superscript"/>
          <w:lang w:val="en-US" w:eastAsia="zh-CN" w:bidi="ar-SA"/>
          <w14:textFill>
            <w14:solidFill>
              <w14:schemeClr w14:val="tx1"/>
            </w14:solidFill>
          </w14:textFill>
        </w:rPr>
        <w:t>2</w:t>
      </w:r>
      <w:r>
        <w:rPr>
          <w:rFonts w:hint="default" w:ascii="Times New Roman" w:hAnsi="Times New Roman" w:cs="Times New Roman" w:eastAsiaTheme="minorEastAsia"/>
          <w:color w:val="000000" w:themeColor="text1"/>
          <w:kern w:val="2"/>
          <w:sz w:val="24"/>
          <w:szCs w:val="20"/>
          <w:highlight w:val="none"/>
          <w:lang w:val="en-US" w:eastAsia="zh-CN" w:bidi="ar-SA"/>
          <w14:textFill>
            <w14:solidFill>
              <w14:schemeClr w14:val="tx1"/>
            </w14:solidFill>
          </w14:textFill>
        </w:rPr>
        <w:t>，其中</w:t>
      </w:r>
      <w:r>
        <w:rPr>
          <w:rFonts w:hint="default" w:ascii="Times New Roman" w:hAnsi="Times New Roman" w:cs="Times New Roman" w:eastAsiaTheme="minorEastAsia"/>
          <w:color w:val="000000" w:themeColor="text1"/>
          <w:kern w:val="0"/>
          <w:sz w:val="24"/>
          <w:szCs w:val="20"/>
          <w:highlight w:val="none"/>
          <w:lang w:val="en-US" w:eastAsia="zh-CN" w:bidi="ar-SA"/>
          <w14:textFill>
            <w14:solidFill>
              <w14:schemeClr w14:val="tx1"/>
            </w14:solidFill>
          </w14:textFill>
        </w:rPr>
        <w:t>永久占地面积约</w:t>
      </w:r>
      <w:r>
        <w:rPr>
          <w:rFonts w:hint="eastAsia" w:cs="Times New Roman" w:eastAsiaTheme="minorEastAsia"/>
          <w:color w:val="000000" w:themeColor="text1"/>
          <w:kern w:val="0"/>
          <w:sz w:val="24"/>
          <w:szCs w:val="20"/>
          <w:highlight w:val="none"/>
          <w:lang w:val="en-US" w:eastAsia="zh-CN" w:bidi="ar-SA"/>
          <w14:textFill>
            <w14:solidFill>
              <w14:schemeClr w14:val="tx1"/>
            </w14:solidFill>
          </w14:textFill>
        </w:rPr>
        <w:t>14932</w:t>
      </w:r>
      <w:r>
        <w:rPr>
          <w:rFonts w:hint="default" w:ascii="Times New Roman" w:hAnsi="Times New Roman" w:cs="Times New Roman" w:eastAsiaTheme="minorEastAsia"/>
          <w:color w:val="000000" w:themeColor="text1"/>
          <w:kern w:val="0"/>
          <w:sz w:val="24"/>
          <w:szCs w:val="20"/>
          <w:highlight w:val="none"/>
          <w:lang w:val="en-US" w:eastAsia="zh-CN" w:bidi="ar-SA"/>
          <w14:textFill>
            <w14:solidFill>
              <w14:schemeClr w14:val="tx1"/>
            </w14:solidFill>
          </w14:textFill>
        </w:rPr>
        <w:t>m</w:t>
      </w:r>
      <w:r>
        <w:rPr>
          <w:rFonts w:hint="default" w:ascii="Times New Roman" w:hAnsi="Times New Roman" w:cs="Times New Roman" w:eastAsiaTheme="minorEastAsia"/>
          <w:color w:val="000000" w:themeColor="text1"/>
          <w:kern w:val="0"/>
          <w:sz w:val="24"/>
          <w:szCs w:val="20"/>
          <w:highlight w:val="none"/>
          <w:vertAlign w:val="superscript"/>
          <w:lang w:val="en-US" w:eastAsia="zh-CN" w:bidi="ar-SA"/>
          <w14:textFill>
            <w14:solidFill>
              <w14:schemeClr w14:val="tx1"/>
            </w14:solidFill>
          </w14:textFill>
        </w:rPr>
        <w:t>2</w:t>
      </w:r>
      <w:r>
        <w:rPr>
          <w:rFonts w:hint="default" w:ascii="Times New Roman" w:hAnsi="Times New Roman" w:cs="Times New Roman" w:eastAsiaTheme="minorEastAsia"/>
          <w:color w:val="000000" w:themeColor="text1"/>
          <w:kern w:val="0"/>
          <w:sz w:val="24"/>
          <w:szCs w:val="20"/>
          <w:highlight w:val="none"/>
          <w:lang w:val="en-US" w:eastAsia="zh-CN" w:bidi="ar-SA"/>
          <w14:textFill>
            <w14:solidFill>
              <w14:schemeClr w14:val="tx1"/>
            </w14:solidFill>
          </w14:textFill>
        </w:rPr>
        <w:t>，临时占地面积约</w:t>
      </w:r>
      <w:r>
        <w:rPr>
          <w:rFonts w:hint="eastAsia" w:cs="Times New Roman" w:eastAsiaTheme="minorEastAsia"/>
          <w:color w:val="000000" w:themeColor="text1"/>
          <w:kern w:val="0"/>
          <w:sz w:val="24"/>
          <w:szCs w:val="20"/>
          <w:highlight w:val="none"/>
          <w:lang w:val="en-US" w:eastAsia="zh-CN" w:bidi="ar-SA"/>
          <w14:textFill>
            <w14:solidFill>
              <w14:schemeClr w14:val="tx1"/>
            </w14:solidFill>
          </w14:textFill>
        </w:rPr>
        <w:t>16625</w:t>
      </w:r>
      <w:r>
        <w:rPr>
          <w:rFonts w:hint="default" w:ascii="Times New Roman" w:hAnsi="Times New Roman" w:cs="Times New Roman" w:eastAsiaTheme="minorEastAsia"/>
          <w:color w:val="000000" w:themeColor="text1"/>
          <w:kern w:val="0"/>
          <w:sz w:val="24"/>
          <w:szCs w:val="20"/>
          <w:highlight w:val="none"/>
          <w:lang w:val="en-US" w:eastAsia="zh-CN" w:bidi="ar-SA"/>
          <w14:textFill>
            <w14:solidFill>
              <w14:schemeClr w14:val="tx1"/>
            </w14:solidFill>
          </w14:textFill>
        </w:rPr>
        <w:t>m</w:t>
      </w:r>
      <w:r>
        <w:rPr>
          <w:rFonts w:hint="default" w:ascii="Times New Roman" w:hAnsi="Times New Roman" w:cs="Times New Roman" w:eastAsiaTheme="minorEastAsia"/>
          <w:color w:val="000000" w:themeColor="text1"/>
          <w:kern w:val="0"/>
          <w:sz w:val="24"/>
          <w:szCs w:val="20"/>
          <w:highlight w:val="none"/>
          <w:vertAlign w:val="superscript"/>
          <w:lang w:val="en-US" w:eastAsia="zh-CN" w:bidi="ar-SA"/>
          <w14:textFill>
            <w14:solidFill>
              <w14:schemeClr w14:val="tx1"/>
            </w14:solidFill>
          </w14:textFill>
        </w:rPr>
        <w:t>2</w:t>
      </w:r>
      <w:r>
        <w:rPr>
          <w:rFonts w:hint="eastAsia" w:cs="Times New Roman" w:eastAsiaTheme="minorEastAsia"/>
          <w:color w:val="000000" w:themeColor="text1"/>
          <w:kern w:val="0"/>
          <w:sz w:val="24"/>
          <w:szCs w:val="20"/>
          <w:highlight w:val="none"/>
          <w:vertAlign w:val="baseline"/>
          <w:lang w:val="en-US" w:eastAsia="zh-CN" w:bidi="ar-SA"/>
          <w14:textFill>
            <w14:solidFill>
              <w14:schemeClr w14:val="tx1"/>
            </w14:solidFill>
          </w14:textFill>
        </w:rPr>
        <w:t>；</w:t>
      </w:r>
      <w:r>
        <w:rPr>
          <w:rFonts w:hint="default" w:ascii="Times New Roman" w:hAnsi="Times New Roman" w:cs="Times New Roman" w:eastAsiaTheme="minorEastAsia"/>
          <w:color w:val="000000" w:themeColor="text1"/>
          <w:kern w:val="0"/>
          <w:sz w:val="24"/>
          <w:szCs w:val="20"/>
          <w:highlight w:val="none"/>
          <w:vertAlign w:val="baseline"/>
          <w:lang w:val="en-US" w:eastAsia="zh-CN" w:bidi="ar-SA"/>
          <w14:textFill>
            <w14:solidFill>
              <w14:schemeClr w14:val="tx1"/>
            </w14:solidFill>
          </w14:textFill>
        </w:rPr>
        <w:t>占用</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乌拉泊、柴西、柴北、西山、甘河子（含铁路专供）准保护区</w:t>
      </w:r>
      <w:r>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面积</w:t>
      </w:r>
      <w:r>
        <w:rPr>
          <w:rFonts w:hint="eastAsia" w:cs="Times New Roman" w:eastAsiaTheme="minorEastAsia"/>
          <w:color w:val="000000" w:themeColor="text1"/>
          <w:kern w:val="2"/>
          <w:sz w:val="24"/>
          <w:szCs w:val="20"/>
          <w:highlight w:val="none"/>
          <w:lang w:val="en-US" w:eastAsia="zh-CN" w:bidi="ar-SA"/>
          <w14:textFill>
            <w14:solidFill>
              <w14:schemeClr w14:val="tx1"/>
            </w14:solidFill>
          </w14:textFill>
        </w:rPr>
        <w:t>83297</w:t>
      </w:r>
      <w:r>
        <w:rPr>
          <w:rFonts w:hint="default" w:ascii="Times New Roman" w:hAnsi="Times New Roman" w:cs="Times New Roman" w:eastAsiaTheme="minorEastAsia"/>
          <w:color w:val="000000" w:themeColor="text1"/>
          <w:kern w:val="2"/>
          <w:sz w:val="24"/>
          <w:szCs w:val="20"/>
          <w:highlight w:val="none"/>
          <w:lang w:val="en-US" w:eastAsia="zh-CN" w:bidi="ar-SA"/>
          <w14:textFill>
            <w14:solidFill>
              <w14:schemeClr w14:val="tx1"/>
            </w14:solidFill>
          </w14:textFill>
        </w:rPr>
        <w:t>m</w:t>
      </w:r>
      <w:r>
        <w:rPr>
          <w:rFonts w:hint="default" w:ascii="Times New Roman" w:hAnsi="Times New Roman" w:cs="Times New Roman" w:eastAsiaTheme="minorEastAsia"/>
          <w:color w:val="000000" w:themeColor="text1"/>
          <w:kern w:val="2"/>
          <w:sz w:val="24"/>
          <w:szCs w:val="20"/>
          <w:highlight w:val="none"/>
          <w:vertAlign w:val="superscript"/>
          <w:lang w:val="en-US" w:eastAsia="zh-CN" w:bidi="ar-SA"/>
          <w14:textFill>
            <w14:solidFill>
              <w14:schemeClr w14:val="tx1"/>
            </w14:solidFill>
          </w14:textFill>
        </w:rPr>
        <w:t>2</w:t>
      </w:r>
      <w:r>
        <w:rPr>
          <w:rFonts w:hint="default" w:ascii="Times New Roman" w:hAnsi="Times New Roman" w:cs="Times New Roman" w:eastAsiaTheme="minorEastAsia"/>
          <w:color w:val="000000" w:themeColor="text1"/>
          <w:kern w:val="2"/>
          <w:sz w:val="24"/>
          <w:szCs w:val="20"/>
          <w:highlight w:val="none"/>
          <w:lang w:val="en-US" w:eastAsia="zh-CN" w:bidi="ar-SA"/>
          <w14:textFill>
            <w14:solidFill>
              <w14:schemeClr w14:val="tx1"/>
            </w14:solidFill>
          </w14:textFill>
        </w:rPr>
        <w:t>，其中</w:t>
      </w:r>
      <w:r>
        <w:rPr>
          <w:rFonts w:hint="default" w:ascii="Times New Roman" w:hAnsi="Times New Roman" w:cs="Times New Roman" w:eastAsiaTheme="minorEastAsia"/>
          <w:color w:val="000000" w:themeColor="text1"/>
          <w:kern w:val="0"/>
          <w:sz w:val="24"/>
          <w:szCs w:val="20"/>
          <w:highlight w:val="none"/>
          <w:lang w:val="en-US" w:eastAsia="zh-CN" w:bidi="ar-SA"/>
          <w14:textFill>
            <w14:solidFill>
              <w14:schemeClr w14:val="tx1"/>
            </w14:solidFill>
          </w14:textFill>
        </w:rPr>
        <w:t>永久占地面积约</w:t>
      </w:r>
      <w:r>
        <w:rPr>
          <w:rFonts w:hint="eastAsia" w:cs="Times New Roman" w:eastAsiaTheme="minorEastAsia"/>
          <w:color w:val="000000" w:themeColor="text1"/>
          <w:kern w:val="0"/>
          <w:sz w:val="24"/>
          <w:szCs w:val="20"/>
          <w:highlight w:val="none"/>
          <w:lang w:val="en-US" w:eastAsia="zh-CN" w:bidi="ar-SA"/>
          <w14:textFill>
            <w14:solidFill>
              <w14:schemeClr w14:val="tx1"/>
            </w14:solidFill>
          </w14:textFill>
        </w:rPr>
        <w:t>27547</w:t>
      </w:r>
      <w:r>
        <w:rPr>
          <w:rFonts w:hint="default" w:ascii="Times New Roman" w:hAnsi="Times New Roman" w:cs="Times New Roman" w:eastAsiaTheme="minorEastAsia"/>
          <w:color w:val="000000" w:themeColor="text1"/>
          <w:kern w:val="0"/>
          <w:sz w:val="24"/>
          <w:szCs w:val="20"/>
          <w:highlight w:val="none"/>
          <w:lang w:val="en-US" w:eastAsia="zh-CN" w:bidi="ar-SA"/>
          <w14:textFill>
            <w14:solidFill>
              <w14:schemeClr w14:val="tx1"/>
            </w14:solidFill>
          </w14:textFill>
        </w:rPr>
        <w:t>m</w:t>
      </w:r>
      <w:r>
        <w:rPr>
          <w:rFonts w:hint="default" w:ascii="Times New Roman" w:hAnsi="Times New Roman" w:cs="Times New Roman" w:eastAsiaTheme="minorEastAsia"/>
          <w:color w:val="000000" w:themeColor="text1"/>
          <w:kern w:val="0"/>
          <w:sz w:val="24"/>
          <w:szCs w:val="20"/>
          <w:highlight w:val="none"/>
          <w:vertAlign w:val="superscript"/>
          <w:lang w:val="en-US" w:eastAsia="zh-CN" w:bidi="ar-SA"/>
          <w14:textFill>
            <w14:solidFill>
              <w14:schemeClr w14:val="tx1"/>
            </w14:solidFill>
          </w14:textFill>
        </w:rPr>
        <w:t>2</w:t>
      </w:r>
      <w:r>
        <w:rPr>
          <w:rFonts w:hint="default" w:ascii="Times New Roman" w:hAnsi="Times New Roman" w:cs="Times New Roman" w:eastAsiaTheme="minorEastAsia"/>
          <w:color w:val="000000" w:themeColor="text1"/>
          <w:kern w:val="0"/>
          <w:sz w:val="24"/>
          <w:szCs w:val="20"/>
          <w:highlight w:val="none"/>
          <w:lang w:val="en-US" w:eastAsia="zh-CN" w:bidi="ar-SA"/>
          <w14:textFill>
            <w14:solidFill>
              <w14:schemeClr w14:val="tx1"/>
            </w14:solidFill>
          </w14:textFill>
        </w:rPr>
        <w:t>，临时占地面积约</w:t>
      </w:r>
      <w:r>
        <w:rPr>
          <w:rFonts w:hint="eastAsia" w:cs="Times New Roman" w:eastAsiaTheme="minorEastAsia"/>
          <w:color w:val="000000" w:themeColor="text1"/>
          <w:kern w:val="0"/>
          <w:sz w:val="24"/>
          <w:szCs w:val="20"/>
          <w:highlight w:val="none"/>
          <w:lang w:val="en-US" w:eastAsia="zh-CN" w:bidi="ar-SA"/>
          <w14:textFill>
            <w14:solidFill>
              <w14:schemeClr w14:val="tx1"/>
            </w14:solidFill>
          </w14:textFill>
        </w:rPr>
        <w:t>55750</w:t>
      </w:r>
      <w:r>
        <w:rPr>
          <w:rFonts w:hint="default" w:ascii="Times New Roman" w:hAnsi="Times New Roman" w:cs="Times New Roman" w:eastAsiaTheme="minorEastAsia"/>
          <w:color w:val="000000" w:themeColor="text1"/>
          <w:kern w:val="0"/>
          <w:sz w:val="24"/>
          <w:szCs w:val="20"/>
          <w:highlight w:val="none"/>
          <w:lang w:val="en-US" w:eastAsia="zh-CN" w:bidi="ar-SA"/>
          <w14:textFill>
            <w14:solidFill>
              <w14:schemeClr w14:val="tx1"/>
            </w14:solidFill>
          </w14:textFill>
        </w:rPr>
        <w:t>m</w:t>
      </w:r>
      <w:r>
        <w:rPr>
          <w:rFonts w:hint="default" w:ascii="Times New Roman" w:hAnsi="Times New Roman" w:cs="Times New Roman" w:eastAsiaTheme="minorEastAsia"/>
          <w:color w:val="000000" w:themeColor="text1"/>
          <w:kern w:val="0"/>
          <w:sz w:val="24"/>
          <w:szCs w:val="20"/>
          <w:highlight w:val="none"/>
          <w:vertAlign w:val="superscript"/>
          <w:lang w:val="en-US" w:eastAsia="zh-CN" w:bidi="ar-SA"/>
          <w14:textFill>
            <w14:solidFill>
              <w14:schemeClr w14:val="tx1"/>
            </w14:solidFill>
          </w14:textFill>
        </w:rPr>
        <w:t>2</w:t>
      </w:r>
      <w:r>
        <w:rPr>
          <w:rFonts w:hint="eastAsia" w:cs="Times New Roman" w:eastAsiaTheme="minorEastAsia"/>
          <w:color w:val="000000" w:themeColor="text1"/>
          <w:kern w:val="0"/>
          <w:sz w:val="24"/>
          <w:szCs w:val="20"/>
          <w:highlight w:val="none"/>
          <w:vertAlign w:val="baseline"/>
          <w:lang w:val="en-US" w:eastAsia="zh-CN" w:bidi="ar-SA"/>
          <w14:textFill>
            <w14:solidFill>
              <w14:schemeClr w14:val="tx1"/>
            </w14:solidFill>
          </w14:textFill>
        </w:rPr>
        <w:t>。具体详见“3.1.6”章节相关内容。</w:t>
      </w:r>
    </w:p>
    <w:p w14:paraId="70D08D97">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本项目运营期对水源地影响途径主要为：①风机及油品泄露，污染水源地地下水潜水水质。②运营期危险废物收集、转运过程中泄露，污染水源地地下水潜水水质。③运营期废风机零部件及巡检生活垃圾未得到妥善处置，渗滤液污染水源地地下水潜水水质。</w:t>
      </w:r>
    </w:p>
    <w:p w14:paraId="036329F9">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jc w:val="left"/>
        <w:textAlignment w:val="auto"/>
        <w:rPr>
          <w:rFonts w:hint="default" w:ascii="Times New Roman" w:hAnsi="Times New Roman" w:cs="Times New Roman" w:eastAsiaTheme="minorEastAsia"/>
          <w:snapToGrid w:val="0"/>
          <w:color w:val="FF0000"/>
          <w:sz w:val="24"/>
          <w:highlight w:val="none"/>
          <w:lang w:val="en-US" w:eastAsia="zh-CN"/>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本项目风机采用永磁风机、箱变采用干式变压器，</w:t>
      </w:r>
      <w:r>
        <w:rPr>
          <w:rFonts w:hint="eastAsia" w:cs="Times New Roman" w:eastAsiaTheme="minorEastAsia"/>
          <w:snapToGrid w:val="0"/>
          <w:color w:val="000000" w:themeColor="text1"/>
          <w:sz w:val="24"/>
          <w:highlight w:val="none"/>
          <w:lang w:val="en-US" w:eastAsia="zh-CN"/>
          <w14:textFill>
            <w14:solidFill>
              <w14:schemeClr w14:val="tx1"/>
            </w14:solidFill>
          </w14:textFill>
        </w:rPr>
        <w:t>正常工况下</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不会产生油品泄露突发环境事件。</w:t>
      </w:r>
      <w:r>
        <w:rPr>
          <w:rFonts w:hint="eastAsia" w:ascii="宋体" w:hAnsi="宋体" w:eastAsia="宋体"/>
          <w:sz w:val="24"/>
        </w:rPr>
        <w:t>风机运行期间，若发现风机缺油，缺油的风机需要定期更换润滑油，在更换矿物油过程中发生泄漏，或事故状态下风力发电机组中转动部件润滑油出现遗漏，废矿物油即产即</w:t>
      </w:r>
      <w:r>
        <w:rPr>
          <w:rFonts w:hint="eastAsia" w:ascii="宋体" w:hAnsi="宋体" w:eastAsia="宋体"/>
          <w:color w:val="000000" w:themeColor="text1"/>
          <w:sz w:val="24"/>
          <w14:textFill>
            <w14:solidFill>
              <w14:schemeClr w14:val="tx1"/>
            </w14:solidFill>
          </w14:textFill>
        </w:rPr>
        <w:t>清，交由有资质单位处置，不在场内暂存</w:t>
      </w:r>
      <w:r>
        <w:rPr>
          <w:rFonts w:hint="eastAsia" w:ascii="宋体" w:hAnsi="宋体" w:eastAsia="宋体"/>
          <w:color w:val="000000" w:themeColor="text1"/>
          <w:sz w:val="24"/>
          <w:lang w:eastAsia="zh-CN"/>
          <w14:textFill>
            <w14:solidFill>
              <w14:schemeClr w14:val="tx1"/>
            </w14:solidFill>
          </w14:textFill>
        </w:rPr>
        <w:t>。</w:t>
      </w:r>
      <w:r>
        <w:rPr>
          <w:rFonts w:hint="eastAsia" w:ascii="宋体" w:hAnsi="宋体" w:eastAsia="宋体"/>
          <w:color w:val="000000" w:themeColor="text1"/>
          <w:sz w:val="24"/>
          <w:lang w:val="en-US" w:eastAsia="zh-CN"/>
          <w14:textFill>
            <w14:solidFill>
              <w14:schemeClr w14:val="tx1"/>
            </w14:solidFill>
          </w14:textFill>
        </w:rPr>
        <w:t>废矿物油</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收集须满足《危险废物收集 贮存 运输技术规范》(HJ2025-2012)、《危险废物贮存污染控制标准》(GB18597-2023)的要求，转移过程中须避开水源保护区运输。禁止危险废物倾倒、堆放至</w:t>
      </w:r>
      <w:r>
        <w:rPr>
          <w:rFonts w:hint="eastAsia" w:ascii="宋体" w:hAnsi="宋体" w:eastAsia="宋体" w:cs="宋体"/>
          <w:color w:val="000000" w:themeColor="text1"/>
          <w:sz w:val="24"/>
          <w:lang w:val="en-US" w:eastAsia="zh-CN"/>
          <w14:textFill>
            <w14:solidFill>
              <w14:schemeClr w14:val="tx1"/>
            </w14:solidFill>
          </w14:textFill>
        </w:rPr>
        <w:t>西山地下饮用水源地二级保护区</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w:t>
      </w:r>
      <w:r>
        <w:rPr>
          <w:rFonts w:hint="eastAsia" w:ascii="宋体" w:hAnsi="宋体" w:eastAsia="宋体"/>
          <w:color w:val="000000" w:themeColor="text1"/>
          <w:sz w:val="24"/>
          <w:highlight w:val="none"/>
          <w14:textFill>
            <w14:solidFill>
              <w14:schemeClr w14:val="tx1"/>
            </w14:solidFill>
          </w14:textFill>
        </w:rPr>
        <w:t>甘河子（含铁路专供）</w:t>
      </w:r>
      <w:r>
        <w:rPr>
          <w:rFonts w:hint="eastAsia" w:ascii="宋体" w:hAnsi="宋体" w:eastAsia="宋体"/>
          <w:color w:val="000000" w:themeColor="text1"/>
          <w:sz w:val="24"/>
          <w:highlight w:val="none"/>
          <w:lang w:val="en-US" w:eastAsia="zh-CN"/>
          <w14:textFill>
            <w14:solidFill>
              <w14:schemeClr w14:val="tx1"/>
            </w14:solidFill>
          </w14:textFill>
        </w:rPr>
        <w:t>地下饮用</w:t>
      </w:r>
      <w:r>
        <w:rPr>
          <w:rFonts w:hint="eastAsia" w:ascii="宋体" w:hAnsi="宋体" w:eastAsia="宋体"/>
          <w:color w:val="000000" w:themeColor="text1"/>
          <w:sz w:val="24"/>
          <w:highlight w:val="none"/>
          <w14:textFill>
            <w14:solidFill>
              <w14:schemeClr w14:val="tx1"/>
            </w14:solidFill>
          </w14:textFill>
        </w:rPr>
        <w:t>水源地</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及乌拉泊、柴西、柴北、西山、甘河子（含铁路专供）准保护区范围内。</w:t>
      </w:r>
    </w:p>
    <w:p w14:paraId="35E6F407">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风电场区产生的报废零部件不在场区暂存，直接由生产厂家回收处理，不得随意自行处置。风电场区检修时产生的生活垃圾集中收集后，定期运送到周边垃圾中转站转运，统一处置。</w:t>
      </w:r>
    </w:p>
    <w:p w14:paraId="5CDEA706">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本项目运营期各类固废均得到资源化、无害化处置，不产生二次污染。</w:t>
      </w:r>
    </w:p>
    <w:p w14:paraId="472F4B68">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在严格落实本次评价提出的各种管理及防护措施后，项目运营期对地下水源地二级保护区以及准保护区影响较小。</w:t>
      </w:r>
    </w:p>
    <w:p w14:paraId="0BA91F02">
      <w:pPr>
        <w:pStyle w:val="9"/>
        <w:rPr>
          <w:rFonts w:hint="default" w:ascii="Times New Roman" w:hAnsi="Times New Roman" w:cs="Times New Roman"/>
          <w:color w:val="FF0000"/>
          <w:lang w:val="en-US" w:eastAsia="zh-CN"/>
        </w:rPr>
        <w:sectPr>
          <w:pgSz w:w="11906" w:h="16838"/>
          <w:pgMar w:top="1417" w:right="1361" w:bottom="1417" w:left="1587" w:header="1134" w:footer="992" w:gutter="0"/>
          <w:pgBorders>
            <w:top w:val="none" w:sz="0" w:space="0"/>
            <w:left w:val="none" w:sz="0" w:space="0"/>
            <w:bottom w:val="none" w:sz="0" w:space="0"/>
            <w:right w:val="none" w:sz="0" w:space="0"/>
          </w:pgBorders>
          <w:pgNumType w:fmt="decimal"/>
          <w:cols w:space="720" w:num="1"/>
          <w:docGrid w:type="lines" w:linePitch="312" w:charSpace="0"/>
        </w:sectPr>
      </w:pPr>
    </w:p>
    <w:p w14:paraId="4E5397EE">
      <w:pPr>
        <w:pStyle w:val="3"/>
        <w:keepNext/>
        <w:keepLines/>
        <w:pageBreakBefore w:val="0"/>
        <w:widowControl w:val="0"/>
        <w:numPr>
          <w:ilvl w:val="0"/>
          <w:numId w:val="0"/>
        </w:numPr>
        <w:tabs>
          <w:tab w:val="left" w:pos="525"/>
        </w:tabs>
        <w:kinsoku/>
        <w:wordWrap w:val="0"/>
        <w:overflowPunct/>
        <w:topLinePunct w:val="0"/>
        <w:autoSpaceDE/>
        <w:autoSpaceDN/>
        <w:bidi w:val="0"/>
        <w:adjustRightInd/>
        <w:snapToGrid w:val="0"/>
        <w:spacing w:beforeLines="0" w:afterLines="0" w:line="360" w:lineRule="auto"/>
        <w:ind w:left="0"/>
        <w:textAlignment w:val="auto"/>
        <w:outlineLvl w:val="0"/>
        <w:rPr>
          <w:rFonts w:hint="default" w:ascii="Times New Roman" w:hAnsi="Times New Roman" w:cs="Times New Roman" w:eastAsiaTheme="minorEastAsia"/>
          <w:color w:val="000000" w:themeColor="text1"/>
          <w:sz w:val="32"/>
          <w:highlight w:val="none"/>
          <w:lang w:val="en-US" w:eastAsia="zh-CN"/>
          <w14:textFill>
            <w14:solidFill>
              <w14:schemeClr w14:val="tx1"/>
            </w14:solidFill>
          </w14:textFill>
        </w:rPr>
      </w:pPr>
      <w:bookmarkStart w:id="480" w:name="_Toc31218"/>
      <w:bookmarkStart w:id="481" w:name="_Toc13955"/>
      <w:bookmarkStart w:id="482" w:name="_Toc8377"/>
      <w:r>
        <w:rPr>
          <w:rFonts w:hint="default" w:ascii="Times New Roman" w:hAnsi="Times New Roman" w:cs="Times New Roman" w:eastAsiaTheme="minorEastAsia"/>
          <w:color w:val="000000" w:themeColor="text1"/>
          <w:sz w:val="32"/>
          <w:highlight w:val="none"/>
          <w:lang w:val="en-US" w:eastAsia="zh-CN"/>
          <w14:textFill>
            <w14:solidFill>
              <w14:schemeClr w14:val="tx1"/>
            </w14:solidFill>
          </w14:textFill>
        </w:rPr>
        <w:t>6 环境保护措施及其可行性论证</w:t>
      </w:r>
      <w:bookmarkEnd w:id="480"/>
      <w:bookmarkEnd w:id="481"/>
      <w:bookmarkEnd w:id="482"/>
    </w:p>
    <w:p w14:paraId="7FCDBD29">
      <w:pPr>
        <w:pStyle w:val="4"/>
        <w:keepNext/>
        <w:keepLines/>
        <w:pageBreakBefore w:val="0"/>
        <w:widowControl w:val="0"/>
        <w:numPr>
          <w:ilvl w:val="0"/>
          <w:numId w:val="0"/>
        </w:numPr>
        <w:tabs>
          <w:tab w:val="left" w:pos="630"/>
          <w:tab w:val="left" w:pos="3403"/>
        </w:tabs>
        <w:kinsoku/>
        <w:wordWrap w:val="0"/>
        <w:overflowPunct/>
        <w:topLinePunct w:val="0"/>
        <w:autoSpaceDE/>
        <w:autoSpaceDN/>
        <w:bidi w:val="0"/>
        <w:adjustRightInd/>
        <w:snapToGrid w:val="0"/>
        <w:spacing w:beforeLines="0" w:after="0" w:afterLines="0" w:line="360" w:lineRule="auto"/>
        <w:ind w:left="0" w:leftChars="0"/>
        <w:textAlignment w:val="auto"/>
        <w:outlineLvl w:val="1"/>
        <w:rPr>
          <w:rFonts w:hint="default" w:ascii="Times New Roman" w:hAnsi="Times New Roman" w:cs="Times New Roman" w:eastAsiaTheme="minorEastAsia"/>
          <w:color w:val="000000" w:themeColor="text1"/>
          <w:sz w:val="30"/>
          <w:highlight w:val="none"/>
          <w:lang w:val="en-US" w:eastAsia="zh-CN"/>
          <w14:textFill>
            <w14:solidFill>
              <w14:schemeClr w14:val="tx1"/>
            </w14:solidFill>
          </w14:textFill>
        </w:rPr>
      </w:pPr>
      <w:bookmarkStart w:id="483" w:name="_Toc14047"/>
      <w:bookmarkStart w:id="484" w:name="_Toc23074"/>
      <w:bookmarkStart w:id="485" w:name="_Toc26830"/>
      <w:r>
        <w:rPr>
          <w:rFonts w:hint="default" w:ascii="Times New Roman" w:hAnsi="Times New Roman" w:cs="Times New Roman" w:eastAsiaTheme="minorEastAsia"/>
          <w:color w:val="000000" w:themeColor="text1"/>
          <w:sz w:val="30"/>
          <w:highlight w:val="none"/>
          <w:lang w:val="en-US" w:eastAsia="zh-CN"/>
          <w14:textFill>
            <w14:solidFill>
              <w14:schemeClr w14:val="tx1"/>
            </w14:solidFill>
          </w14:textFill>
        </w:rPr>
        <w:t>6.1 大气环境保护措施</w:t>
      </w:r>
      <w:bookmarkEnd w:id="483"/>
      <w:bookmarkEnd w:id="484"/>
      <w:bookmarkEnd w:id="485"/>
    </w:p>
    <w:p w14:paraId="4BE939F9">
      <w:pPr>
        <w:pStyle w:val="11"/>
        <w:keepNext/>
        <w:keepLines/>
        <w:pageBreakBefore w:val="0"/>
        <w:widowControl w:val="0"/>
        <w:kinsoku/>
        <w:wordWrap/>
        <w:overflowPunct/>
        <w:topLinePunct w:val="0"/>
        <w:autoSpaceDE/>
        <w:autoSpaceDN/>
        <w:bidi w:val="0"/>
        <w:adjustRightInd/>
        <w:snapToGrid w:val="0"/>
        <w:spacing w:beforeLines="0" w:afterLines="0"/>
        <w:ind w:left="0"/>
        <w:textAlignment w:val="auto"/>
        <w:outlineLvl w:val="2"/>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bookmarkStart w:id="486" w:name="_Toc16846"/>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6.1.1 施工期大气环境保护措施</w:t>
      </w:r>
      <w:bookmarkEnd w:id="486"/>
    </w:p>
    <w:p w14:paraId="73BBCE9D">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施工期环境空气影响主要表现在施工场地、堆场、运输车辆产生的扬尘，施工机械、运输车辆会产生一定燃油废气，采取的主要措施有加强施工管理、封闭施工、洒水抑尘等措施。</w:t>
      </w:r>
    </w:p>
    <w:p w14:paraId="2085124E">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(1)施工场地、材料堆场采取的减缓措施</w:t>
      </w:r>
    </w:p>
    <w:p w14:paraId="445C1F65">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①施工现场应采取分区、分片进行施工，施工期间可修建临时围挡设施，围挡设施可用彩钢板，以方便拆卸和安装，必要时采取一定的固定措施，通过对施工场地的围挡，可降低施工区域内的风力，从而降低扬尘量。</w:t>
      </w:r>
    </w:p>
    <w:p w14:paraId="298617A9">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②合理确定施工时间，避免大风天气施工。施工期进出口道路应当硬化处理；设置车辆清洗设施及配套的沉沙池，车辆冲洗干净后方可驶出工地；施工场地及施工道路必须采取洒水或喷淋等降尘措施。</w:t>
      </w:r>
    </w:p>
    <w:p w14:paraId="1DFB9E10">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③工程材料堆场应进行覆盖及定期洒水，进入堆场的道路应经常洒水，使路面保持湿润，减少由于汽车经过和风吹引起的道路扬尘。</w:t>
      </w:r>
    </w:p>
    <w:p w14:paraId="4F68E77F">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jc w:val="both"/>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④施工现场应落实100%设置连续封闭围挡、100%车辆冲洗平台、100%安装远程视频监控、100%安装PM</w:t>
      </w:r>
      <w:r>
        <w:rPr>
          <w:rFonts w:hint="default" w:ascii="Times New Roman" w:hAnsi="Times New Roman" w:cs="Times New Roman" w:eastAsiaTheme="minorEastAsia"/>
          <w:snapToGrid w:val="0"/>
          <w:color w:val="000000" w:themeColor="text1"/>
          <w:sz w:val="24"/>
          <w:highlight w:val="none"/>
          <w:vertAlign w:val="subscript"/>
          <w:lang w:val="en-US" w:eastAsia="zh-CN"/>
          <w14:textFill>
            <w14:solidFill>
              <w14:schemeClr w14:val="tx1"/>
            </w14:solidFill>
          </w14:textFill>
        </w:rPr>
        <w:t>10</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在线监测设备、100%设置围挡喷淋、100%出入口地面硬化、100%设置扬尘污染防治公示标牌等“7个100%”防尘措施；施工过程应做到施工现场主要道路硬化100%、施工现场散装物料遮盖率100%、施工现场裸露场地遮盖率100%、施工工地出入口及围挡周边施工影响范围内道路清洁保持率100%。</w:t>
      </w:r>
    </w:p>
    <w:p w14:paraId="2A44F8FA">
      <w:pPr>
        <w:pStyle w:val="7"/>
        <w:keepNext w:val="0"/>
        <w:keepLines w:val="0"/>
        <w:pageBreakBefore w:val="0"/>
        <w:widowControl w:val="0"/>
        <w:kinsoku/>
        <w:wordWrap/>
        <w:overflowPunct/>
        <w:topLinePunct w:val="0"/>
        <w:autoSpaceDE/>
        <w:autoSpaceDN/>
        <w:bidi w:val="0"/>
        <w:adjustRightInd/>
        <w:snapToGrid w:val="0"/>
        <w:spacing w:after="0" w:afterLines="0"/>
        <w:ind w:left="0" w:leftChars="0" w:firstLine="480" w:firstLineChars="200"/>
        <w:textAlignment w:val="auto"/>
        <w:rPr>
          <w:rFonts w:hint="default" w:ascii="Times New Roman" w:hAnsi="Times New Roman" w:cs="Times New Roman" w:eastAsiaTheme="minorEastAsia"/>
          <w:color w:val="000000" w:themeColor="text1"/>
          <w:kern w:val="0"/>
          <w:sz w:val="24"/>
          <w:szCs w:val="24"/>
          <w:highlight w:val="none"/>
          <w:lang w:eastAsia="zh-CN" w:bidi="ar"/>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⑤</w:t>
      </w:r>
      <w:r>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施工</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临时道路</w:t>
      </w:r>
      <w:r>
        <w:rPr>
          <w:rFonts w:hint="default" w:ascii="Times New Roman" w:hAnsi="Times New Roman" w:cs="Times New Roman" w:eastAsiaTheme="minorEastAsia"/>
          <w:color w:val="000000" w:themeColor="text1"/>
          <w:kern w:val="0"/>
          <w:sz w:val="24"/>
          <w:szCs w:val="24"/>
          <w:highlight w:val="none"/>
          <w:lang w:bidi="ar"/>
          <w14:textFill>
            <w14:solidFill>
              <w14:schemeClr w14:val="tx1"/>
            </w14:solidFill>
          </w14:textFill>
        </w:rPr>
        <w:t>应采用碎石等粗骨料硬化，硬化后的道路应满足施工车辆行驶要求</w:t>
      </w:r>
      <w:r>
        <w:rPr>
          <w:rFonts w:hint="default" w:ascii="Times New Roman" w:hAnsi="Times New Roman" w:cs="Times New Roman" w:eastAsiaTheme="minorEastAsia"/>
          <w:color w:val="000000" w:themeColor="text1"/>
          <w:kern w:val="0"/>
          <w:sz w:val="24"/>
          <w:szCs w:val="24"/>
          <w:highlight w:val="none"/>
          <w:lang w:eastAsia="zh-CN" w:bidi="ar"/>
          <w14:textFill>
            <w14:solidFill>
              <w14:schemeClr w14:val="tx1"/>
            </w14:solidFill>
          </w14:textFill>
        </w:rPr>
        <w:t>。</w:t>
      </w:r>
    </w:p>
    <w:p w14:paraId="2391C568">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jc w:val="both"/>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⑥远程视频监控系统应能监控建筑垃圾运输车辆冲洗和车厢密闭情况。</w:t>
      </w:r>
    </w:p>
    <w:p w14:paraId="3110E99F">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(2)运输建筑材料、土石方产生粉尘的减缓措施</w:t>
      </w:r>
    </w:p>
    <w:p w14:paraId="31D87CF5">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①运输渣土、砂石和垃圾等易撒漏物质必须使用密闭式汽车装载；施工区出口必须设置车辆冲洗设施以及专门人员对车辆进行冲洗和监管，保持密闭式运输装置完好和车容整洁，不得沿途飞扬、撒漏和带泥上路。运输拆迁建筑材料和工程弃渣的车辆在施工现场应限定车速。土石方及水泥、砂等易洒落散装物料在装卸、运输、转运和临时存放等全部过程中，应采取防风遮盖措施，注意运输时适当压实，填装高度禁止超过车斗防护栏，避免洒落引起二次扬尘。</w:t>
      </w:r>
    </w:p>
    <w:p w14:paraId="56E6E34D">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②土石方内部调运利用施工道路进行，为减少道路运输扬尘对周边环境造成的影响，施工道路应定时洒水，减少扬尘产生。据相关的洒水抑尘试验资料表明，如果在施工期间对车辆行驶的路面实施洒水抑尘，每天洒水4～5次，可使扬尘量减少70%左右，扬尘造成的空气污染距离可缩小至20m～50m范围内。</w:t>
      </w:r>
    </w:p>
    <w:p w14:paraId="5F03F193">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③对暂不进行土石方工程的区域避免人员和机械进入，对土石方施工完成的区域地表进行压实，也可降低场地扬尘量；合理安排施工进度以及施工方式，尽量安排升压站场地平整、风机基础及箱变基础施工等土石方工程集中进行，减少土石方临时堆放可能产生的扬尘。</w:t>
      </w:r>
    </w:p>
    <w:p w14:paraId="2863CFA9">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④运输混凝土搅拌车装料后，或从工地卸料后均应对车辆进行冲洗，保持外观清洁，严禁带泥上路、杜绝“跑、冒、滴、漏”现象的发生。</w:t>
      </w:r>
    </w:p>
    <w:p w14:paraId="1ABC3F2F">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⑤应建立健全严格的环境管理制度，切实加强日常环境管理，达到规范化、长效化、制度化要求。</w:t>
      </w:r>
    </w:p>
    <w:p w14:paraId="099F214E">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(3)燃油废气防治措施</w:t>
      </w:r>
    </w:p>
    <w:p w14:paraId="21CE0CCF">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①使用满足《车用柴油》(GB19147-2016)标准的柴油，</w:t>
      </w:r>
      <w:r>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施工</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柴油机械废气排放满足《重型柴油车污染物排放限值及测量方法(中国第六阶段)》(GB17691-2018)及《非道路柴油移动机械排气烟度限值及测量方法》(GB36886-2018)。</w:t>
      </w:r>
    </w:p>
    <w:p w14:paraId="758AEFB8">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②定期对施工机械进行维修、保养，始终保持发动机处于良好的状况，降低尾气中有害成分的浓度。</w:t>
      </w:r>
    </w:p>
    <w:p w14:paraId="07B48B1B">
      <w:pPr>
        <w:pStyle w:val="11"/>
        <w:keepNext/>
        <w:keepLines/>
        <w:pageBreakBefore w:val="0"/>
        <w:widowControl w:val="0"/>
        <w:kinsoku/>
        <w:wordWrap/>
        <w:overflowPunct/>
        <w:topLinePunct w:val="0"/>
        <w:autoSpaceDE/>
        <w:autoSpaceDN/>
        <w:bidi w:val="0"/>
        <w:adjustRightInd/>
        <w:snapToGrid w:val="0"/>
        <w:spacing w:beforeLines="0" w:afterLines="0"/>
        <w:ind w:left="0"/>
        <w:textAlignment w:val="auto"/>
        <w:outlineLvl w:val="2"/>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bookmarkStart w:id="487" w:name="_Toc28684"/>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6.1.2 运营期大气环境保护措施</w:t>
      </w:r>
      <w:bookmarkEnd w:id="487"/>
    </w:p>
    <w:p w14:paraId="6DA9C320">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本项目风电场及</w:t>
      </w:r>
      <w:r>
        <w:rPr>
          <w:rFonts w:hint="eastAsia" w:cs="Times New Roman" w:eastAsiaTheme="minorEastAsia"/>
          <w:snapToGrid w:val="0"/>
          <w:color w:val="000000" w:themeColor="text1"/>
          <w:sz w:val="24"/>
          <w:highlight w:val="none"/>
          <w:lang w:val="en-US" w:eastAsia="zh-CN"/>
          <w14:textFill>
            <w14:solidFill>
              <w14:schemeClr w14:val="tx1"/>
            </w14:solidFill>
          </w14:textFill>
        </w:rPr>
        <w:t>集电</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线路等在运营阶段主要为道路扬尘。运营期限速行驶，可使扬尘减少70%左右，有效地控制交通扬尘。部分施工道路应保留用作检修道路。</w:t>
      </w:r>
    </w:p>
    <w:p w14:paraId="1B5534B5">
      <w:pPr>
        <w:pStyle w:val="4"/>
        <w:keepNext/>
        <w:keepLines/>
        <w:pageBreakBefore w:val="0"/>
        <w:widowControl w:val="0"/>
        <w:numPr>
          <w:ilvl w:val="0"/>
          <w:numId w:val="0"/>
        </w:numPr>
        <w:tabs>
          <w:tab w:val="left" w:pos="630"/>
          <w:tab w:val="left" w:pos="3403"/>
        </w:tabs>
        <w:kinsoku/>
        <w:wordWrap w:val="0"/>
        <w:overflowPunct/>
        <w:topLinePunct w:val="0"/>
        <w:autoSpaceDE/>
        <w:autoSpaceDN/>
        <w:bidi w:val="0"/>
        <w:adjustRightInd/>
        <w:snapToGrid w:val="0"/>
        <w:spacing w:beforeLines="0" w:after="0" w:afterLines="0" w:line="360" w:lineRule="auto"/>
        <w:ind w:left="0" w:leftChars="0"/>
        <w:textAlignment w:val="auto"/>
        <w:outlineLvl w:val="1"/>
        <w:rPr>
          <w:rFonts w:hint="default" w:ascii="Times New Roman" w:hAnsi="Times New Roman" w:cs="Times New Roman" w:eastAsiaTheme="minorEastAsia"/>
          <w:color w:val="000000" w:themeColor="text1"/>
          <w:sz w:val="30"/>
          <w:highlight w:val="none"/>
          <w:lang w:val="en-US" w:eastAsia="zh-CN"/>
          <w14:textFill>
            <w14:solidFill>
              <w14:schemeClr w14:val="tx1"/>
            </w14:solidFill>
          </w14:textFill>
        </w:rPr>
      </w:pPr>
      <w:bookmarkStart w:id="488" w:name="_Toc31651"/>
      <w:bookmarkStart w:id="489" w:name="_Toc8660"/>
      <w:bookmarkStart w:id="490" w:name="_Toc31691"/>
      <w:r>
        <w:rPr>
          <w:rFonts w:hint="default" w:ascii="Times New Roman" w:hAnsi="Times New Roman" w:cs="Times New Roman" w:eastAsiaTheme="minorEastAsia"/>
          <w:color w:val="000000" w:themeColor="text1"/>
          <w:sz w:val="30"/>
          <w:highlight w:val="none"/>
          <w:lang w:val="en-US" w:eastAsia="zh-CN"/>
          <w14:textFill>
            <w14:solidFill>
              <w14:schemeClr w14:val="tx1"/>
            </w14:solidFill>
          </w14:textFill>
        </w:rPr>
        <w:t>6.2 水环境保护措施</w:t>
      </w:r>
      <w:bookmarkEnd w:id="488"/>
      <w:bookmarkEnd w:id="489"/>
      <w:bookmarkEnd w:id="490"/>
    </w:p>
    <w:p w14:paraId="7EC69396">
      <w:pPr>
        <w:pStyle w:val="11"/>
        <w:keepNext/>
        <w:keepLines/>
        <w:pageBreakBefore w:val="0"/>
        <w:widowControl w:val="0"/>
        <w:kinsoku/>
        <w:wordWrap/>
        <w:overflowPunct/>
        <w:topLinePunct w:val="0"/>
        <w:autoSpaceDE/>
        <w:autoSpaceDN/>
        <w:bidi w:val="0"/>
        <w:adjustRightInd/>
        <w:snapToGrid w:val="0"/>
        <w:spacing w:beforeLines="0" w:afterLines="0"/>
        <w:ind w:left="0"/>
        <w:textAlignment w:val="auto"/>
        <w:outlineLvl w:val="2"/>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bookmarkStart w:id="491" w:name="_Toc19353"/>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6.2.1 施工期水环境保护措施</w:t>
      </w:r>
      <w:bookmarkEnd w:id="491"/>
    </w:p>
    <w:p w14:paraId="606D6E0C">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(1)本项目施工场地内不设置机械修配，施工机械修理维护依托</w:t>
      </w:r>
      <w:r>
        <w:rPr>
          <w:rFonts w:hint="eastAsia" w:cs="Times New Roman" w:eastAsiaTheme="minorEastAsia"/>
          <w:snapToGrid w:val="0"/>
          <w:color w:val="000000" w:themeColor="text1"/>
          <w:sz w:val="24"/>
          <w:highlight w:val="none"/>
          <w:lang w:val="en-US" w:eastAsia="zh-CN"/>
          <w14:textFill>
            <w14:solidFill>
              <w14:schemeClr w14:val="tx1"/>
            </w14:solidFill>
          </w14:textFill>
        </w:rPr>
        <w:t>附近</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商业机修站维修。混凝土将依托乌鲁木齐现有的商品混凝土，施工场地内不设置修理厂及混凝土拌合站。因此没有机修废水、砂石冲洗废水产生。</w:t>
      </w:r>
    </w:p>
    <w:p w14:paraId="28789BBC">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(2)本项目风</w:t>
      </w:r>
      <w:r>
        <w:rPr>
          <w:rFonts w:hint="default" w:ascii="Times New Roman" w:hAnsi="Times New Roman" w:cs="Times New Roman" w:eastAsiaTheme="minorEastAsia"/>
          <w:color w:val="000000" w:themeColor="text1"/>
          <w:kern w:val="2"/>
          <w:sz w:val="24"/>
          <w:szCs w:val="24"/>
          <w:highlight w:val="none"/>
          <w:lang w:bidi="ar-SA"/>
          <w14:textFill>
            <w14:solidFill>
              <w14:schemeClr w14:val="tx1"/>
            </w14:solidFill>
          </w14:textFill>
        </w:rPr>
        <w:t>机、箱变</w:t>
      </w:r>
      <w:r>
        <w:rPr>
          <w:rFonts w:hint="default" w:ascii="Times New Roman" w:hAnsi="Times New Roman" w:cs="Times New Roman" w:eastAsiaTheme="minorEastAsia"/>
          <w:color w:val="000000" w:themeColor="text1"/>
          <w:kern w:val="2"/>
          <w:sz w:val="24"/>
          <w:szCs w:val="24"/>
          <w:highlight w:val="none"/>
          <w:lang w:val="en-US" w:eastAsia="zh-CN" w:bidi="ar-SA"/>
          <w14:textFill>
            <w14:solidFill>
              <w14:schemeClr w14:val="tx1"/>
            </w14:solidFill>
          </w14:textFill>
        </w:rPr>
        <w:t>及</w:t>
      </w:r>
      <w:r>
        <w:rPr>
          <w:rFonts w:hint="eastAsia" w:cs="Times New Roman" w:eastAsiaTheme="minorEastAsia"/>
          <w:color w:val="000000" w:themeColor="text1"/>
          <w:kern w:val="2"/>
          <w:sz w:val="24"/>
          <w:szCs w:val="24"/>
          <w:highlight w:val="none"/>
          <w:lang w:val="en-US" w:eastAsia="zh-CN" w:bidi="ar-SA"/>
          <w14:textFill>
            <w14:solidFill>
              <w14:schemeClr w14:val="tx1"/>
            </w14:solidFill>
          </w14:textFill>
        </w:rPr>
        <w:t>集电</w:t>
      </w:r>
      <w:r>
        <w:rPr>
          <w:rFonts w:hint="default" w:ascii="Times New Roman" w:hAnsi="Times New Roman" w:cs="Times New Roman" w:eastAsiaTheme="minorEastAsia"/>
          <w:color w:val="000000" w:themeColor="text1"/>
          <w:kern w:val="2"/>
          <w:sz w:val="24"/>
          <w:szCs w:val="24"/>
          <w:highlight w:val="none"/>
          <w:lang w:val="en-US" w:eastAsia="zh-CN" w:bidi="ar-SA"/>
          <w14:textFill>
            <w14:solidFill>
              <w14:schemeClr w14:val="tx1"/>
            </w14:solidFill>
          </w14:textFill>
        </w:rPr>
        <w:t>线路塔基</w:t>
      </w:r>
      <w:r>
        <w:rPr>
          <w:rFonts w:hint="default" w:ascii="Times New Roman" w:hAnsi="Times New Roman" w:cs="Times New Roman" w:eastAsiaTheme="minorEastAsia"/>
          <w:color w:val="000000" w:themeColor="text1"/>
          <w:kern w:val="2"/>
          <w:sz w:val="24"/>
          <w:szCs w:val="24"/>
          <w:highlight w:val="none"/>
          <w:lang w:bidi="ar-SA"/>
          <w14:textFill>
            <w14:solidFill>
              <w14:schemeClr w14:val="tx1"/>
            </w14:solidFill>
          </w14:textFill>
        </w:rPr>
        <w:t>等基础采用混凝土直接浇筑的方式施工，</w:t>
      </w:r>
      <w:r>
        <w:rPr>
          <w:rFonts w:hint="default" w:ascii="Times New Roman" w:hAnsi="Times New Roman" w:cs="Times New Roman" w:eastAsiaTheme="minorEastAsia"/>
          <w:color w:val="000000" w:themeColor="text1"/>
          <w:kern w:val="2"/>
          <w:sz w:val="24"/>
          <w:szCs w:val="24"/>
          <w:highlight w:val="none"/>
          <w:lang w:val="en-US" w:eastAsia="zh-CN" w:bidi="ar-SA"/>
          <w14:textFill>
            <w14:solidFill>
              <w14:schemeClr w14:val="tx1"/>
            </w14:solidFill>
          </w14:textFill>
        </w:rPr>
        <w:t>浇筑前基础底部铺设防渗膜，可有效防止混凝土养护废水入渗，</w:t>
      </w:r>
      <w:r>
        <w:rPr>
          <w:rFonts w:hint="default" w:ascii="Times New Roman" w:hAnsi="Times New Roman" w:cs="Times New Roman" w:eastAsiaTheme="minorEastAsia"/>
          <w:color w:val="000000" w:themeColor="text1"/>
          <w:kern w:val="2"/>
          <w:sz w:val="24"/>
          <w:szCs w:val="24"/>
          <w:highlight w:val="none"/>
          <w:lang w:bidi="ar-SA"/>
          <w14:textFill>
            <w14:solidFill>
              <w14:schemeClr w14:val="tx1"/>
            </w14:solidFill>
          </w14:textFill>
        </w:rPr>
        <w:t>浇筑后表面洒水润湿进行养护，养护方法为先用吸水材料覆盖混凝土，再在吸水材料上洒水，根据吸收和蒸发情况，适时补充。</w:t>
      </w:r>
    </w:p>
    <w:p w14:paraId="7FC0296A">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(3)</w:t>
      </w:r>
      <w:r>
        <w:rPr>
          <w:rFonts w:hint="eastAsia" w:cs="Times New Roman" w:eastAsiaTheme="minorEastAsia"/>
          <w:snapToGrid w:val="0"/>
          <w:color w:val="000000" w:themeColor="text1"/>
          <w:sz w:val="24"/>
          <w:highlight w:val="none"/>
          <w:lang w:val="en-US" w:eastAsia="zh-CN"/>
          <w14:textFill>
            <w14:solidFill>
              <w14:schemeClr w14:val="tx1"/>
            </w14:solidFill>
          </w14:textFill>
        </w:rPr>
        <w:t>每个</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施工场地设置1座50m</w:t>
      </w:r>
      <w:r>
        <w:rPr>
          <w:rFonts w:hint="default" w:ascii="Times New Roman" w:hAnsi="Times New Roman" w:cs="Times New Roman" w:eastAsiaTheme="minorEastAsia"/>
          <w:snapToGrid w:val="0"/>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沉淀池，车辆冲洗废水经沉淀池集中收集处理后，循环使用，不外排。施工期结束后将临时废水处理设施拆除并进行相应的土地恢复和平整。</w:t>
      </w:r>
    </w:p>
    <w:p w14:paraId="0EFC580A">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w:t>
      </w:r>
      <w:r>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4</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)每个施工营地生活区均设置移动环保厕所及1座100m</w:t>
      </w:r>
      <w:r>
        <w:rPr>
          <w:rFonts w:hint="default" w:ascii="Times New Roman" w:hAnsi="Times New Roman" w:cs="Times New Roman" w:eastAsiaTheme="minorEastAsia"/>
          <w:snapToGrid w:val="0"/>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防渗污水收集池。施工期生活污水排入施工营地配置的移动环保厕所和防渗污水收集池，最终由吸污车统一收集清运；施工期结束后将临时废水处理设施拆除并进行相应的土地恢复和平整。</w:t>
      </w:r>
    </w:p>
    <w:p w14:paraId="2E4BFA9F">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w:t>
      </w:r>
      <w:r>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5</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)建筑材料需集中堆放，并采取一定的防雨淋措施，及时清扫施工运输过程中抛洒的上述建筑材料，以免这些物质随雨水冲刷污染周围环境。</w:t>
      </w:r>
    </w:p>
    <w:p w14:paraId="2464938D">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w:t>
      </w:r>
      <w:r>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6</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)本项目采用商品混凝土，禁止在附近冲沟、水源保护区内设置施工营地、拌合站、物料堆场等，减少对附近冲沟、水源保护区的扰动。</w:t>
      </w:r>
    </w:p>
    <w:p w14:paraId="15148F4C">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w:t>
      </w:r>
      <w:r>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7</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禁止在水源保护区内给车辆、设备加油，定期维护和保养施工机械，减少建设过程中滴漏的油污。机械设备若有漏油现象要及时处理，避免造成大的污染。运营期设备器件尽量带离保护区维修，确需在现场维修时做好防护，不得在水源保护区、附近冲沟等排放任何污染物。禁止水源保护区内清洗施工机械。</w:t>
      </w:r>
    </w:p>
    <w:p w14:paraId="0A902808">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w:t>
      </w:r>
      <w:r>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8</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)严格按照主管部门的要求进行施工，严格控制施工作业带宽度，加强施工管理，不得将施工废弃物排放到附近冲沟、水源保护区内，减少对附近冲沟、水源保护区的影响和破坏。</w:t>
      </w:r>
    </w:p>
    <w:p w14:paraId="167062FA">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w:t>
      </w:r>
      <w:r>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9</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本项目施工期产生的各类固体废物均妥善处置，不得向附近冲沟、水体和水源保护区、准保护区倾倒；不得向附近冲沟、水源保护区排放污染物，在水源保护区、准保护区内不得设置排污口，设立禁止排污范围标识牌。</w:t>
      </w:r>
    </w:p>
    <w:p w14:paraId="3393A8F0">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w:t>
      </w:r>
      <w:r>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10</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)本项目施工期间不得从项目区周边地表水体取水。</w:t>
      </w:r>
    </w:p>
    <w:p w14:paraId="7E611FD1">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(1</w:t>
      </w:r>
      <w:r>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1</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)加强对全体施工人员环境保护和水土保持方面的宣传教育，尤其是对本项目涉及的水环境保护目标的环境保护宣传教育，施工临建场地设置环保宣传牌，提高全员环境保护和水土保持的意识。</w:t>
      </w:r>
    </w:p>
    <w:p w14:paraId="5EC85767">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(1</w:t>
      </w:r>
      <w:r>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2</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根据项目区域环境特点，为满足环保要求，本项目施工临建场地布设于二级水源保护区以外。各项施工活动均应尽可能远离、避让地表水体。车辆在临近地表水体的施工道路行驶时，必须减速慢行，并对施工场地采取洒水降尘、粉状物料遮盖等措施，减少扬尘对地表水体的污染。</w:t>
      </w:r>
    </w:p>
    <w:p w14:paraId="65734BB2">
      <w:pPr>
        <w:pStyle w:val="7"/>
        <w:keepNext w:val="0"/>
        <w:keepLines w:val="0"/>
        <w:pageBreakBefore w:val="0"/>
        <w:widowControl w:val="0"/>
        <w:kinsoku/>
        <w:wordWrap/>
        <w:overflowPunct/>
        <w:topLinePunct w:val="0"/>
        <w:autoSpaceDE/>
        <w:autoSpaceDN/>
        <w:bidi w:val="0"/>
        <w:adjustRightInd w:val="0"/>
        <w:snapToGrid w:val="0"/>
        <w:spacing w:after="0" w:afterLines="0"/>
        <w:ind w:left="0" w:leftChars="0" w:firstLine="480" w:firstLineChars="200"/>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(1</w:t>
      </w:r>
      <w:r>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3</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)本次环评要求施工期加强施工管理和环境监理，严禁损毁、涂改、覆盖或者擅自移动饮用水水源保护区的地理界标、警示标志和隔离防护设施。</w:t>
      </w:r>
    </w:p>
    <w:p w14:paraId="1477810D">
      <w:pPr>
        <w:pStyle w:val="11"/>
        <w:keepNext/>
        <w:keepLines/>
        <w:pageBreakBefore w:val="0"/>
        <w:widowControl w:val="0"/>
        <w:kinsoku/>
        <w:wordWrap/>
        <w:overflowPunct/>
        <w:topLinePunct w:val="0"/>
        <w:autoSpaceDE/>
        <w:autoSpaceDN/>
        <w:bidi w:val="0"/>
        <w:adjustRightInd/>
        <w:snapToGrid w:val="0"/>
        <w:spacing w:beforeLines="0" w:afterLines="0"/>
        <w:ind w:left="0"/>
        <w:textAlignment w:val="auto"/>
        <w:outlineLvl w:val="2"/>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bookmarkStart w:id="492" w:name="_Toc8823"/>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6.2.2 运营期水环境保护措施</w:t>
      </w:r>
      <w:bookmarkEnd w:id="492"/>
    </w:p>
    <w:p w14:paraId="42F87B05">
      <w:pPr>
        <w:keepNext w:val="0"/>
        <w:keepLines w:val="0"/>
        <w:pageBreakBefore w:val="0"/>
        <w:widowControl w:val="0"/>
        <w:numPr>
          <w:ilvl w:val="0"/>
          <w:numId w:val="0"/>
        </w:numPr>
        <w:tabs>
          <w:tab w:val="left" w:pos="1260"/>
        </w:tabs>
        <w:kinsoku/>
        <w:wordWrap/>
        <w:overflowPunct/>
        <w:topLinePunct w:val="0"/>
        <w:autoSpaceDE/>
        <w:autoSpaceDN/>
        <w:bidi w:val="0"/>
        <w:adjustRightInd/>
        <w:snapToGrid w:val="0"/>
        <w:spacing w:line="360" w:lineRule="auto"/>
        <w:ind w:left="0"/>
        <w:textAlignment w:val="auto"/>
        <w:outlineLvl w:val="3"/>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t>6.2.2.1 污水防治措施</w:t>
      </w:r>
    </w:p>
    <w:p w14:paraId="7B6316EC">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本项目风电场运营期无生活污水产生。</w:t>
      </w:r>
    </w:p>
    <w:p w14:paraId="05151EFB">
      <w:pPr>
        <w:keepNext w:val="0"/>
        <w:keepLines w:val="0"/>
        <w:pageBreakBefore w:val="0"/>
        <w:widowControl w:val="0"/>
        <w:numPr>
          <w:ilvl w:val="0"/>
          <w:numId w:val="0"/>
        </w:numPr>
        <w:tabs>
          <w:tab w:val="left" w:pos="1260"/>
        </w:tabs>
        <w:kinsoku/>
        <w:wordWrap/>
        <w:overflowPunct/>
        <w:topLinePunct w:val="0"/>
        <w:autoSpaceDE/>
        <w:autoSpaceDN/>
        <w:bidi w:val="0"/>
        <w:adjustRightInd/>
        <w:snapToGrid w:val="0"/>
        <w:spacing w:line="360" w:lineRule="auto"/>
        <w:ind w:left="0"/>
        <w:textAlignment w:val="auto"/>
        <w:outlineLvl w:val="3"/>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b/>
          <w:bCs/>
          <w:snapToGrid w:val="0"/>
          <w:color w:val="000000" w:themeColor="text1"/>
          <w:kern w:val="0"/>
          <w:sz w:val="24"/>
          <w:highlight w:val="none"/>
          <w:lang w:val="en-US" w:eastAsia="zh-CN"/>
          <w14:textFill>
            <w14:solidFill>
              <w14:schemeClr w14:val="tx1"/>
            </w14:solidFill>
          </w14:textFill>
        </w:rPr>
        <w:t>6.2.2.2 地下水污染防治措施</w:t>
      </w:r>
    </w:p>
    <w:p w14:paraId="11E4F161">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根据拟建项目工程分析和建设特点，运营期可能造成地下水污染的途径主要是站区防渗措施未按要求落实，运营期管理不善，导致废</w:t>
      </w:r>
      <w:r>
        <w:rPr>
          <w:rFonts w:hint="eastAsia" w:cs="Times New Roman" w:eastAsiaTheme="minorEastAsia"/>
          <w:snapToGrid w:val="0"/>
          <w:color w:val="000000" w:themeColor="text1"/>
          <w:sz w:val="24"/>
          <w:highlight w:val="none"/>
          <w:lang w:val="en-US" w:eastAsia="zh-CN"/>
          <w14:textFill>
            <w14:solidFill>
              <w14:schemeClr w14:val="tx1"/>
            </w14:solidFill>
          </w14:textFill>
        </w:rPr>
        <w:t>矿物油</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在收集、转运过程中产生遗撒、泄露污染地下水，导致水源保护区水质石油类超标。为确保拟建项目不对地下水造成污染，拟采取以下污染防治措施：</w:t>
      </w:r>
    </w:p>
    <w:p w14:paraId="014B5561">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(1)源头控制措施</w:t>
      </w:r>
    </w:p>
    <w:p w14:paraId="2688E5DF">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1)风机转动部件自身配有空气过滤器、高效油过滤器，可防止油洒落在地面。</w:t>
      </w:r>
    </w:p>
    <w:p w14:paraId="0F8AAEE8">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2)运营期正常运转时无废矿物油（含废润滑油、废液压油等）产生。工程检修委托有资质的电力运营维护专业公司进行，检修期间产生的少量废矿物油（主要滴落在风机塔筒内）即产即清，交由有资质单位清运处置。</w:t>
      </w:r>
    </w:p>
    <w:p w14:paraId="3A04972A">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(2)防控措施</w:t>
      </w:r>
    </w:p>
    <w:p w14:paraId="258D11E5">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根据拟建项目地下水污染控制难易程度和污染物特性对拟建项目采取分区防渗措施，根据《环境影响评价技术导则 地下水环境》(HJ610-2016)相关要求</w:t>
      </w:r>
      <w:r>
        <w:rPr>
          <w:rFonts w:hint="eastAsia" w:ascii="宋体" w:hAnsi="宋体" w:eastAsia="宋体"/>
          <w:color w:val="000000" w:themeColor="text1"/>
          <w:sz w:val="24"/>
          <w14:textFill>
            <w14:solidFill>
              <w14:schemeClr w14:val="tx1"/>
            </w14:solidFill>
          </w14:textFill>
        </w:rPr>
        <w:t>，</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具体见表6.2-1。</w:t>
      </w:r>
    </w:p>
    <w:p w14:paraId="62C72286">
      <w:pPr>
        <w:keepNext w:val="0"/>
        <w:keepLines w:val="0"/>
        <w:pageBreakBefore w:val="0"/>
        <w:widowControl w:val="0"/>
        <w:kinsoku/>
        <w:wordWrap/>
        <w:overflowPunct/>
        <w:topLinePunct/>
        <w:autoSpaceDE/>
        <w:autoSpaceDN/>
        <w:bidi w:val="0"/>
        <w:adjustRightInd w:val="0"/>
        <w:snapToGrid w:val="0"/>
        <w:spacing w:line="240" w:lineRule="auto"/>
        <w:ind w:firstLine="480" w:firstLineChars="200"/>
        <w:jc w:val="left"/>
        <w:textAlignment w:val="auto"/>
        <w:rPr>
          <w:rFonts w:hint="default" w:ascii="Times New Roman" w:hAnsi="Times New Roman" w:cs="Times New Roman" w:eastAsiaTheme="minorEastAsia"/>
          <w:b/>
          <w:bCs/>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highlight w:val="none"/>
          <w:lang w:val="en-US" w:eastAsia="zh-CN"/>
          <w14:textFill>
            <w14:solidFill>
              <w14:schemeClr w14:val="tx1"/>
            </w14:solidFill>
          </w14:textFill>
        </w:rPr>
        <w:t>表6.2-1                 场区分区防渗一览表</w:t>
      </w:r>
    </w:p>
    <w:tbl>
      <w:tblPr>
        <w:tblStyle w:val="76"/>
        <w:tblW w:w="9167"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409"/>
        <w:gridCol w:w="2817"/>
        <w:gridCol w:w="4941"/>
      </w:tblGrid>
      <w:tr w14:paraId="124FD4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409" w:type="dxa"/>
            <w:tcBorders>
              <w:tl2br w:val="nil"/>
              <w:tr2bl w:val="nil"/>
            </w:tcBorders>
            <w:vAlign w:val="center"/>
          </w:tcPr>
          <w:p w14:paraId="508B2E49">
            <w:pPr>
              <w:keepNext w:val="0"/>
              <w:keepLines w:val="0"/>
              <w:pageBreakBefore w:val="0"/>
              <w:widowControl w:val="0"/>
              <w:kinsoku/>
              <w:wordWrap/>
              <w:overflowPunct/>
              <w:topLinePunct/>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防渗分区</w:t>
            </w:r>
          </w:p>
        </w:tc>
        <w:tc>
          <w:tcPr>
            <w:tcW w:w="2817" w:type="dxa"/>
            <w:tcBorders>
              <w:tl2br w:val="nil"/>
              <w:tr2bl w:val="nil"/>
            </w:tcBorders>
            <w:vAlign w:val="center"/>
          </w:tcPr>
          <w:p w14:paraId="4E9E3C1A">
            <w:pPr>
              <w:keepNext w:val="0"/>
              <w:keepLines w:val="0"/>
              <w:pageBreakBefore w:val="0"/>
              <w:widowControl w:val="0"/>
              <w:kinsoku/>
              <w:wordWrap/>
              <w:overflowPunct/>
              <w:topLinePunct/>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区域划分</w:t>
            </w:r>
          </w:p>
        </w:tc>
        <w:tc>
          <w:tcPr>
            <w:tcW w:w="4941" w:type="dxa"/>
            <w:tcBorders>
              <w:tl2br w:val="nil"/>
              <w:tr2bl w:val="nil"/>
            </w:tcBorders>
            <w:vAlign w:val="center"/>
          </w:tcPr>
          <w:p w14:paraId="6F739054">
            <w:pPr>
              <w:keepNext w:val="0"/>
              <w:keepLines w:val="0"/>
              <w:pageBreakBefore w:val="0"/>
              <w:widowControl w:val="0"/>
              <w:kinsoku/>
              <w:wordWrap/>
              <w:overflowPunct/>
              <w:topLinePunct/>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防渗等级要求</w:t>
            </w:r>
          </w:p>
        </w:tc>
      </w:tr>
      <w:tr w14:paraId="373ADC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409" w:type="dxa"/>
            <w:tcBorders>
              <w:tl2br w:val="nil"/>
              <w:tr2bl w:val="nil"/>
            </w:tcBorders>
            <w:vAlign w:val="center"/>
          </w:tcPr>
          <w:p w14:paraId="4B8F91AF">
            <w:pPr>
              <w:keepNext w:val="0"/>
              <w:keepLines w:val="0"/>
              <w:pageBreakBefore w:val="0"/>
              <w:widowControl w:val="0"/>
              <w:kinsoku/>
              <w:wordWrap/>
              <w:overflowPunct/>
              <w:topLinePunct/>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重点防渗区</w:t>
            </w:r>
          </w:p>
        </w:tc>
        <w:tc>
          <w:tcPr>
            <w:tcW w:w="2817" w:type="dxa"/>
            <w:tcBorders>
              <w:tl2br w:val="nil"/>
              <w:tr2bl w:val="nil"/>
            </w:tcBorders>
            <w:vAlign w:val="center"/>
          </w:tcPr>
          <w:p w14:paraId="4CB3A2F3">
            <w:pPr>
              <w:keepNext w:val="0"/>
              <w:keepLines w:val="0"/>
              <w:pageBreakBefore w:val="0"/>
              <w:widowControl w:val="0"/>
              <w:kinsoku/>
              <w:wordWrap/>
              <w:overflowPunct/>
              <w:topLinePunct/>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eastAsia" w:cs="Times New Roman" w:eastAsiaTheme="minorEastAsia"/>
                <w:color w:val="000000" w:themeColor="text1"/>
                <w:sz w:val="21"/>
                <w:szCs w:val="21"/>
                <w:highlight w:val="none"/>
                <w:vertAlign w:val="baseline"/>
                <w:lang w:val="en-US" w:eastAsia="zh-CN"/>
                <w14:textFill>
                  <w14:solidFill>
                    <w14:schemeClr w14:val="tx1"/>
                  </w14:solidFill>
                </w14:textFill>
              </w:rPr>
              <w:t>风机机组基座</w:t>
            </w:r>
          </w:p>
        </w:tc>
        <w:tc>
          <w:tcPr>
            <w:tcW w:w="4941" w:type="dxa"/>
            <w:tcBorders>
              <w:tl2br w:val="nil"/>
              <w:tr2bl w:val="nil"/>
            </w:tcBorders>
            <w:vAlign w:val="center"/>
          </w:tcPr>
          <w:p w14:paraId="37D85448">
            <w:pPr>
              <w:keepNext w:val="0"/>
              <w:keepLines w:val="0"/>
              <w:pageBreakBefore w:val="0"/>
              <w:widowControl w:val="0"/>
              <w:kinsoku w:val="0"/>
              <w:wordWrap/>
              <w:overflow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等效黏土防渗层</w:t>
            </w:r>
            <w:r>
              <w:rPr>
                <w:rFonts w:hint="eastAsia" w:ascii="TimesNewRomanPSMT" w:hAnsi="TimesNewRomanPSMT" w:eastAsia="TimesNewRomanPSMT"/>
                <w:color w:val="000000" w:themeColor="text1"/>
                <w:sz w:val="21"/>
                <w:szCs w:val="21"/>
                <w14:textFill>
                  <w14:solidFill>
                    <w14:schemeClr w14:val="tx1"/>
                  </w14:solidFill>
                </w14:textFill>
              </w:rPr>
              <w:t>Mb</w:t>
            </w:r>
            <w:r>
              <w:rPr>
                <w:rFonts w:hint="eastAsia" w:ascii="宋体" w:hAnsi="宋体" w:eastAsia="宋体"/>
                <w:color w:val="000000" w:themeColor="text1"/>
                <w:sz w:val="21"/>
                <w:szCs w:val="21"/>
                <w14:textFill>
                  <w14:solidFill>
                    <w14:schemeClr w14:val="tx1"/>
                  </w14:solidFill>
                </w14:textFill>
              </w:rPr>
              <w:t>≧</w:t>
            </w:r>
            <w:r>
              <w:rPr>
                <w:rFonts w:hint="eastAsia" w:ascii="TimesNewRomanPSMT" w:hAnsi="TimesNewRomanPSMT" w:eastAsia="TimesNewRomanPSMT"/>
                <w:color w:val="000000" w:themeColor="text1"/>
                <w:sz w:val="21"/>
                <w:szCs w:val="21"/>
                <w14:textFill>
                  <w14:solidFill>
                    <w14:schemeClr w14:val="tx1"/>
                  </w14:solidFill>
                </w14:textFill>
              </w:rPr>
              <w:t xml:space="preserve">6 </w:t>
            </w:r>
            <w:r>
              <w:rPr>
                <w:rFonts w:hint="eastAsia" w:ascii="宋体" w:hAnsi="宋体" w:eastAsia="宋体"/>
                <w:color w:val="000000" w:themeColor="text1"/>
                <w:sz w:val="21"/>
                <w:szCs w:val="21"/>
                <w14:textFill>
                  <w14:solidFill>
                    <w14:schemeClr w14:val="tx1"/>
                  </w14:solidFill>
                </w14:textFill>
              </w:rPr>
              <w:t>米，</w:t>
            </w:r>
            <w:r>
              <w:rPr>
                <w:rFonts w:hint="eastAsia" w:ascii="TimesNewRomanPSMT" w:hAnsi="TimesNewRomanPSMT" w:eastAsia="TimesNewRomanPSMT"/>
                <w:color w:val="000000" w:themeColor="text1"/>
                <w:sz w:val="21"/>
                <w:szCs w:val="21"/>
                <w14:textFill>
                  <w14:solidFill>
                    <w14:schemeClr w14:val="tx1"/>
                  </w14:solidFill>
                </w14:textFill>
              </w:rPr>
              <w:t>K</w:t>
            </w:r>
            <w:r>
              <w:rPr>
                <w:rFonts w:hint="eastAsia" w:ascii="宋体" w:hAnsi="宋体" w:eastAsia="宋体"/>
                <w:color w:val="000000" w:themeColor="text1"/>
                <w:sz w:val="21"/>
                <w:szCs w:val="21"/>
                <w14:textFill>
                  <w14:solidFill>
                    <w14:schemeClr w14:val="tx1"/>
                  </w14:solidFill>
                </w14:textFill>
              </w:rPr>
              <w:t>≦</w:t>
            </w:r>
            <w:r>
              <w:rPr>
                <w:rFonts w:hint="eastAsia" w:ascii="TimesNewRomanPSMT" w:hAnsi="TimesNewRomanPSMT" w:eastAsia="TimesNewRomanPSMT"/>
                <w:color w:val="000000" w:themeColor="text1"/>
                <w:sz w:val="21"/>
                <w:szCs w:val="21"/>
                <w14:textFill>
                  <w14:solidFill>
                    <w14:schemeClr w14:val="tx1"/>
                  </w14:solidFill>
                </w14:textFill>
              </w:rPr>
              <w:t>1</w:t>
            </w:r>
            <w:r>
              <w:rPr>
                <w:rFonts w:hint="eastAsia" w:ascii="宋体" w:hAnsi="宋体" w:eastAsia="宋体"/>
                <w:color w:val="000000" w:themeColor="text1"/>
                <w:sz w:val="21"/>
                <w:szCs w:val="21"/>
                <w14:textFill>
                  <w14:solidFill>
                    <w14:schemeClr w14:val="tx1"/>
                  </w14:solidFill>
                </w14:textFill>
              </w:rPr>
              <w:t>×</w:t>
            </w:r>
            <w:r>
              <w:rPr>
                <w:rFonts w:hint="eastAsia" w:ascii="TimesNewRomanPSMT" w:hAnsi="TimesNewRomanPSMT" w:eastAsia="TimesNewRomanPSMT"/>
                <w:color w:val="000000" w:themeColor="text1"/>
                <w:sz w:val="21"/>
                <w:szCs w:val="21"/>
                <w14:textFill>
                  <w14:solidFill>
                    <w14:schemeClr w14:val="tx1"/>
                  </w14:solidFill>
                </w14:textFill>
              </w:rPr>
              <w:t>10</w:t>
            </w:r>
            <w:r>
              <w:rPr>
                <w:rFonts w:hint="eastAsia" w:ascii="TimesNewRomanPSMT" w:hAnsi="TimesNewRomanPSMT" w:eastAsia="宋体"/>
                <w:color w:val="000000" w:themeColor="text1"/>
                <w:sz w:val="21"/>
                <w:szCs w:val="21"/>
                <w:vertAlign w:val="superscript"/>
                <w:lang w:val="en-US" w:eastAsia="zh-CN"/>
                <w14:textFill>
                  <w14:solidFill>
                    <w14:schemeClr w14:val="tx1"/>
                  </w14:solidFill>
                </w14:textFill>
              </w:rPr>
              <w:t>-7</w:t>
            </w:r>
            <w:r>
              <w:rPr>
                <w:rFonts w:hint="eastAsia" w:ascii="TimesNewRomanPSMT" w:hAnsi="TimesNewRomanPSMT" w:eastAsia="TimesNewRomanPSMT"/>
                <w:color w:val="000000" w:themeColor="text1"/>
                <w:sz w:val="21"/>
                <w:szCs w:val="21"/>
                <w14:textFill>
                  <w14:solidFill>
                    <w14:schemeClr w14:val="tx1"/>
                  </w14:solidFill>
                </w14:textFill>
              </w:rPr>
              <w:t xml:space="preserve"> </w:t>
            </w:r>
            <w:r>
              <w:rPr>
                <w:rFonts w:hint="eastAsia" w:ascii="宋体" w:hAnsi="宋体" w:eastAsia="宋体"/>
                <w:color w:val="000000" w:themeColor="text1"/>
                <w:sz w:val="21"/>
                <w:szCs w:val="21"/>
                <w14:textFill>
                  <w14:solidFill>
                    <w14:schemeClr w14:val="tx1"/>
                  </w14:solidFill>
                </w14:textFill>
              </w:rPr>
              <w:t>厘米</w:t>
            </w:r>
            <w:r>
              <w:rPr>
                <w:rFonts w:hint="eastAsia" w:ascii="TimesNewRomanPSMT" w:hAnsi="TimesNewRomanPSMT" w:eastAsia="TimesNewRomanPSMT"/>
                <w:color w:val="000000" w:themeColor="text1"/>
                <w:sz w:val="21"/>
                <w:szCs w:val="21"/>
                <w14:textFill>
                  <w14:solidFill>
                    <w14:schemeClr w14:val="tx1"/>
                  </w14:solidFill>
                </w14:textFill>
              </w:rPr>
              <w:t>/</w:t>
            </w:r>
            <w:r>
              <w:rPr>
                <w:rFonts w:hint="eastAsia" w:ascii="宋体" w:hAnsi="宋体" w:eastAsia="宋体"/>
                <w:color w:val="000000" w:themeColor="text1"/>
                <w:sz w:val="21"/>
                <w:szCs w:val="21"/>
                <w14:textFill>
                  <w14:solidFill>
                    <w14:schemeClr w14:val="tx1"/>
                  </w14:solidFill>
                </w14:textFill>
              </w:rPr>
              <w:t>秒</w:t>
            </w:r>
          </w:p>
        </w:tc>
      </w:tr>
    </w:tbl>
    <w:p w14:paraId="05D80B6E">
      <w:pPr>
        <w:keepNext w:val="0"/>
        <w:keepLines w:val="0"/>
        <w:pageBreakBefore w:val="0"/>
        <w:widowControl w:val="0"/>
        <w:kinsoku/>
        <w:wordWrap/>
        <w:overflowPunct/>
        <w:topLinePunct/>
        <w:autoSpaceDE/>
        <w:autoSpaceDN/>
        <w:bidi w:val="0"/>
        <w:adjustRightInd w:val="0"/>
        <w:snapToGrid w:val="0"/>
        <w:spacing w:line="360" w:lineRule="auto"/>
        <w:ind w:firstLine="480" w:firstLineChars="200"/>
        <w:textAlignment w:val="auto"/>
        <w:rPr>
          <w:rFonts w:hint="default" w:ascii="Times New Roman" w:hAnsi="Times New Roman" w:cs="Times New Roman" w:eastAsiaTheme="minorEastAsia"/>
          <w:color w:val="FF0000"/>
          <w:sz w:val="24"/>
          <w:highlight w:val="none"/>
          <w:lang w:val="en-US" w:eastAsia="zh-CN"/>
        </w:rPr>
      </w:pPr>
    </w:p>
    <w:p w14:paraId="20C2991B">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eastAsia" w:cs="Times New Roman" w:eastAsiaTheme="minorEastAsia"/>
          <w:snapToGrid w:val="0"/>
          <w:color w:val="000000" w:themeColor="text1"/>
          <w:sz w:val="24"/>
          <w:highlight w:val="none"/>
          <w:lang w:val="en-US" w:eastAsia="zh-CN"/>
          <w14:textFill>
            <w14:solidFill>
              <w14:schemeClr w14:val="tx1"/>
            </w14:solidFill>
          </w14:textFill>
        </w:rPr>
        <w:t>(3)污染监控</w:t>
      </w:r>
    </w:p>
    <w:p w14:paraId="5C7462A2">
      <w:pPr>
        <w:pageBreakBefore w:val="0"/>
        <w:widowControl w:val="0"/>
        <w:kinsoku/>
        <w:overflowPunct/>
        <w:autoSpaceDE/>
        <w:autoSpaceDN/>
        <w:bidi w:val="0"/>
        <w:snapToGrid w:val="0"/>
        <w:ind w:left="0" w:leftChars="0" w:firstLine="480" w:firstLineChars="200"/>
        <w:jc w:val="left"/>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eastAsia" w:ascii="宋体" w:hAnsi="宋体" w:eastAsia="宋体"/>
          <w:sz w:val="24"/>
        </w:rPr>
        <w:t>通过利用饮用水源地地下水水井实时监控地下水水质状况。通过建立地下水环境监控体系，包括科学、合理地设置地下水污染监控井，建立完善的监测制度，配备相应的检测仪器和设备，以便及时发现并及时控制。结合工程区所在区域的水文地质条件，充分利用现有地下水井开展污染监控。在日常例行监测中，一旦发现地下水水质监测数据异常，应尽快核查数据，确保数据的正确性，并将核查过的监测数据通告部门负责人，由专人负责对数据进行分析、核实，加大监测密度，并密切关注生产设施的运行情况，为防止地下水污染采取措施提供正确的依据。</w:t>
      </w:r>
    </w:p>
    <w:p w14:paraId="4AC36969">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eastAsia" w:cs="Times New Roman" w:eastAsiaTheme="minorEastAsia"/>
          <w:snapToGrid w:val="0"/>
          <w:color w:val="000000" w:themeColor="text1"/>
          <w:sz w:val="24"/>
          <w:highlight w:val="none"/>
          <w:lang w:val="en-US" w:eastAsia="zh-CN"/>
          <w14:textFill>
            <w14:solidFill>
              <w14:schemeClr w14:val="tx1"/>
            </w14:solidFill>
          </w14:textFill>
        </w:rPr>
        <w:t>(4)应急相应</w:t>
      </w:r>
    </w:p>
    <w:p w14:paraId="386C11AE">
      <w:pPr>
        <w:pageBreakBefore w:val="0"/>
        <w:widowControl w:val="0"/>
        <w:kinsoku/>
        <w:overflowPunct/>
        <w:autoSpaceDE/>
        <w:autoSpaceDN/>
        <w:bidi w:val="0"/>
        <w:snapToGrid w:val="0"/>
        <w:ind w:left="0" w:leftChars="0" w:firstLine="480" w:firstLineChars="200"/>
        <w:jc w:val="left"/>
        <w:textAlignment w:val="auto"/>
        <w:rPr>
          <w:rFonts w:hint="eastAsia" w:ascii="宋体" w:hAnsi="宋体" w:eastAsia="宋体"/>
          <w:sz w:val="24"/>
        </w:rPr>
      </w:pPr>
      <w:r>
        <w:rPr>
          <w:rFonts w:hint="eastAsia" w:ascii="宋体" w:hAnsi="宋体" w:eastAsia="宋体"/>
          <w:sz w:val="24"/>
        </w:rPr>
        <w:t>通过地下水污染监控系统，随时掌握地下水污染信息，通过制定地下水污染专项突发环境事件应急预案，定期开展应急演练，加强应急培训，配备应急救援、阻隔等应急物资，保证在风险事故情况下，将环境影响降到最低水平。污染事故一旦发生，立即启动应急防范措施，减少事故影响。</w:t>
      </w:r>
    </w:p>
    <w:p w14:paraId="7C59AE17">
      <w:pPr>
        <w:pageBreakBefore w:val="0"/>
        <w:widowControl w:val="0"/>
        <w:kinsoku/>
        <w:overflowPunct/>
        <w:autoSpaceDE/>
        <w:autoSpaceDN/>
        <w:bidi w:val="0"/>
        <w:snapToGrid w:val="0"/>
        <w:ind w:left="0" w:leftChars="0" w:firstLine="480" w:firstLineChars="200"/>
        <w:jc w:val="left"/>
        <w:textAlignment w:val="auto"/>
        <w:rPr>
          <w:rFonts w:hint="eastAsia" w:ascii="宋体" w:hAnsi="宋体" w:eastAsia="宋体"/>
          <w:sz w:val="24"/>
        </w:rPr>
      </w:pPr>
      <w:r>
        <w:rPr>
          <w:rFonts w:hint="eastAsia" w:ascii="宋体" w:hAnsi="宋体" w:eastAsia="宋体"/>
          <w:sz w:val="24"/>
        </w:rPr>
        <w:t>若发生突然泄漏事故对地下水造成污染时，可采取在现场去除污染物和地下水下游设置水力屏障，即通过抽水井大强度抽出被污染的地下水，防止污染地下水向下游扩散，具体措施如下：</w:t>
      </w:r>
      <w:r>
        <w:rPr>
          <w:rFonts w:hint="eastAsia" w:ascii="TimesNewRomanPSMT" w:hAnsi="TimesNewRomanPSMT" w:eastAsia="TimesNewRomanPSMT"/>
          <w:sz w:val="24"/>
        </w:rPr>
        <w:t>a.</w:t>
      </w:r>
      <w:r>
        <w:rPr>
          <w:rFonts w:hint="eastAsia" w:ascii="宋体" w:hAnsi="宋体" w:eastAsia="宋体"/>
          <w:sz w:val="24"/>
        </w:rPr>
        <w:t>当确定发生地下水异常情况时，在第一时间内尽快上报主管领导，通知当地生态环境局，密切关注地下水水质变化情况。</w:t>
      </w:r>
    </w:p>
    <w:p w14:paraId="560C4729">
      <w:pPr>
        <w:pageBreakBefore w:val="0"/>
        <w:widowControl w:val="0"/>
        <w:kinsoku/>
        <w:overflowPunct/>
        <w:autoSpaceDE/>
        <w:autoSpaceDN/>
        <w:bidi w:val="0"/>
        <w:snapToGrid w:val="0"/>
        <w:jc w:val="left"/>
        <w:textAlignment w:val="auto"/>
        <w:rPr>
          <w:rFonts w:hint="eastAsia" w:ascii="宋体" w:hAnsi="宋体" w:eastAsia="宋体"/>
          <w:sz w:val="24"/>
        </w:rPr>
      </w:pPr>
      <w:r>
        <w:rPr>
          <w:rFonts w:hint="eastAsia" w:ascii="TimesNewRomanPSMT" w:hAnsi="TimesNewRomanPSMT" w:eastAsia="TimesNewRomanPSMT"/>
          <w:sz w:val="24"/>
        </w:rPr>
        <w:t>b.</w:t>
      </w:r>
      <w:r>
        <w:rPr>
          <w:rFonts w:hint="eastAsia" w:ascii="宋体" w:hAnsi="宋体" w:eastAsia="宋体"/>
          <w:sz w:val="24"/>
        </w:rPr>
        <w:t>组织专业队伍对事故现场进行调查、监测，查找环境事故发生地点、分析事故</w:t>
      </w:r>
    </w:p>
    <w:p w14:paraId="23803E54">
      <w:pPr>
        <w:pageBreakBefore w:val="0"/>
        <w:widowControl w:val="0"/>
        <w:kinsoku/>
        <w:overflowPunct/>
        <w:autoSpaceDE/>
        <w:autoSpaceDN/>
        <w:bidi w:val="0"/>
        <w:snapToGrid w:val="0"/>
        <w:ind w:left="0" w:leftChars="0" w:firstLine="0" w:firstLineChars="0"/>
        <w:jc w:val="left"/>
        <w:textAlignment w:val="auto"/>
        <w:rPr>
          <w:rFonts w:hint="eastAsia" w:ascii="宋体" w:hAnsi="宋体" w:eastAsia="宋体"/>
          <w:sz w:val="24"/>
        </w:rPr>
      </w:pPr>
      <w:r>
        <w:rPr>
          <w:rFonts w:hint="eastAsia" w:ascii="宋体" w:hAnsi="宋体" w:eastAsia="宋体"/>
          <w:sz w:val="24"/>
        </w:rPr>
        <w:t>原因，尽量将紧急事件局部化，如可能应予以消除，防止事故的扩散、蔓延及连锁反应，尽量缩小地下水污染事故对人和财产的影响。</w:t>
      </w:r>
    </w:p>
    <w:p w14:paraId="798DCBE0">
      <w:pPr>
        <w:pageBreakBefore w:val="0"/>
        <w:widowControl w:val="0"/>
        <w:kinsoku/>
        <w:overflowPunct/>
        <w:autoSpaceDE/>
        <w:autoSpaceDN/>
        <w:bidi w:val="0"/>
        <w:snapToGrid w:val="0"/>
        <w:jc w:val="left"/>
        <w:textAlignment w:val="auto"/>
        <w:rPr>
          <w:rFonts w:hint="eastAsia" w:ascii="宋体" w:hAnsi="宋体" w:eastAsia="宋体"/>
          <w:sz w:val="24"/>
        </w:rPr>
      </w:pPr>
      <w:r>
        <w:rPr>
          <w:rFonts w:hint="eastAsia" w:ascii="TimesNewRomanPSMT" w:hAnsi="TimesNewRomanPSMT" w:eastAsia="TimesNewRomanPSMT"/>
          <w:sz w:val="24"/>
        </w:rPr>
        <w:t>c.</w:t>
      </w:r>
      <w:r>
        <w:rPr>
          <w:rFonts w:hint="eastAsia" w:ascii="宋体" w:hAnsi="宋体" w:eastAsia="宋体"/>
          <w:sz w:val="24"/>
        </w:rPr>
        <w:t>当通过监测发现对周围地下水造成污染时，根据观测井的反馈信息，控制污染</w:t>
      </w:r>
    </w:p>
    <w:p w14:paraId="57A65369">
      <w:pPr>
        <w:pageBreakBefore w:val="0"/>
        <w:widowControl w:val="0"/>
        <w:kinsoku/>
        <w:overflowPunct/>
        <w:autoSpaceDE/>
        <w:autoSpaceDN/>
        <w:bidi w:val="0"/>
        <w:snapToGrid w:val="0"/>
        <w:ind w:left="0" w:leftChars="0" w:firstLine="0" w:firstLineChars="0"/>
        <w:jc w:val="left"/>
        <w:textAlignment w:val="auto"/>
        <w:rPr>
          <w:rFonts w:hint="eastAsia" w:ascii="宋体" w:hAnsi="宋体" w:eastAsia="宋体"/>
          <w:sz w:val="24"/>
        </w:rPr>
      </w:pPr>
      <w:r>
        <w:rPr>
          <w:rFonts w:hint="eastAsia" w:ascii="宋体" w:hAnsi="宋体" w:eastAsia="宋体"/>
          <w:sz w:val="24"/>
        </w:rPr>
        <w:t>区地下水流场，防止污染物扩散。</w:t>
      </w:r>
    </w:p>
    <w:p w14:paraId="78481BA8">
      <w:pPr>
        <w:pageBreakBefore w:val="0"/>
        <w:widowControl w:val="0"/>
        <w:kinsoku/>
        <w:overflowPunct/>
        <w:autoSpaceDE/>
        <w:autoSpaceDN/>
        <w:bidi w:val="0"/>
        <w:snapToGrid w:val="0"/>
        <w:jc w:val="left"/>
        <w:textAlignment w:val="auto"/>
        <w:rPr>
          <w:rFonts w:hint="eastAsia" w:ascii="宋体" w:hAnsi="宋体" w:eastAsia="宋体"/>
          <w:sz w:val="24"/>
        </w:rPr>
      </w:pPr>
      <w:r>
        <w:rPr>
          <w:rFonts w:hint="eastAsia" w:ascii="TimesNewRomanPSMT" w:hAnsi="TimesNewRomanPSMT" w:eastAsia="TimesNewRomanPSMT"/>
          <w:sz w:val="24"/>
        </w:rPr>
        <w:t>d.</w:t>
      </w:r>
      <w:r>
        <w:rPr>
          <w:rFonts w:hint="eastAsia" w:ascii="宋体" w:hAnsi="宋体" w:eastAsia="宋体"/>
          <w:sz w:val="24"/>
        </w:rPr>
        <w:t>对事故后果进行评估，并制定防止类似事件发生的措施。</w:t>
      </w:r>
    </w:p>
    <w:p w14:paraId="3C126332">
      <w:pPr>
        <w:pageBreakBefore w:val="0"/>
        <w:widowControl w:val="0"/>
        <w:kinsoku/>
        <w:overflowPunct/>
        <w:autoSpaceDE/>
        <w:autoSpaceDN/>
        <w:bidi w:val="0"/>
        <w:snapToGrid w:val="0"/>
        <w:jc w:val="left"/>
        <w:textAlignment w:val="auto"/>
        <w:rPr>
          <w:rFonts w:hint="eastAsia" w:ascii="宋体" w:hAnsi="宋体" w:eastAsia="宋体"/>
          <w:sz w:val="24"/>
        </w:rPr>
      </w:pPr>
      <w:r>
        <w:rPr>
          <w:rFonts w:hint="eastAsia" w:ascii="TimesNewRomanPSMT" w:hAnsi="TimesNewRomanPSMT" w:eastAsia="TimesNewRomanPSMT"/>
          <w:sz w:val="24"/>
        </w:rPr>
        <w:t>e.</w:t>
      </w:r>
      <w:r>
        <w:rPr>
          <w:rFonts w:hint="eastAsia" w:ascii="宋体" w:hAnsi="宋体" w:eastAsia="宋体"/>
          <w:sz w:val="24"/>
        </w:rPr>
        <w:t>如果自身力量无法应对污染事故，应立即请求社会应急力量协助处理。</w:t>
      </w:r>
    </w:p>
    <w:p w14:paraId="62C6B383">
      <w:pPr>
        <w:pageBreakBefore w:val="0"/>
        <w:widowControl w:val="0"/>
        <w:kinsoku/>
        <w:overflowPunct/>
        <w:autoSpaceDE/>
        <w:autoSpaceDN/>
        <w:bidi w:val="0"/>
        <w:snapToGrid w:val="0"/>
        <w:jc w:val="left"/>
        <w:textAlignment w:val="auto"/>
        <w:rPr>
          <w:rFonts w:hint="eastAsia" w:ascii="宋体" w:hAnsi="宋体" w:eastAsia="宋体"/>
          <w:sz w:val="24"/>
        </w:rPr>
      </w:pPr>
      <w:r>
        <w:rPr>
          <w:rFonts w:hint="eastAsia" w:ascii="宋体" w:hAnsi="宋体" w:eastAsia="宋体"/>
          <w:sz w:val="24"/>
        </w:rPr>
        <w:t>通过采取以上地下水环境保护措施，可有效避免各类污染物对地下水环境的影响，</w:t>
      </w:r>
    </w:p>
    <w:p w14:paraId="41899215">
      <w:pPr>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eastAsia" w:ascii="宋体" w:hAnsi="宋体" w:eastAsia="宋体"/>
          <w:sz w:val="24"/>
        </w:rPr>
        <w:t>地下水污染控制措施可行。</w:t>
      </w:r>
    </w:p>
    <w:p w14:paraId="70FFD405">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w:t>
      </w:r>
      <w:r>
        <w:rPr>
          <w:rFonts w:hint="eastAsia" w:cs="Times New Roman" w:eastAsiaTheme="minorEastAsia"/>
          <w:snapToGrid w:val="0"/>
          <w:color w:val="000000" w:themeColor="text1"/>
          <w:sz w:val="24"/>
          <w:highlight w:val="none"/>
          <w:lang w:val="en-US" w:eastAsia="zh-CN"/>
          <w14:textFill>
            <w14:solidFill>
              <w14:schemeClr w14:val="tx1"/>
            </w14:solidFill>
          </w14:textFill>
        </w:rPr>
        <w:t>5</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)其他措施</w:t>
      </w:r>
    </w:p>
    <w:p w14:paraId="75224F70">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①严禁在水源保护区、准保护区、项目区周边地表水体、附近冲沟排放污染物，禁止设排污口。</w:t>
      </w:r>
    </w:p>
    <w:p w14:paraId="6364A486">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②本项目运营期间不得从项目区周边地表水体取水。</w:t>
      </w:r>
    </w:p>
    <w:p w14:paraId="71DFCDD7">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FF0000"/>
          <w:sz w:val="24"/>
          <w:highlight w:val="none"/>
          <w:lang w:val="en-US" w:eastAsia="zh-CN"/>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③本项目运营期产生的各类固体废物均妥善处置。本项目箱变均采用干式变压器。不得向水体和水源保护区、准保护区倾倒任何固体废物。</w:t>
      </w:r>
    </w:p>
    <w:p w14:paraId="0108D130">
      <w:pPr>
        <w:pStyle w:val="4"/>
        <w:keepNext/>
        <w:keepLines/>
        <w:pageBreakBefore w:val="0"/>
        <w:widowControl w:val="0"/>
        <w:numPr>
          <w:ilvl w:val="0"/>
          <w:numId w:val="0"/>
        </w:numPr>
        <w:tabs>
          <w:tab w:val="left" w:pos="630"/>
          <w:tab w:val="left" w:pos="3403"/>
        </w:tabs>
        <w:kinsoku/>
        <w:wordWrap w:val="0"/>
        <w:overflowPunct/>
        <w:topLinePunct w:val="0"/>
        <w:autoSpaceDE/>
        <w:autoSpaceDN/>
        <w:bidi w:val="0"/>
        <w:adjustRightInd/>
        <w:snapToGrid w:val="0"/>
        <w:spacing w:beforeLines="0" w:after="0" w:afterLines="0" w:line="360" w:lineRule="auto"/>
        <w:ind w:left="0" w:leftChars="0"/>
        <w:textAlignment w:val="auto"/>
        <w:outlineLvl w:val="1"/>
        <w:rPr>
          <w:rFonts w:hint="default" w:ascii="Times New Roman" w:hAnsi="Times New Roman" w:cs="Times New Roman" w:eastAsiaTheme="minorEastAsia"/>
          <w:color w:val="000000" w:themeColor="text1"/>
          <w:sz w:val="30"/>
          <w:highlight w:val="none"/>
          <w:lang w:val="en-US" w:eastAsia="zh-CN"/>
          <w14:textFill>
            <w14:solidFill>
              <w14:schemeClr w14:val="tx1"/>
            </w14:solidFill>
          </w14:textFill>
        </w:rPr>
      </w:pPr>
      <w:bookmarkStart w:id="493" w:name="_Toc22298"/>
      <w:bookmarkStart w:id="494" w:name="_Toc11472"/>
      <w:bookmarkStart w:id="495" w:name="_Toc26686"/>
      <w:r>
        <w:rPr>
          <w:rFonts w:hint="default" w:ascii="Times New Roman" w:hAnsi="Times New Roman" w:cs="Times New Roman" w:eastAsiaTheme="minorEastAsia"/>
          <w:color w:val="000000" w:themeColor="text1"/>
          <w:sz w:val="30"/>
          <w:highlight w:val="none"/>
          <w:lang w:val="en-US" w:eastAsia="zh-CN"/>
          <w14:textFill>
            <w14:solidFill>
              <w14:schemeClr w14:val="tx1"/>
            </w14:solidFill>
          </w14:textFill>
        </w:rPr>
        <w:t>6.3 声环境保护措施</w:t>
      </w:r>
      <w:bookmarkEnd w:id="493"/>
      <w:bookmarkEnd w:id="494"/>
      <w:bookmarkEnd w:id="495"/>
    </w:p>
    <w:p w14:paraId="3BD52F98">
      <w:pPr>
        <w:pStyle w:val="11"/>
        <w:keepNext/>
        <w:keepLines/>
        <w:pageBreakBefore w:val="0"/>
        <w:widowControl w:val="0"/>
        <w:kinsoku/>
        <w:wordWrap/>
        <w:overflowPunct/>
        <w:topLinePunct w:val="0"/>
        <w:autoSpaceDE/>
        <w:autoSpaceDN/>
        <w:bidi w:val="0"/>
        <w:adjustRightInd/>
        <w:snapToGrid w:val="0"/>
        <w:spacing w:beforeLines="0" w:afterLines="0"/>
        <w:ind w:left="0"/>
        <w:textAlignment w:val="auto"/>
        <w:outlineLvl w:val="2"/>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bookmarkStart w:id="496" w:name="_Toc30557"/>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6.3.1 施工期声环境保护措施</w:t>
      </w:r>
      <w:bookmarkEnd w:id="496"/>
    </w:p>
    <w:p w14:paraId="2EAF699A">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本次评价主要针对施工期的噪声提出相关针对性的措施如下：</w:t>
      </w:r>
    </w:p>
    <w:p w14:paraId="2F1E43AA">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(1)尽量采用低噪声机械设备，对超过国家标准的机械应禁止其入场施工，施工过程中还应经常对设备进行维修保养，避免由于设备性能变差而导致噪声增加，对产生震动的环节进行加固或改造，对振动较大的设备可使用减震机座；对于施工期间的材料运输、敲击、人的喊叫等施工声源，要求施工队通过文明施工、加强有效管理加以缓解。</w:t>
      </w:r>
    </w:p>
    <w:p w14:paraId="7ABFC7FE">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(2)在利用现有道路运输施工物资时，应合理选择运输路线，禁止夜间运输。此外，在途经村庄时，应减速慢行，需新修筑的便道应尽量远离村镇等。建设单位应对施工承包商的运输路线提出要求，要求承包商必须提供建材运输路线，并请环保监理或环保专业人员确认施工路线在减缓噪声影响方面的合理性。建设单位根据确定后的运输路线进行监督，并可联合地方生态环境主管部门加强监督力度。</w:t>
      </w:r>
    </w:p>
    <w:p w14:paraId="167F38BA">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(3)施工时要进行良好的施工管理和采取必要的降噪措施，如临时声屏障围护等，控制同时作业的高噪声设备的数量，以符合《建筑施工场界环境噪声排放标准》(GB12523-2011)相关标准。合理布置施工平面和施工的顺序，充分利用地形对噪音的阻隔作用，调整作业工时，减少噪声对周边环境敏感点的影响。</w:t>
      </w:r>
    </w:p>
    <w:p w14:paraId="28856040">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(4)开展施工期环境监理，加强施工期噪声监测，发现噪声污染，及时采取有效的噪声污染防治措施，可设置移动式声屏障，降低项目施工噪声对周边的不利影响。</w:t>
      </w:r>
    </w:p>
    <w:p w14:paraId="097FFDF0">
      <w:pPr>
        <w:pStyle w:val="11"/>
        <w:keepNext/>
        <w:keepLines/>
        <w:pageBreakBefore w:val="0"/>
        <w:widowControl w:val="0"/>
        <w:kinsoku/>
        <w:wordWrap/>
        <w:overflowPunct/>
        <w:topLinePunct w:val="0"/>
        <w:autoSpaceDE/>
        <w:autoSpaceDN/>
        <w:bidi w:val="0"/>
        <w:adjustRightInd/>
        <w:snapToGrid w:val="0"/>
        <w:spacing w:beforeLines="0" w:afterLines="0"/>
        <w:ind w:left="0"/>
        <w:textAlignment w:val="auto"/>
        <w:outlineLvl w:val="2"/>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bookmarkStart w:id="497" w:name="_Toc22431"/>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6.3.2 运营期声环境保护措施</w:t>
      </w:r>
      <w:bookmarkEnd w:id="497"/>
    </w:p>
    <w:p w14:paraId="695AAF5B">
      <w:pPr>
        <w:pageBreakBefore w:val="0"/>
        <w:widowControl w:val="0"/>
        <w:kinsoku/>
        <w:overflowPunct/>
        <w:autoSpaceDE/>
        <w:autoSpaceDN/>
        <w:bidi w:val="0"/>
        <w:snapToGrid w:val="0"/>
        <w:jc w:val="left"/>
        <w:textAlignment w:val="auto"/>
        <w:rPr>
          <w:rFonts w:hint="eastAsia" w:ascii="宋体" w:hAnsi="宋体" w:eastAsia="宋体"/>
          <w:sz w:val="24"/>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①</w:t>
      </w:r>
      <w:r>
        <w:rPr>
          <w:rFonts w:hint="eastAsia" w:ascii="宋体" w:hAnsi="宋体" w:eastAsia="宋体"/>
          <w:sz w:val="24"/>
        </w:rPr>
        <w:t>项目设计时应合理布局场区内风机点位。建议风场装机区域范围内距离风机</w:t>
      </w:r>
    </w:p>
    <w:p w14:paraId="06E24E1E">
      <w:pPr>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eastAsia" w:ascii="TimesNewRomanPSMT" w:hAnsi="TimesNewRomanPSMT" w:eastAsia="TimesNewRomanPSMT"/>
          <w:sz w:val="24"/>
        </w:rPr>
        <w:t>200</w:t>
      </w:r>
      <w:r>
        <w:rPr>
          <w:rFonts w:hint="eastAsia" w:ascii="宋体" w:hAnsi="宋体" w:eastAsia="宋体"/>
          <w:sz w:val="24"/>
        </w:rPr>
        <w:t>米范围设为噪声防护距离，该防护距离内不宜新建对噪声敏感的建筑物如学校、医院和村庄居民点等</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w:t>
      </w:r>
    </w:p>
    <w:p w14:paraId="5D1AED2F">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②风机采购时应注意风机的选型，选用低噪声风电机组并采取减振措施，安装减振基座。</w:t>
      </w:r>
    </w:p>
    <w:p w14:paraId="2C9B1CFD">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③提高风机机组的加工工艺和安装精度，使齿轮和轴承保持良好的润滑条件，避免或减少撞击力、周期力和摩擦力等。</w:t>
      </w:r>
    </w:p>
    <w:p w14:paraId="41348477">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④加强风机日常维护，定期检查风机机械系统，当发生故障时，应立即停机检查。</w:t>
      </w:r>
    </w:p>
    <w:p w14:paraId="6747590E">
      <w:pPr>
        <w:pageBreakBefore w:val="0"/>
        <w:widowControl w:val="0"/>
        <w:kinsoku/>
        <w:overflowPunct/>
        <w:autoSpaceDE/>
        <w:autoSpaceDN/>
        <w:bidi w:val="0"/>
        <w:snapToGrid w:val="0"/>
        <w:ind w:left="0" w:leftChars="0" w:firstLine="480" w:firstLineChars="200"/>
        <w:jc w:val="left"/>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eastAsia" w:ascii="宋体" w:hAnsi="宋体" w:eastAsia="宋体"/>
          <w:sz w:val="24"/>
        </w:rPr>
        <w:t>⑤选用低频风机，风机采取低噪声散热器，并在风机排风口处增加专用消声器，昼间采取额定转速运行，夜间降低机组转速等措施，不得降低区域声环境质量。</w:t>
      </w:r>
    </w:p>
    <w:p w14:paraId="333A2075">
      <w:pPr>
        <w:pStyle w:val="4"/>
        <w:keepNext/>
        <w:keepLines/>
        <w:pageBreakBefore w:val="0"/>
        <w:widowControl w:val="0"/>
        <w:numPr>
          <w:ilvl w:val="0"/>
          <w:numId w:val="0"/>
        </w:numPr>
        <w:tabs>
          <w:tab w:val="left" w:pos="630"/>
          <w:tab w:val="left" w:pos="3403"/>
        </w:tabs>
        <w:kinsoku/>
        <w:wordWrap w:val="0"/>
        <w:overflowPunct/>
        <w:topLinePunct w:val="0"/>
        <w:autoSpaceDE/>
        <w:autoSpaceDN/>
        <w:bidi w:val="0"/>
        <w:adjustRightInd/>
        <w:snapToGrid w:val="0"/>
        <w:spacing w:beforeLines="0" w:after="0" w:afterLines="0" w:line="360" w:lineRule="auto"/>
        <w:ind w:left="0" w:leftChars="0"/>
        <w:textAlignment w:val="auto"/>
        <w:outlineLvl w:val="1"/>
        <w:rPr>
          <w:rFonts w:hint="default" w:ascii="Times New Roman" w:hAnsi="Times New Roman" w:cs="Times New Roman" w:eastAsiaTheme="minorEastAsia"/>
          <w:color w:val="000000" w:themeColor="text1"/>
          <w:sz w:val="30"/>
          <w:highlight w:val="none"/>
          <w:lang w:val="en-US" w:eastAsia="zh-CN"/>
          <w14:textFill>
            <w14:solidFill>
              <w14:schemeClr w14:val="tx1"/>
            </w14:solidFill>
          </w14:textFill>
        </w:rPr>
      </w:pPr>
      <w:bookmarkStart w:id="498" w:name="_Toc18043"/>
      <w:bookmarkStart w:id="499" w:name="_Toc23803"/>
      <w:bookmarkStart w:id="500" w:name="_Toc16651"/>
      <w:r>
        <w:rPr>
          <w:rFonts w:hint="default" w:ascii="Times New Roman" w:hAnsi="Times New Roman" w:cs="Times New Roman" w:eastAsiaTheme="minorEastAsia"/>
          <w:color w:val="000000" w:themeColor="text1"/>
          <w:sz w:val="30"/>
          <w:highlight w:val="none"/>
          <w:lang w:val="en-US" w:eastAsia="zh-CN"/>
          <w14:textFill>
            <w14:solidFill>
              <w14:schemeClr w14:val="tx1"/>
            </w14:solidFill>
          </w14:textFill>
        </w:rPr>
        <w:t>6.4 固体废物污染防治措施</w:t>
      </w:r>
      <w:bookmarkEnd w:id="498"/>
      <w:bookmarkEnd w:id="499"/>
      <w:bookmarkEnd w:id="500"/>
    </w:p>
    <w:p w14:paraId="29620204">
      <w:pPr>
        <w:pStyle w:val="11"/>
        <w:keepNext/>
        <w:keepLines/>
        <w:pageBreakBefore w:val="0"/>
        <w:widowControl w:val="0"/>
        <w:kinsoku/>
        <w:wordWrap/>
        <w:overflowPunct/>
        <w:topLinePunct w:val="0"/>
        <w:autoSpaceDE/>
        <w:autoSpaceDN/>
        <w:bidi w:val="0"/>
        <w:adjustRightInd/>
        <w:snapToGrid w:val="0"/>
        <w:spacing w:beforeLines="0" w:afterLines="0"/>
        <w:ind w:left="0"/>
        <w:textAlignment w:val="auto"/>
        <w:outlineLvl w:val="2"/>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bookmarkStart w:id="501" w:name="_Toc18528"/>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6.4.1 施工期固体废物污染防治措施</w:t>
      </w:r>
      <w:bookmarkEnd w:id="501"/>
    </w:p>
    <w:p w14:paraId="534D7B2A">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本项目施工期间产生的垃圾主要为</w:t>
      </w:r>
      <w:r>
        <w:rPr>
          <w:rFonts w:hint="default" w:ascii="Times New Roman" w:hAnsi="Times New Roman" w:eastAsia="宋体" w:cs="Times New Roman"/>
          <w:color w:val="000000" w:themeColor="text1"/>
          <w:sz w:val="24"/>
          <w:szCs w:val="24"/>
          <w14:textFill>
            <w14:solidFill>
              <w14:schemeClr w14:val="tx1"/>
            </w14:solidFill>
          </w14:textFill>
        </w:rPr>
        <w:t>施工弃土、施工人</w:t>
      </w:r>
      <w:r>
        <w:rPr>
          <w:rFonts w:hint="default" w:ascii="Times New Roman" w:hAnsi="Times New Roman" w:eastAsia="宋体" w:cs="Times New Roman"/>
          <w:color w:val="000000" w:themeColor="text1"/>
          <w:spacing w:val="-1"/>
          <w:sz w:val="24"/>
          <w:szCs w:val="24"/>
          <w14:textFill>
            <w14:solidFill>
              <w14:schemeClr w14:val="tx1"/>
            </w14:solidFill>
          </w14:textFill>
        </w:rPr>
        <w:t>员产生的生活垃圾、废包装材料以及施工期结束后拆除的建筑垃圾</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w:t>
      </w:r>
    </w:p>
    <w:p w14:paraId="2922FD5F">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(1)施工弃土：本项目施工期间产生的垃圾主要为施工弃土、少量建筑废物和施工人员产生的生活垃圾。各地块多出土方内部调用，用作道路区填方，整个工程无弃方，本项目不设取弃土场。</w:t>
      </w:r>
    </w:p>
    <w:p w14:paraId="1DAC20D6">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(2)生活垃圾：本项目施工人员生活垃圾经场区内收集后，定期运送到周边生活垃圾中转站转运，统一处置。</w:t>
      </w:r>
    </w:p>
    <w:p w14:paraId="01FEB70C">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(3)废包装材料：废包装材料集中收集后，外售综合利用。</w:t>
      </w:r>
    </w:p>
    <w:p w14:paraId="5095A44E">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(4)建筑垃圾</w:t>
      </w:r>
    </w:p>
    <w:p w14:paraId="17DED54A">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建筑垃圾中可回收部</w:t>
      </w:r>
      <w:r>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分</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全部集中收集后，回收利用。不可回收的废砖瓦混凝土砌块拉运至乌鲁木齐市建筑垃圾填埋场处置。</w:t>
      </w:r>
    </w:p>
    <w:p w14:paraId="12D13094">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(5)为防止和减少施工期固体废物对环境的影响，建议采取如下措施：</w:t>
      </w:r>
    </w:p>
    <w:p w14:paraId="7489E8FE">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①施工过程中应加强对开挖出的土石方的规范的管理和处理，要充分利用土石方和建筑垃圾，确保产生的土方得到有效利用。为了保证建筑施工材料垃圾不进入周边环境，对各建筑施工材料垃圾临时堆放场所必须采取有效的工程防护措施，防止乱堆乱放。</w:t>
      </w:r>
    </w:p>
    <w:p w14:paraId="379B51EB">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②施工过程中产生的建筑垃圾清运必须限制在规定时段内进行，按指定路段行驶。车辆运输散体物和废弃物时，运输车辆必须做到装载适量，需要穿越施工场地外区域的车辆应加盖遮布，出工地前做好外部清洗，沿途不漏泥土、不飞扬。</w:t>
      </w:r>
    </w:p>
    <w:p w14:paraId="1A1A81D7">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③对有扬尘的废物，采用围隔的堆放方法处置；对砖瓦等块状和颗粒废物，可采用一般堆存的方法处理，但一定要将其最终运送到指定的场地。</w:t>
      </w:r>
    </w:p>
    <w:p w14:paraId="322C9FDE">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④对于施工垃圾，要求进行分类和处理，其中可利用的物料，应重复利或收购，如纸质、木质、金属性和玻璃质的垃圾可供收购站再利用，对不能利用的，应按要求运送到指定地点。</w:t>
      </w:r>
    </w:p>
    <w:p w14:paraId="631DD2B8">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⑤对于人员活动产生的分散生活垃圾，除对施工人员加强环境保护教育外，也应设立一些分散的小型垃圾收集器，如废物箱等加以收集，并派专人定时打扫清理。</w:t>
      </w:r>
    </w:p>
    <w:p w14:paraId="481CC860">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⑥施工过程中产生的各类固体废物堆场及堆料场设置不得占用柴北水源地二级保</w:t>
      </w:r>
    </w:p>
    <w:p w14:paraId="35B7F0A1">
      <w:pPr>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护区，避免项目施工活动对水源保护区产生影响。根据项目区域环境特点，本项目施工临建场地布设于</w:t>
      </w:r>
      <w:r>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西山地下饮用水源地二级保护区、甘河子（含铁路专供）地下饮用水源地二级保护区</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外。</w:t>
      </w:r>
    </w:p>
    <w:p w14:paraId="53DC0798">
      <w:pPr>
        <w:pStyle w:val="11"/>
        <w:keepNext/>
        <w:keepLines/>
        <w:pageBreakBefore w:val="0"/>
        <w:widowControl w:val="0"/>
        <w:kinsoku/>
        <w:wordWrap/>
        <w:overflowPunct/>
        <w:topLinePunct w:val="0"/>
        <w:autoSpaceDE/>
        <w:autoSpaceDN/>
        <w:bidi w:val="0"/>
        <w:adjustRightInd/>
        <w:snapToGrid w:val="0"/>
        <w:spacing w:beforeLines="0" w:afterLines="0"/>
        <w:ind w:left="0"/>
        <w:textAlignment w:val="auto"/>
        <w:outlineLvl w:val="2"/>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bookmarkStart w:id="502" w:name="_Toc265"/>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6.4.2 运营期固体废物污染防治措施</w:t>
      </w:r>
      <w:bookmarkEnd w:id="502"/>
    </w:p>
    <w:p w14:paraId="7FAF83A9">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t>（1）固体废物处置措施</w:t>
      </w:r>
    </w:p>
    <w:p w14:paraId="7298BE7C">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项目运营期产生的固体废物主要包括生活垃圾、废</w:t>
      </w:r>
      <w:r>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矿物油</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、含油抹布和废手套、风机报废零部件、废风机叶片等。</w:t>
      </w:r>
    </w:p>
    <w:p w14:paraId="21ECF3CE">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一般固废处置措施：</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巡检时产生的生活垃圾由检修人员随车拉运至就近生活垃圾转运站，由环卫部门统一处置</w:t>
      </w:r>
      <w:r>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风机废零部件集中收集后由厂家回收处置</w:t>
      </w:r>
      <w:r>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废风机叶片集中收集后由厂家回收处置。</w:t>
      </w:r>
    </w:p>
    <w:p w14:paraId="237D545E">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危废废物处置措施：</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检修产生的</w:t>
      </w:r>
      <w:r>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废矿物油</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属于危险废物</w:t>
      </w:r>
      <w:r>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，即产即清，交由有资质单位处置，不在场内暂存。</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根据《国家危险废物名录(202</w:t>
      </w:r>
      <w:r>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5</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年版)》附录“危险废物豁免管理清单”内容，在“分类收集”后全过程可豁免管理，</w:t>
      </w:r>
      <w:r>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由于风电场部分分机位于西山地下饮用水源地二级保护区、甘河子（含铁路专供）地下饮用水源地二级保护区及</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乌拉泊、柴西、柴北、西山、甘河子（含铁路专供）准保护区</w:t>
      </w:r>
      <w:r>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内，</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本</w:t>
      </w:r>
      <w:r>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次评价</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建议检修产生的含油抹布和废手套按照危险废物管理，即产即清，收集后委托有资质单位处置。</w:t>
      </w:r>
    </w:p>
    <w:p w14:paraId="1B41B5DD">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综上，本项目固体废物处理措施合理可行，各固体废物均得到了妥善处置，场区内实现了零排放，处理措施经济可行。</w:t>
      </w:r>
    </w:p>
    <w:p w14:paraId="074B91CB">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t>（</w:t>
      </w:r>
      <w:r>
        <w:rPr>
          <w:rFonts w:hint="eastAsia" w:cs="Times New Roman" w:eastAsiaTheme="minorEastAsia"/>
          <w:b/>
          <w:bCs/>
          <w:snapToGrid w:val="0"/>
          <w:color w:val="000000" w:themeColor="text1"/>
          <w:sz w:val="24"/>
          <w:highlight w:val="none"/>
          <w:lang w:val="en-US" w:eastAsia="zh-CN"/>
          <w14:textFill>
            <w14:solidFill>
              <w14:schemeClr w14:val="tx1"/>
            </w14:solidFill>
          </w14:textFill>
        </w:rPr>
        <w:t>2</w:t>
      </w:r>
      <w:r>
        <w:rPr>
          <w:rFonts w:hint="default"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t>）危险废物管理措施</w:t>
      </w:r>
    </w:p>
    <w:p w14:paraId="1221A8A6">
      <w:pPr>
        <w:ind w:left="0" w:leftChars="0" w:firstLine="480" w:firstLineChars="200"/>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根据《国家危险废物名录(202</w:t>
      </w:r>
      <w:r>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5</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年版)》规定，项目产生废物中属名录中的危险废物为废</w:t>
      </w:r>
      <w:r>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矿物油以及分类收集的</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含油抹布和废手套</w:t>
      </w:r>
      <w:r>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，其</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收集和临时贮存须满足《危险废物收集 贮存 运输技术规范》(HJ2025-2012)、《危险废物贮存污染控制标准》(GB18597-2023)的要求。同时要求禁止危险废物倾倒、堆放至</w:t>
      </w:r>
      <w:r>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西山地下饮用水源地二级保护区、甘河子（含铁路专供）地下饮用水源地二级保护区</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及乌拉泊、柴西、柴北、西山、甘河子（含铁路专供）准保护区范围内。</w:t>
      </w:r>
    </w:p>
    <w:p w14:paraId="0AB91D6A">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t>1)危险废物的收集</w:t>
      </w:r>
    </w:p>
    <w:p w14:paraId="765AFD7F">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危险废物的收集及厂内、外转运须满足《危险废物收集 贮存 运输技术规范》(HJ2025-2012)相关要求。</w:t>
      </w:r>
    </w:p>
    <w:p w14:paraId="6AAE85F0">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危险废物的收集应根据危险废物产生的工艺特征、排放周期、危险废物特性、废物管理计划等因素制定收集计划。危险废物的收集应制定详细的操作规程，内容至少应包括适用范围、操作程序和方法、专用设备和工具、转移和交接、安全保障和应急防护等。</w:t>
      </w:r>
    </w:p>
    <w:p w14:paraId="167EE623">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危险废物收集和转运作业人员应根据工作需要配备必要的个人防护装备，如手套、防护镜、防护服、防毒面具或口罩等。</w:t>
      </w:r>
    </w:p>
    <w:p w14:paraId="4AAE0F04">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在危险废物的收集和转运过程中，应采取相应的安全防护和污染防治措施，包括防爆、防火、防中毒、防感染、防泄漏、防飞扬、防雨或其它防止污染环境的措施。</w:t>
      </w:r>
    </w:p>
    <w:p w14:paraId="2397DD13">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危险废物内部转运作业须满足如下要求：</w:t>
      </w:r>
    </w:p>
    <w:p w14:paraId="7ABD95E9">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①危险废物内部转运应综合考虑厂区的实际情况确定转运路线，尽量避开办公区和生活区。</w:t>
      </w:r>
    </w:p>
    <w:p w14:paraId="2F3BB377">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②危险废物内部转运作业应采用专用的工具，危险废物内部转运应参照本标准附录B填写《危险废物厂内转运记录表》。</w:t>
      </w:r>
    </w:p>
    <w:p w14:paraId="4AEC60F0">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③危险废物内部转运结束后，应对转运路线进行检查和清理，确保无危险废物遗失在转运路线上，并对转运工具进行清洗。</w:t>
      </w:r>
    </w:p>
    <w:p w14:paraId="5808A296">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收集不具备运输包装条件的危险废物时，且危险特性不会对环境和操作人员造成重大危害，可在临时包装后进行暂时贮存，但正式运输前应按本标准要求进行包装。</w:t>
      </w:r>
    </w:p>
    <w:p w14:paraId="2058E2CC">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t>2)危险废物的临时贮存</w:t>
      </w:r>
    </w:p>
    <w:p w14:paraId="772C856F">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pPr>
      <w:r>
        <w:rPr>
          <w:rFonts w:hint="eastAsia" w:cs="Times New Roman" w:eastAsiaTheme="minorEastAsia"/>
          <w:snapToGrid w:val="0"/>
          <w:color w:val="000000" w:themeColor="text1"/>
          <w:sz w:val="24"/>
          <w:highlight w:val="none"/>
          <w:lang w:val="en-US" w:eastAsia="zh-CN"/>
          <w14:textFill>
            <w14:solidFill>
              <w14:schemeClr w14:val="tx1"/>
            </w14:solidFill>
          </w14:textFill>
        </w:rPr>
        <w:t>本项目风机检修过程中产生的</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危险废物即产即清，</w:t>
      </w:r>
      <w:r>
        <w:rPr>
          <w:rFonts w:hint="eastAsia" w:cs="Times New Roman" w:eastAsiaTheme="minorEastAsia"/>
          <w:snapToGrid w:val="0"/>
          <w:color w:val="000000" w:themeColor="text1"/>
          <w:sz w:val="24"/>
          <w:highlight w:val="none"/>
          <w:lang w:val="en-US" w:eastAsia="zh-CN"/>
          <w14:textFill>
            <w14:solidFill>
              <w14:schemeClr w14:val="tx1"/>
            </w14:solidFill>
          </w14:textFill>
        </w:rPr>
        <w:t>不在场内贮存，</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收集后委托有资质单位处置。</w:t>
      </w:r>
    </w:p>
    <w:p w14:paraId="1200E9F6">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b/>
          <w:bCs/>
          <w:snapToGrid w:val="0"/>
          <w:color w:val="000000" w:themeColor="text1"/>
          <w:sz w:val="24"/>
          <w:highlight w:val="none"/>
          <w:lang w:val="en-US" w:eastAsia="zh-CN"/>
          <w14:textFill>
            <w14:solidFill>
              <w14:schemeClr w14:val="tx1"/>
            </w14:solidFill>
          </w14:textFill>
        </w:rPr>
        <w:t>3)危险废物转移管理要求</w:t>
      </w:r>
    </w:p>
    <w:p w14:paraId="76683D86">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根据《危险废物转移管理办法》(部令 第23号，2022年1月1日)，转移危险废物的，应当通过国家危险废物信息管理系统(以下简称信息系统)填写、运行危险废物电子转移联单，并依照国家有关规定公开危险废物转移相关污染环境防治信息。</w:t>
      </w:r>
    </w:p>
    <w:p w14:paraId="1DC6A1B2">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危险废物移出人、危险废物承运人、危险废物接受人(以下分别简称移出人、承运人和接受人)在危险废物转移过程中应当采取防扬散、防流失、防渗漏或者其他防止污染环境的措施，不得擅自倾倒、堆放、丢弃、遗撒危险废物，并对所造成的环境污染及生态破坏依法承担责任</w:t>
      </w:r>
    </w:p>
    <w:p w14:paraId="04168405">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auto"/>
          <w:sz w:val="24"/>
          <w:highlight w:val="none"/>
          <w:lang w:val="en-US" w:eastAsia="zh-CN"/>
        </w:rPr>
      </w:pPr>
      <w:r>
        <w:rPr>
          <w:rFonts w:hint="default" w:ascii="Times New Roman" w:hAnsi="Times New Roman" w:cs="Times New Roman" w:eastAsiaTheme="minorEastAsia"/>
          <w:snapToGrid w:val="0"/>
          <w:color w:val="auto"/>
          <w:sz w:val="24"/>
          <w:highlight w:val="none"/>
          <w:lang w:val="en-US" w:eastAsia="zh-CN"/>
        </w:rPr>
        <w:t>移出人应当履行以下义务：</w:t>
      </w:r>
    </w:p>
    <w:p w14:paraId="1EC55518">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auto"/>
          <w:sz w:val="24"/>
          <w:highlight w:val="none"/>
          <w:lang w:val="en-US" w:eastAsia="zh-CN"/>
        </w:rPr>
      </w:pPr>
      <w:r>
        <w:rPr>
          <w:rFonts w:hint="default" w:ascii="Times New Roman" w:hAnsi="Times New Roman" w:cs="Times New Roman" w:eastAsiaTheme="minorEastAsia"/>
          <w:snapToGrid w:val="0"/>
          <w:color w:val="auto"/>
          <w:sz w:val="24"/>
          <w:highlight w:val="none"/>
          <w:lang w:val="en-US" w:eastAsia="zh-CN"/>
        </w:rPr>
        <w:t>1)对承运人或者接受人的主体资格和技术能力进行核实，依法签订书面合同，并在合同中约定运输、贮存、利用、处置危险废物的污染防治要求及相关责任；</w:t>
      </w:r>
    </w:p>
    <w:p w14:paraId="13149118">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auto"/>
          <w:sz w:val="24"/>
          <w:highlight w:val="none"/>
          <w:lang w:val="en-US" w:eastAsia="zh-CN"/>
        </w:rPr>
      </w:pPr>
      <w:r>
        <w:rPr>
          <w:rFonts w:hint="default" w:ascii="Times New Roman" w:hAnsi="Times New Roman" w:cs="Times New Roman" w:eastAsiaTheme="minorEastAsia"/>
          <w:snapToGrid w:val="0"/>
          <w:color w:val="auto"/>
          <w:sz w:val="24"/>
          <w:highlight w:val="none"/>
          <w:lang w:val="en-US" w:eastAsia="zh-CN"/>
        </w:rPr>
        <w:t>2)制定危险废物管理计划，明确拟转移危险废物的种类、重量(数量)和流向等信息；</w:t>
      </w:r>
    </w:p>
    <w:p w14:paraId="3D158B4B">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auto"/>
          <w:sz w:val="24"/>
          <w:highlight w:val="none"/>
          <w:lang w:val="en-US" w:eastAsia="zh-CN"/>
        </w:rPr>
      </w:pPr>
      <w:r>
        <w:rPr>
          <w:rFonts w:hint="default" w:ascii="Times New Roman" w:hAnsi="Times New Roman" w:cs="Times New Roman" w:eastAsiaTheme="minorEastAsia"/>
          <w:snapToGrid w:val="0"/>
          <w:color w:val="auto"/>
          <w:sz w:val="24"/>
          <w:highlight w:val="none"/>
          <w:lang w:val="en-US" w:eastAsia="zh-CN"/>
        </w:rPr>
        <w:t>3)建立危险废物管理台账，对转移的危险废物进行计量称重，如实记录、妥善保管转移危险废物的种类、重量(数量)和接受人等相关信息；</w:t>
      </w:r>
    </w:p>
    <w:p w14:paraId="7E703CCE">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auto"/>
          <w:sz w:val="24"/>
          <w:highlight w:val="none"/>
          <w:lang w:val="en-US" w:eastAsia="zh-CN"/>
        </w:rPr>
      </w:pPr>
      <w:r>
        <w:rPr>
          <w:rFonts w:hint="default" w:ascii="Times New Roman" w:hAnsi="Times New Roman" w:cs="Times New Roman" w:eastAsiaTheme="minorEastAsia"/>
          <w:snapToGrid w:val="0"/>
          <w:color w:val="auto"/>
          <w:sz w:val="24"/>
          <w:highlight w:val="none"/>
          <w:lang w:val="en-US" w:eastAsia="zh-CN"/>
        </w:rPr>
        <w:t>4)填写、运行危险废物转移联单，在危险废物转移联单中如实填写移出人、承运人、接受人信息，转移危险废物的种类、重量(数量)、危险特性等信息，以及突发环境事件的防范措施等；</w:t>
      </w:r>
    </w:p>
    <w:p w14:paraId="30F072EE">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auto"/>
          <w:sz w:val="24"/>
          <w:highlight w:val="none"/>
          <w:lang w:val="en-US" w:eastAsia="zh-CN"/>
        </w:rPr>
      </w:pPr>
      <w:r>
        <w:rPr>
          <w:rFonts w:hint="default" w:ascii="Times New Roman" w:hAnsi="Times New Roman" w:cs="Times New Roman" w:eastAsiaTheme="minorEastAsia"/>
          <w:snapToGrid w:val="0"/>
          <w:color w:val="auto"/>
          <w:sz w:val="24"/>
          <w:highlight w:val="none"/>
          <w:lang w:val="en-US" w:eastAsia="zh-CN"/>
        </w:rPr>
        <w:t>5)及时核实接受人贮存、利用或者处置相关危险废物情况；</w:t>
      </w:r>
    </w:p>
    <w:p w14:paraId="026A6829">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auto"/>
          <w:sz w:val="24"/>
          <w:highlight w:val="none"/>
          <w:lang w:val="en-US" w:eastAsia="zh-CN"/>
        </w:rPr>
      </w:pPr>
      <w:r>
        <w:rPr>
          <w:rFonts w:hint="default" w:ascii="Times New Roman" w:hAnsi="Times New Roman" w:cs="Times New Roman" w:eastAsiaTheme="minorEastAsia"/>
          <w:snapToGrid w:val="0"/>
          <w:color w:val="auto"/>
          <w:sz w:val="24"/>
          <w:highlight w:val="none"/>
          <w:lang w:val="en-US" w:eastAsia="zh-CN"/>
        </w:rPr>
        <w:t>6)法律法规规定的其他义务。</w:t>
      </w:r>
    </w:p>
    <w:p w14:paraId="5A6E06E7">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auto"/>
          <w:sz w:val="24"/>
          <w:highlight w:val="none"/>
          <w:lang w:val="en-US" w:eastAsia="zh-CN"/>
        </w:rPr>
      </w:pPr>
      <w:r>
        <w:rPr>
          <w:rFonts w:hint="default" w:ascii="Times New Roman" w:hAnsi="Times New Roman" w:cs="Times New Roman" w:eastAsiaTheme="minorEastAsia"/>
          <w:snapToGrid w:val="0"/>
          <w:color w:val="auto"/>
          <w:sz w:val="24"/>
          <w:highlight w:val="none"/>
          <w:lang w:val="en-US" w:eastAsia="zh-CN"/>
        </w:rPr>
        <w:t>移出人应当按照国家有关要求开展危险废物鉴别。禁止将危险废物以副产品等名义提供或者委托给无危险废物经营许可证的单位或者其他生产经营者从事收集、贮存、利用、处置活动。</w:t>
      </w:r>
    </w:p>
    <w:p w14:paraId="67538ACA">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auto"/>
          <w:sz w:val="24"/>
          <w:highlight w:val="none"/>
          <w:lang w:val="en-US" w:eastAsia="zh-CN"/>
        </w:rPr>
      </w:pPr>
      <w:r>
        <w:rPr>
          <w:rFonts w:hint="default" w:ascii="Times New Roman" w:hAnsi="Times New Roman" w:cs="Times New Roman" w:eastAsiaTheme="minorEastAsia"/>
          <w:snapToGrid w:val="0"/>
          <w:color w:val="auto"/>
          <w:sz w:val="24"/>
          <w:highlight w:val="none"/>
          <w:lang w:val="en-US" w:eastAsia="zh-CN"/>
        </w:rPr>
        <w:t>危险废物转移联单的运行和管理：</w:t>
      </w:r>
    </w:p>
    <w:p w14:paraId="5D3F7E0B">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auto"/>
          <w:sz w:val="24"/>
          <w:highlight w:val="none"/>
          <w:lang w:val="en-US" w:eastAsia="zh-CN"/>
        </w:rPr>
      </w:pPr>
      <w:r>
        <w:rPr>
          <w:rFonts w:hint="default" w:ascii="Times New Roman" w:hAnsi="Times New Roman" w:cs="Times New Roman" w:eastAsiaTheme="minorEastAsia"/>
          <w:snapToGrid w:val="0"/>
          <w:color w:val="auto"/>
          <w:sz w:val="24"/>
          <w:highlight w:val="none"/>
          <w:lang w:val="en-US" w:eastAsia="zh-CN"/>
        </w:rPr>
        <w:t>危险废物转移联单应当根据危险废物管理计划中填报的危险废物转移等备案信息填写、运行。</w:t>
      </w:r>
    </w:p>
    <w:p w14:paraId="3006DFF4">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auto"/>
          <w:sz w:val="24"/>
          <w:highlight w:val="none"/>
          <w:lang w:val="en-US" w:eastAsia="zh-CN"/>
        </w:rPr>
      </w:pPr>
      <w:r>
        <w:rPr>
          <w:rFonts w:hint="default" w:ascii="Times New Roman" w:hAnsi="Times New Roman" w:cs="Times New Roman" w:eastAsiaTheme="minorEastAsia"/>
          <w:snapToGrid w:val="0"/>
          <w:color w:val="auto"/>
          <w:sz w:val="24"/>
          <w:highlight w:val="none"/>
          <w:lang w:val="en-US" w:eastAsia="zh-CN"/>
        </w:rPr>
        <w:t>危险废物转移联单实行全国统一编号，编号由十四位阿拉伯数字组成。</w:t>
      </w:r>
    </w:p>
    <w:p w14:paraId="70BCFA16">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auto"/>
          <w:sz w:val="24"/>
          <w:highlight w:val="none"/>
          <w:lang w:val="en-US" w:eastAsia="zh-CN"/>
        </w:rPr>
      </w:pPr>
      <w:r>
        <w:rPr>
          <w:rFonts w:hint="default" w:ascii="Times New Roman" w:hAnsi="Times New Roman" w:cs="Times New Roman" w:eastAsiaTheme="minorEastAsia"/>
          <w:snapToGrid w:val="0"/>
          <w:color w:val="auto"/>
          <w:sz w:val="24"/>
          <w:highlight w:val="none"/>
          <w:lang w:val="en-US" w:eastAsia="zh-CN"/>
        </w:rPr>
        <w:t>移出人每转移一车(船或者其他运输工具)次同类危险废物，应当填写、运行一份危险废物转移联单；每车(船或者其他运输工具)次转移多类危险废物的，可以填写、运行一份危险废物转移联单，也可以每一类危险废物填写、运行一份危险废物转移联单。</w:t>
      </w:r>
    </w:p>
    <w:p w14:paraId="00B47461">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auto"/>
          <w:sz w:val="24"/>
          <w:highlight w:val="none"/>
          <w:lang w:val="en-US" w:eastAsia="zh-CN"/>
        </w:rPr>
      </w:pPr>
      <w:r>
        <w:rPr>
          <w:rFonts w:hint="default" w:ascii="Times New Roman" w:hAnsi="Times New Roman" w:cs="Times New Roman" w:eastAsiaTheme="minorEastAsia"/>
          <w:snapToGrid w:val="0"/>
          <w:color w:val="auto"/>
          <w:sz w:val="24"/>
          <w:highlight w:val="none"/>
          <w:lang w:val="en-US" w:eastAsia="zh-CN"/>
        </w:rPr>
        <w:t>使用同一车(船或者其他运输工具)一次为多个移出人转移危险废物的，每个移出人应当分别填写、运行危险废物转移联单。</w:t>
      </w:r>
    </w:p>
    <w:p w14:paraId="15C38065">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auto"/>
          <w:sz w:val="24"/>
          <w:highlight w:val="none"/>
          <w:lang w:val="en-US" w:eastAsia="zh-CN"/>
        </w:rPr>
      </w:pPr>
      <w:r>
        <w:rPr>
          <w:rFonts w:hint="default" w:ascii="Times New Roman" w:hAnsi="Times New Roman" w:cs="Times New Roman" w:eastAsiaTheme="minorEastAsia"/>
          <w:snapToGrid w:val="0"/>
          <w:color w:val="auto"/>
          <w:sz w:val="24"/>
          <w:highlight w:val="none"/>
          <w:lang w:val="en-US" w:eastAsia="zh-CN"/>
        </w:rPr>
        <w:t>危险废物电子转移联单数据应当在信息系统中至少保存十年。</w:t>
      </w:r>
    </w:p>
    <w:p w14:paraId="78C177EC">
      <w:pPr>
        <w:pStyle w:val="4"/>
        <w:keepNext/>
        <w:keepLines/>
        <w:pageBreakBefore w:val="0"/>
        <w:widowControl w:val="0"/>
        <w:numPr>
          <w:ilvl w:val="0"/>
          <w:numId w:val="0"/>
        </w:numPr>
        <w:tabs>
          <w:tab w:val="left" w:pos="630"/>
          <w:tab w:val="left" w:pos="3403"/>
        </w:tabs>
        <w:kinsoku/>
        <w:wordWrap w:val="0"/>
        <w:overflowPunct/>
        <w:topLinePunct w:val="0"/>
        <w:autoSpaceDE/>
        <w:autoSpaceDN/>
        <w:bidi w:val="0"/>
        <w:adjustRightInd/>
        <w:snapToGrid/>
        <w:spacing w:before="0" w:beforeLines="0" w:after="0" w:afterLines="0" w:line="360" w:lineRule="auto"/>
        <w:ind w:left="0" w:leftChars="0"/>
        <w:textAlignment w:val="auto"/>
        <w:outlineLvl w:val="1"/>
        <w:rPr>
          <w:rFonts w:hint="default" w:ascii="Times New Roman" w:hAnsi="Times New Roman" w:cs="Times New Roman" w:eastAsiaTheme="minorEastAsia"/>
          <w:color w:val="auto"/>
          <w:sz w:val="30"/>
          <w:highlight w:val="none"/>
          <w:lang w:val="en-US" w:eastAsia="zh-CN"/>
        </w:rPr>
      </w:pPr>
      <w:bookmarkStart w:id="503" w:name="_Toc28121"/>
      <w:bookmarkStart w:id="504" w:name="_Toc24258"/>
      <w:bookmarkStart w:id="505" w:name="_Toc4484"/>
      <w:r>
        <w:rPr>
          <w:rFonts w:hint="default" w:ascii="Times New Roman" w:hAnsi="Times New Roman" w:cs="Times New Roman" w:eastAsiaTheme="minorEastAsia"/>
          <w:color w:val="auto"/>
          <w:sz w:val="30"/>
          <w:highlight w:val="none"/>
          <w:lang w:val="en-US" w:eastAsia="zh-CN"/>
        </w:rPr>
        <w:t>6.5 生态环境保护措施</w:t>
      </w:r>
      <w:bookmarkEnd w:id="503"/>
      <w:bookmarkEnd w:id="504"/>
      <w:bookmarkEnd w:id="505"/>
    </w:p>
    <w:p w14:paraId="7F4C980F">
      <w:pPr>
        <w:pStyle w:val="11"/>
        <w:keepNext/>
        <w:keepLines/>
        <w:pageBreakBefore w:val="0"/>
        <w:widowControl w:val="0"/>
        <w:kinsoku/>
        <w:wordWrap/>
        <w:overflowPunct/>
        <w:topLinePunct w:val="0"/>
        <w:autoSpaceDE/>
        <w:autoSpaceDN/>
        <w:bidi w:val="0"/>
        <w:adjustRightInd/>
        <w:snapToGrid/>
        <w:ind w:left="0"/>
        <w:textAlignment w:val="auto"/>
        <w:outlineLvl w:val="2"/>
        <w:rPr>
          <w:rFonts w:hint="default" w:ascii="Times New Roman" w:hAnsi="Times New Roman" w:cs="Times New Roman" w:eastAsiaTheme="minorEastAsia"/>
          <w:color w:val="auto"/>
          <w:highlight w:val="none"/>
          <w:lang w:val="en-US" w:eastAsia="zh-CN"/>
        </w:rPr>
      </w:pPr>
      <w:bookmarkStart w:id="506" w:name="_Toc4969"/>
      <w:r>
        <w:rPr>
          <w:rFonts w:hint="default" w:ascii="Times New Roman" w:hAnsi="Times New Roman" w:cs="Times New Roman" w:eastAsiaTheme="minorEastAsia"/>
          <w:color w:val="auto"/>
          <w:highlight w:val="none"/>
          <w:lang w:val="en-US" w:eastAsia="zh-CN"/>
        </w:rPr>
        <w:t>6.5.1施工期生态防护措施</w:t>
      </w:r>
      <w:bookmarkEnd w:id="506"/>
    </w:p>
    <w:p w14:paraId="18DCCC4E">
      <w:pPr>
        <w:keepNext w:val="0"/>
        <w:keepLines w:val="0"/>
        <w:pageBreakBefore w:val="0"/>
        <w:widowControl w:val="0"/>
        <w:numPr>
          <w:ilvl w:val="0"/>
          <w:numId w:val="0"/>
        </w:numPr>
        <w:tabs>
          <w:tab w:val="left" w:pos="1260"/>
        </w:tabs>
        <w:kinsoku/>
        <w:wordWrap/>
        <w:overflowPunct/>
        <w:topLinePunct w:val="0"/>
        <w:autoSpaceDE/>
        <w:autoSpaceDN/>
        <w:bidi w:val="0"/>
        <w:adjustRightInd/>
        <w:snapToGrid/>
        <w:spacing w:line="360" w:lineRule="auto"/>
        <w:ind w:left="0"/>
        <w:textAlignment w:val="auto"/>
        <w:outlineLvl w:val="3"/>
        <w:rPr>
          <w:rFonts w:hint="default" w:ascii="Times New Roman" w:hAnsi="Times New Roman" w:cs="Times New Roman" w:eastAsiaTheme="minorEastAsia"/>
          <w:b/>
          <w:bCs/>
          <w:snapToGrid w:val="0"/>
          <w:color w:val="auto"/>
          <w:sz w:val="24"/>
          <w:highlight w:val="none"/>
          <w:lang w:val="en-US" w:eastAsia="zh-CN"/>
        </w:rPr>
      </w:pPr>
      <w:r>
        <w:rPr>
          <w:rFonts w:hint="default" w:ascii="Times New Roman" w:hAnsi="Times New Roman" w:cs="Times New Roman" w:eastAsiaTheme="minorEastAsia"/>
          <w:b/>
          <w:bCs/>
          <w:snapToGrid w:val="0"/>
          <w:color w:val="auto"/>
          <w:sz w:val="24"/>
          <w:highlight w:val="none"/>
          <w:lang w:val="en-US" w:eastAsia="zh-CN"/>
        </w:rPr>
        <w:t>6.5.1.1植被保护和恢复措施</w:t>
      </w:r>
    </w:p>
    <w:p w14:paraId="5873A7A6">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auto"/>
          <w:sz w:val="24"/>
          <w:highlight w:val="none"/>
          <w:lang w:val="en-US" w:eastAsia="zh-CN"/>
        </w:rPr>
      </w:pPr>
      <w:r>
        <w:rPr>
          <w:rFonts w:hint="default" w:ascii="Times New Roman" w:hAnsi="Times New Roman" w:cs="Times New Roman" w:eastAsiaTheme="minorEastAsia"/>
          <w:snapToGrid w:val="0"/>
          <w:color w:val="auto"/>
          <w:sz w:val="24"/>
          <w:highlight w:val="none"/>
          <w:lang w:val="en-US" w:eastAsia="zh-CN"/>
        </w:rPr>
        <w:t>生态影响的避让就是采取适当的措施，尽可能在最大程度上避免不利的生态影响。生态影响的避让是对具有重要生态功能的环境予以绝对保护而采取的措施。一般通过更改项目选址、工程设计、施工方案，道路改线，变更项目内容或规模等手段避免项目造成难以挽回的环境损失。根据本项目特点，建议以下生态影响的保护措施：</w:t>
      </w:r>
    </w:p>
    <w:p w14:paraId="43705D85">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auto"/>
          <w:sz w:val="24"/>
          <w:highlight w:val="none"/>
          <w:lang w:val="en-US" w:eastAsia="zh-CN"/>
        </w:rPr>
      </w:pPr>
      <w:r>
        <w:rPr>
          <w:rFonts w:hint="default" w:ascii="Times New Roman" w:hAnsi="Times New Roman" w:cs="Times New Roman" w:eastAsiaTheme="minorEastAsia"/>
          <w:snapToGrid w:val="0"/>
          <w:color w:val="auto"/>
          <w:sz w:val="24"/>
          <w:highlight w:val="none"/>
          <w:lang w:val="en-US" w:eastAsia="zh-CN"/>
        </w:rPr>
        <w:t>(1)优化工程设计，占地采取“永临结合”的方式。施工道路尽量利用已有道路作为施工道路，施工期临时道路与检修道路合并规划，</w:t>
      </w:r>
      <w:r>
        <w:rPr>
          <w:rFonts w:hint="default" w:ascii="Times New Roman" w:hAnsi="Times New Roman" w:cs="Times New Roman" w:eastAsiaTheme="minorEastAsia"/>
          <w:snapToGrid w:val="0"/>
          <w:color w:val="auto"/>
          <w:kern w:val="0"/>
          <w:sz w:val="24"/>
          <w:highlight w:val="none"/>
          <w:lang w:val="en-US" w:eastAsia="zh-CN"/>
        </w:rPr>
        <w:t>依托现有风电场区检修道路并综合考虑兼做运营期检修道路布设，</w:t>
      </w:r>
      <w:r>
        <w:rPr>
          <w:rFonts w:hint="default" w:ascii="Times New Roman" w:hAnsi="Times New Roman" w:cs="Times New Roman" w:eastAsiaTheme="minorEastAsia"/>
          <w:snapToGrid w:val="0"/>
          <w:color w:val="auto"/>
          <w:sz w:val="24"/>
          <w:highlight w:val="none"/>
          <w:lang w:val="en-US" w:eastAsia="zh-CN"/>
        </w:rPr>
        <w:t>满足施工运输和日常巡修的要求，控制占地面积，减少对植被的破坏。将集电线路直埋电缆敷设于场内道路路肩位置，减少集电线路开槽对植被的破坏。</w:t>
      </w:r>
    </w:p>
    <w:p w14:paraId="57680D3C">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auto"/>
          <w:sz w:val="24"/>
          <w:highlight w:val="none"/>
          <w:lang w:val="en-US" w:eastAsia="zh-CN"/>
        </w:rPr>
      </w:pPr>
      <w:r>
        <w:rPr>
          <w:rFonts w:hint="default" w:ascii="Times New Roman" w:hAnsi="Times New Roman" w:cs="Times New Roman" w:eastAsiaTheme="minorEastAsia"/>
          <w:snapToGrid w:val="0"/>
          <w:color w:val="auto"/>
          <w:sz w:val="24"/>
          <w:highlight w:val="none"/>
          <w:lang w:val="en-US" w:eastAsia="zh-CN"/>
        </w:rPr>
        <w:t>(2)优化施工时间。在施工时间上，应尽量选择在秋冬季节，此时植物多已落叶，种子传播多已完成，植株多处于滞育期，生长发育变缓，植物抗逆性较强，在该时期施工有利于植物及植被的恢复。应避免在雨季施工，减少因雨水冲刷引起的水土流失以及地表土壤的污染。</w:t>
      </w:r>
    </w:p>
    <w:p w14:paraId="2EF56E5E">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auto"/>
          <w:sz w:val="24"/>
          <w:highlight w:val="none"/>
          <w:lang w:val="en-US" w:eastAsia="zh-CN"/>
        </w:rPr>
      </w:pPr>
      <w:r>
        <w:rPr>
          <w:rFonts w:hint="default" w:ascii="Times New Roman" w:hAnsi="Times New Roman" w:cs="Times New Roman" w:eastAsiaTheme="minorEastAsia"/>
          <w:snapToGrid w:val="0"/>
          <w:color w:val="auto"/>
          <w:sz w:val="24"/>
          <w:highlight w:val="none"/>
          <w:lang w:val="en-US" w:eastAsia="zh-CN"/>
        </w:rPr>
        <w:t>(3)施工活动要保证在划定的施工红线范围内进行，避免人为踩踏、机械碾压对施工范围外植被的破坏。</w:t>
      </w:r>
    </w:p>
    <w:p w14:paraId="2B48DAE4">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auto"/>
          <w:sz w:val="24"/>
          <w:highlight w:val="none"/>
          <w:lang w:val="en-US" w:eastAsia="zh-CN"/>
        </w:rPr>
      </w:pPr>
      <w:r>
        <w:rPr>
          <w:rFonts w:hint="default" w:ascii="Times New Roman" w:hAnsi="Times New Roman" w:cs="Times New Roman" w:eastAsiaTheme="minorEastAsia"/>
          <w:snapToGrid w:val="0"/>
          <w:color w:val="auto"/>
          <w:sz w:val="24"/>
          <w:highlight w:val="none"/>
          <w:lang w:val="en-US" w:eastAsia="zh-CN"/>
        </w:rPr>
        <w:t>(4)施工期临时道路最大程度利用现有道路，道路选线已考虑土石方平衡，采用风电场区多余土石方填平坑凹，后铺设碎石，减少高挖深填，减缓景观破坏程度。</w:t>
      </w:r>
    </w:p>
    <w:p w14:paraId="6FC9497E">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FF0000"/>
          <w:sz w:val="24"/>
          <w:highlight w:val="none"/>
          <w:lang w:val="en-US" w:eastAsia="zh-CN"/>
        </w:rPr>
      </w:pPr>
      <w:r>
        <w:rPr>
          <w:rFonts w:hint="default" w:ascii="Times New Roman" w:hAnsi="Times New Roman" w:cs="Times New Roman" w:eastAsiaTheme="minorEastAsia"/>
          <w:snapToGrid w:val="0"/>
          <w:color w:val="auto"/>
          <w:sz w:val="24"/>
          <w:highlight w:val="none"/>
          <w:lang w:val="en-US" w:eastAsia="zh-CN"/>
        </w:rPr>
        <w:t>(5)运输粉末样散料的车辆应用防尘篷布遮盖严实。粉末样散料的堆存应租用或自建仓库。仓库应建封闭式库顶，保证无雨水滴漏，四周要建排水沟渠，以收集雨水积水，防止淹没库房和自由漫流。防止粉尘对周边植被及土壤产生间接影响。</w:t>
      </w:r>
    </w:p>
    <w:p w14:paraId="218A771B">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auto"/>
          <w:sz w:val="24"/>
          <w:highlight w:val="none"/>
          <w:lang w:val="en-US" w:eastAsia="zh-CN"/>
        </w:rPr>
      </w:pPr>
      <w:r>
        <w:rPr>
          <w:rFonts w:hint="default" w:ascii="Times New Roman" w:hAnsi="Times New Roman" w:cs="Times New Roman" w:eastAsiaTheme="minorEastAsia"/>
          <w:snapToGrid w:val="0"/>
          <w:color w:val="auto"/>
          <w:sz w:val="24"/>
          <w:highlight w:val="none"/>
          <w:lang w:val="en-US" w:eastAsia="zh-CN"/>
        </w:rPr>
        <w:t>(6)施工时应在工期安排上合理有序，先设置围栏措施，后进行项目建设，尽量减少对地表和植被的破坏，除施工必须不得不铲除或碾压植被外，不允许以其它任何理由铲除植被，以减少对生态环境的破坏。</w:t>
      </w:r>
    </w:p>
    <w:p w14:paraId="394FFEB8">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auto"/>
          <w:sz w:val="24"/>
          <w:highlight w:val="none"/>
          <w:lang w:val="en-US" w:eastAsia="zh-CN"/>
        </w:rPr>
      </w:pPr>
      <w:r>
        <w:rPr>
          <w:rFonts w:hint="default" w:ascii="Times New Roman" w:hAnsi="Times New Roman" w:cs="Times New Roman" w:eastAsiaTheme="minorEastAsia"/>
          <w:snapToGrid w:val="0"/>
          <w:color w:val="auto"/>
          <w:sz w:val="24"/>
          <w:highlight w:val="none"/>
          <w:lang w:val="en-US" w:eastAsia="zh-CN"/>
        </w:rPr>
        <w:t>(7)塔基开挖时临时堆土采取四周拦挡、上铺下盖的措施，回填后及时整平。施工中要严格控制临时占地，减少破坏原地貌、植被的面积。</w:t>
      </w:r>
    </w:p>
    <w:p w14:paraId="7008B631">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auto"/>
          <w:sz w:val="24"/>
          <w:highlight w:val="none"/>
          <w:lang w:val="en-US" w:eastAsia="zh-CN"/>
        </w:rPr>
      </w:pPr>
      <w:r>
        <w:rPr>
          <w:rFonts w:hint="default" w:ascii="Times New Roman" w:hAnsi="Times New Roman" w:cs="Times New Roman" w:eastAsiaTheme="minorEastAsia"/>
          <w:snapToGrid w:val="0"/>
          <w:color w:val="auto"/>
          <w:sz w:val="24"/>
          <w:highlight w:val="none"/>
          <w:lang w:val="en-US" w:eastAsia="zh-CN"/>
        </w:rPr>
        <w:t>(8)基坑开挖尽量保持坑壁成型完好，并做好临时堆土的挡护及苫盖，基础坑开挖好后应尽快浇筑混凝土。</w:t>
      </w:r>
    </w:p>
    <w:p w14:paraId="59A7C1DE">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auto"/>
          <w:sz w:val="24"/>
          <w:highlight w:val="none"/>
          <w:lang w:val="en-US" w:eastAsia="zh-CN"/>
        </w:rPr>
      </w:pPr>
      <w:r>
        <w:rPr>
          <w:rFonts w:hint="default" w:ascii="Times New Roman" w:hAnsi="Times New Roman" w:cs="Times New Roman" w:eastAsiaTheme="minorEastAsia"/>
          <w:snapToGrid w:val="0"/>
          <w:color w:val="auto"/>
          <w:sz w:val="24"/>
          <w:highlight w:val="none"/>
          <w:lang w:val="en-US" w:eastAsia="zh-CN"/>
        </w:rPr>
        <w:t>(9)严格控制施工范围，应尽量控制作业面。</w:t>
      </w:r>
    </w:p>
    <w:p w14:paraId="19468BF1">
      <w:pPr>
        <w:keepNext w:val="0"/>
        <w:keepLines w:val="0"/>
        <w:pageBreakBefore w:val="0"/>
        <w:widowControl w:val="0"/>
        <w:numPr>
          <w:ilvl w:val="0"/>
          <w:numId w:val="0"/>
        </w:numPr>
        <w:tabs>
          <w:tab w:val="left" w:pos="1260"/>
        </w:tabs>
        <w:kinsoku/>
        <w:wordWrap/>
        <w:overflowPunct/>
        <w:topLinePunct w:val="0"/>
        <w:autoSpaceDE/>
        <w:autoSpaceDN/>
        <w:bidi w:val="0"/>
        <w:adjustRightInd/>
        <w:snapToGrid/>
        <w:spacing w:line="360" w:lineRule="auto"/>
        <w:ind w:left="0"/>
        <w:textAlignment w:val="auto"/>
        <w:outlineLvl w:val="3"/>
        <w:rPr>
          <w:rFonts w:hint="default" w:ascii="Times New Roman" w:hAnsi="Times New Roman" w:cs="Times New Roman" w:eastAsiaTheme="minorEastAsia"/>
          <w:b/>
          <w:bCs/>
          <w:snapToGrid w:val="0"/>
          <w:color w:val="auto"/>
          <w:sz w:val="24"/>
          <w:highlight w:val="none"/>
          <w:lang w:val="en-US" w:eastAsia="zh-CN"/>
        </w:rPr>
      </w:pPr>
      <w:r>
        <w:rPr>
          <w:rFonts w:hint="default" w:ascii="Times New Roman" w:hAnsi="Times New Roman" w:cs="Times New Roman" w:eastAsiaTheme="minorEastAsia"/>
          <w:b/>
          <w:bCs/>
          <w:snapToGrid w:val="0"/>
          <w:color w:val="auto"/>
          <w:sz w:val="24"/>
          <w:highlight w:val="none"/>
          <w:lang w:val="en-US" w:eastAsia="zh-CN"/>
        </w:rPr>
        <w:t>6.5.1.2 临时用地生态保护恢复措施</w:t>
      </w:r>
    </w:p>
    <w:p w14:paraId="2762D3C3">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b/>
          <w:bCs/>
          <w:snapToGrid w:val="0"/>
          <w:color w:val="auto"/>
          <w:sz w:val="24"/>
          <w:highlight w:val="none"/>
          <w:lang w:val="en-US" w:eastAsia="zh-CN"/>
        </w:rPr>
      </w:pPr>
      <w:r>
        <w:rPr>
          <w:rFonts w:hint="default" w:ascii="Times New Roman" w:hAnsi="Times New Roman" w:cs="Times New Roman" w:eastAsiaTheme="minorEastAsia"/>
          <w:b/>
          <w:bCs/>
          <w:snapToGrid w:val="0"/>
          <w:color w:val="auto"/>
          <w:sz w:val="24"/>
          <w:highlight w:val="none"/>
          <w:lang w:val="en-US" w:eastAsia="zh-CN"/>
        </w:rPr>
        <w:t>（1）保护措施</w:t>
      </w:r>
    </w:p>
    <w:p w14:paraId="65308B31">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auto"/>
          <w:sz w:val="24"/>
          <w:highlight w:val="none"/>
          <w:lang w:val="en-US" w:eastAsia="zh-CN"/>
        </w:rPr>
      </w:pPr>
      <w:r>
        <w:rPr>
          <w:rFonts w:hint="default" w:ascii="Times New Roman" w:hAnsi="Times New Roman" w:cs="Times New Roman" w:eastAsiaTheme="minorEastAsia"/>
          <w:snapToGrid w:val="0"/>
          <w:color w:val="auto"/>
          <w:sz w:val="24"/>
          <w:highlight w:val="none"/>
          <w:lang w:val="en-US" w:eastAsia="zh-CN"/>
        </w:rPr>
        <w:t>①划定作业红线，严禁超界占用</w:t>
      </w:r>
      <w:r>
        <w:rPr>
          <w:rFonts w:hint="default" w:ascii="Times New Roman" w:hAnsi="Times New Roman" w:cs="Times New Roman" w:eastAsiaTheme="minorEastAsia"/>
          <w:snapToGrid w:val="0"/>
          <w:color w:val="auto"/>
          <w:kern w:val="0"/>
          <w:sz w:val="24"/>
          <w:highlight w:val="none"/>
          <w:lang w:val="en-US" w:eastAsia="zh-CN"/>
        </w:rPr>
        <w:t>，减少占地造成的植被破坏和生态影响</w:t>
      </w:r>
      <w:r>
        <w:rPr>
          <w:rFonts w:hint="default" w:ascii="Times New Roman" w:hAnsi="Times New Roman" w:cs="Times New Roman" w:eastAsiaTheme="minorEastAsia"/>
          <w:snapToGrid w:val="0"/>
          <w:color w:val="auto"/>
          <w:sz w:val="24"/>
          <w:highlight w:val="none"/>
          <w:lang w:val="en-US" w:eastAsia="zh-CN"/>
        </w:rPr>
        <w:t>。合理组织施工，缩短工期；制定施工计划和方案，尽量避免大风季节施工等措施减少水土流失。</w:t>
      </w:r>
    </w:p>
    <w:p w14:paraId="1A4C95A4">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auto"/>
          <w:sz w:val="24"/>
          <w:highlight w:val="none"/>
          <w:lang w:val="en-US" w:eastAsia="zh-CN"/>
        </w:rPr>
      </w:pPr>
      <w:r>
        <w:rPr>
          <w:rFonts w:hint="default" w:ascii="Times New Roman" w:hAnsi="Times New Roman" w:cs="Times New Roman" w:eastAsiaTheme="minorEastAsia"/>
          <w:snapToGrid w:val="0"/>
          <w:color w:val="auto"/>
          <w:sz w:val="24"/>
          <w:highlight w:val="none"/>
          <w:lang w:val="en-US" w:eastAsia="zh-CN"/>
        </w:rPr>
        <w:t>②本项目所在区域植被覆盖度较低，工程施工过程中会造成一定程度的水土流失，鉴于本项目规模和施工量整体较大，扰动地表植被和土壤面积较大，因此必须通过加强施工期环境保护管理，加强对开挖出的土石方的规范的管理和处理，充分利用土石方，尽量避免产生弃土、弃渣，可把工程施工过程中的水土流失减低到最低限度。</w:t>
      </w:r>
    </w:p>
    <w:p w14:paraId="2E7CE4D9">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auto"/>
          <w:sz w:val="24"/>
          <w:highlight w:val="none"/>
          <w:lang w:val="en-US" w:eastAsia="zh-CN"/>
        </w:rPr>
      </w:pPr>
      <w:r>
        <w:rPr>
          <w:rFonts w:hint="default" w:ascii="Times New Roman" w:hAnsi="Times New Roman" w:cs="Times New Roman" w:eastAsiaTheme="minorEastAsia"/>
          <w:snapToGrid w:val="0"/>
          <w:color w:val="auto"/>
          <w:sz w:val="24"/>
          <w:highlight w:val="none"/>
          <w:lang w:val="en-US" w:eastAsia="zh-CN"/>
        </w:rPr>
        <w:t>③场内临时施工道路采用碎石路面简易道路，兼做运营期巡检道路，采用场内多余土石方内部调用填筑路基后平整，直接铺设碎石压实，防止水土流失。</w:t>
      </w:r>
    </w:p>
    <w:p w14:paraId="64C0A748">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auto"/>
          <w:sz w:val="24"/>
          <w:highlight w:val="none"/>
          <w:lang w:val="en-US" w:eastAsia="zh-CN"/>
        </w:rPr>
      </w:pPr>
      <w:r>
        <w:rPr>
          <w:rFonts w:hint="default" w:ascii="Times New Roman" w:hAnsi="Times New Roman" w:cs="Times New Roman" w:eastAsiaTheme="minorEastAsia"/>
          <w:snapToGrid w:val="0"/>
          <w:color w:val="auto"/>
          <w:sz w:val="24"/>
          <w:highlight w:val="none"/>
          <w:lang w:val="en-US" w:eastAsia="zh-CN"/>
        </w:rPr>
        <w:t>④临时施工过程中采用洒水降尘措施防治施工扬尘。施工过程中基础开挖回填过程中的多余土石方均采取苫盖措施，避开大风天气施工，可有效防止水土流失。</w:t>
      </w:r>
    </w:p>
    <w:p w14:paraId="5E806ABB">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eastAsiaTheme="minorEastAsia"/>
          <w:color w:val="auto"/>
          <w:kern w:val="2"/>
          <w:sz w:val="24"/>
          <w:szCs w:val="20"/>
          <w:highlight w:val="none"/>
          <w:lang w:val="en-US" w:eastAsia="zh-CN" w:bidi="ar-SA"/>
        </w:rPr>
      </w:pPr>
      <w:r>
        <w:rPr>
          <w:rFonts w:hint="default" w:ascii="Times New Roman" w:hAnsi="Times New Roman" w:cs="Times New Roman" w:eastAsiaTheme="minorEastAsia"/>
          <w:color w:val="auto"/>
          <w:kern w:val="2"/>
          <w:sz w:val="24"/>
          <w:szCs w:val="20"/>
          <w:highlight w:val="none"/>
          <w:lang w:val="en-US" w:eastAsia="zh-CN" w:bidi="ar-SA"/>
        </w:rPr>
        <w:t>⑤本项目施工场地内不设置机械修配，施工机械修理维护依托</w:t>
      </w:r>
      <w:r>
        <w:rPr>
          <w:rFonts w:hint="eastAsia" w:ascii="Times New Roman" w:hAnsi="Times New Roman" w:cs="Times New Roman" w:eastAsiaTheme="minorEastAsia"/>
          <w:color w:val="auto"/>
          <w:kern w:val="2"/>
          <w:sz w:val="24"/>
          <w:szCs w:val="20"/>
          <w:highlight w:val="none"/>
          <w:lang w:val="en-US" w:eastAsia="zh-CN" w:bidi="ar-SA"/>
        </w:rPr>
        <w:t>附近</w:t>
      </w:r>
      <w:r>
        <w:rPr>
          <w:rFonts w:hint="default" w:ascii="Times New Roman" w:hAnsi="Times New Roman" w:cs="Times New Roman" w:eastAsiaTheme="minorEastAsia"/>
          <w:color w:val="auto"/>
          <w:kern w:val="2"/>
          <w:sz w:val="24"/>
          <w:szCs w:val="20"/>
          <w:highlight w:val="none"/>
          <w:lang w:val="en-US" w:eastAsia="zh-CN" w:bidi="ar-SA"/>
        </w:rPr>
        <w:t>商业机修站维修。混凝土将依托乌鲁木齐现有的商品混凝土，施工场地内不设置修理厂及混凝土拌合站。因此没有机修废水、砂石冲洗废水产生。施工临建场地内设置</w:t>
      </w:r>
      <w:r>
        <w:rPr>
          <w:rFonts w:hint="eastAsia" w:ascii="Times New Roman" w:hAnsi="Times New Roman" w:cs="Times New Roman" w:eastAsiaTheme="minorEastAsia"/>
          <w:color w:val="auto"/>
          <w:kern w:val="2"/>
          <w:sz w:val="24"/>
          <w:szCs w:val="20"/>
          <w:highlight w:val="none"/>
          <w:lang w:val="en-US" w:eastAsia="zh-CN" w:bidi="ar-SA"/>
        </w:rPr>
        <w:t>1</w:t>
      </w:r>
      <w:r>
        <w:rPr>
          <w:rFonts w:hint="default" w:ascii="Times New Roman" w:hAnsi="Times New Roman" w:cs="Times New Roman" w:eastAsiaTheme="minorEastAsia"/>
          <w:color w:val="auto"/>
          <w:kern w:val="2"/>
          <w:sz w:val="24"/>
          <w:szCs w:val="20"/>
          <w:highlight w:val="none"/>
          <w:lang w:val="en-US" w:eastAsia="zh-CN" w:bidi="ar-SA"/>
        </w:rPr>
        <w:t>座50m</w:t>
      </w:r>
      <w:r>
        <w:rPr>
          <w:rFonts w:hint="default" w:ascii="Times New Roman" w:hAnsi="Times New Roman" w:cs="Times New Roman" w:eastAsiaTheme="minorEastAsia"/>
          <w:color w:val="auto"/>
          <w:kern w:val="2"/>
          <w:sz w:val="24"/>
          <w:szCs w:val="20"/>
          <w:highlight w:val="none"/>
          <w:vertAlign w:val="superscript"/>
          <w:lang w:val="en-US" w:eastAsia="zh-CN" w:bidi="ar-SA"/>
        </w:rPr>
        <w:t>3</w:t>
      </w:r>
      <w:r>
        <w:rPr>
          <w:rFonts w:hint="default" w:ascii="Times New Roman" w:hAnsi="Times New Roman" w:cs="Times New Roman" w:eastAsiaTheme="minorEastAsia"/>
          <w:color w:val="auto"/>
          <w:kern w:val="2"/>
          <w:sz w:val="24"/>
          <w:szCs w:val="20"/>
          <w:highlight w:val="none"/>
          <w:lang w:val="en-US" w:eastAsia="zh-CN" w:bidi="ar-SA"/>
        </w:rPr>
        <w:t>沉淀池，车辆冲洗废水集中收集处理后循环利用，不外排；施工营地生活区设置移动环保厕所及1座100m</w:t>
      </w:r>
      <w:r>
        <w:rPr>
          <w:rFonts w:hint="default" w:ascii="Times New Roman" w:hAnsi="Times New Roman" w:cs="Times New Roman" w:eastAsiaTheme="minorEastAsia"/>
          <w:color w:val="auto"/>
          <w:kern w:val="2"/>
          <w:sz w:val="24"/>
          <w:szCs w:val="20"/>
          <w:highlight w:val="none"/>
          <w:vertAlign w:val="superscript"/>
          <w:lang w:val="en-US" w:eastAsia="zh-CN" w:bidi="ar-SA"/>
        </w:rPr>
        <w:t>3</w:t>
      </w:r>
      <w:r>
        <w:rPr>
          <w:rFonts w:hint="default" w:ascii="Times New Roman" w:hAnsi="Times New Roman" w:cs="Times New Roman" w:eastAsiaTheme="minorEastAsia"/>
          <w:color w:val="auto"/>
          <w:kern w:val="2"/>
          <w:sz w:val="24"/>
          <w:szCs w:val="20"/>
          <w:highlight w:val="none"/>
          <w:lang w:val="en-US" w:eastAsia="zh-CN" w:bidi="ar-SA"/>
        </w:rPr>
        <w:t>防渗污水收集池，营地食堂及洗漱废水排入防渗污水收集池；粪便污水排入卫生厕所；生活污水及粪便污水定期拉运至污水处理厂处理。施工期结束后将临时废水处理设施拆除并进行相应的土地恢复和平整。</w:t>
      </w:r>
    </w:p>
    <w:p w14:paraId="63ABBFD6">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eastAsiaTheme="minorEastAsia"/>
          <w:color w:val="auto"/>
          <w:kern w:val="2"/>
          <w:sz w:val="24"/>
          <w:szCs w:val="20"/>
          <w:highlight w:val="none"/>
          <w:lang w:val="en-US" w:eastAsia="zh-CN" w:bidi="ar-SA"/>
        </w:rPr>
      </w:pPr>
      <w:r>
        <w:rPr>
          <w:rFonts w:hint="default" w:ascii="Times New Roman" w:hAnsi="Times New Roman" w:cs="Times New Roman" w:eastAsiaTheme="minorEastAsia"/>
          <w:color w:val="auto"/>
          <w:kern w:val="2"/>
          <w:sz w:val="24"/>
          <w:szCs w:val="20"/>
          <w:highlight w:val="none"/>
          <w:lang w:val="en-US" w:eastAsia="zh-CN" w:bidi="ar-SA"/>
        </w:rPr>
        <w:t>⑥施工人员产生的生活垃圾集中收集定期运送到周边垃圾中转站转运，统一处置；废包装材料集中收集后，外售综合利用。施工固体废物合理处置，不外排。</w:t>
      </w:r>
    </w:p>
    <w:p w14:paraId="49961082">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b/>
          <w:bCs/>
          <w:snapToGrid w:val="0"/>
          <w:color w:val="auto"/>
          <w:sz w:val="24"/>
          <w:highlight w:val="none"/>
          <w:lang w:val="en-US" w:eastAsia="zh-CN"/>
        </w:rPr>
      </w:pPr>
      <w:r>
        <w:rPr>
          <w:rFonts w:hint="default" w:ascii="Times New Roman" w:hAnsi="Times New Roman" w:cs="Times New Roman" w:eastAsiaTheme="minorEastAsia"/>
          <w:b/>
          <w:bCs/>
          <w:snapToGrid w:val="0"/>
          <w:color w:val="auto"/>
          <w:sz w:val="24"/>
          <w:highlight w:val="none"/>
          <w:lang w:val="en-US" w:eastAsia="zh-CN"/>
        </w:rPr>
        <w:t>（2）生态恢复措施</w:t>
      </w:r>
    </w:p>
    <w:p w14:paraId="742AF24E">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eastAsiaTheme="minorEastAsia"/>
          <w:color w:val="auto"/>
          <w:kern w:val="2"/>
          <w:sz w:val="24"/>
          <w:szCs w:val="20"/>
          <w:highlight w:val="none"/>
          <w:lang w:val="en-US" w:eastAsia="zh-CN" w:bidi="ar-SA"/>
        </w:rPr>
      </w:pPr>
      <w:r>
        <w:rPr>
          <w:rFonts w:hint="default" w:ascii="Times New Roman" w:hAnsi="Times New Roman" w:cs="Times New Roman" w:eastAsiaTheme="minorEastAsia"/>
          <w:color w:val="auto"/>
          <w:kern w:val="2"/>
          <w:sz w:val="24"/>
          <w:szCs w:val="20"/>
          <w:highlight w:val="none"/>
          <w:lang w:val="en-US" w:eastAsia="zh-CN" w:bidi="ar-SA"/>
        </w:rPr>
        <w:t>风机吊装平台、集电线路施工区域施工结束后，清理平整场地并覆盖砾石恢复砾幕层防止水土流失，自然恢复植被。</w:t>
      </w:r>
    </w:p>
    <w:p w14:paraId="50133AA3">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eastAsiaTheme="minorEastAsia"/>
          <w:color w:val="auto"/>
          <w:kern w:val="2"/>
          <w:sz w:val="24"/>
          <w:szCs w:val="20"/>
          <w:highlight w:val="none"/>
          <w:lang w:val="en-US" w:eastAsia="zh-CN" w:bidi="ar-SA"/>
        </w:rPr>
      </w:pPr>
      <w:r>
        <w:rPr>
          <w:rFonts w:hint="default" w:ascii="Times New Roman" w:hAnsi="Times New Roman" w:cs="Times New Roman" w:eastAsiaTheme="minorEastAsia"/>
          <w:color w:val="auto"/>
          <w:kern w:val="2"/>
          <w:sz w:val="24"/>
          <w:szCs w:val="20"/>
          <w:highlight w:val="none"/>
          <w:lang w:val="en-US" w:eastAsia="zh-CN" w:bidi="ar-SA"/>
        </w:rPr>
        <w:t>施工临建场地区域施工结束后，生活污水全部委托环卫部门采用吸污车清运。拆除临时建筑（彩钢板房）和防渗污水收集池。清理建筑垃圾和生活垃圾，建筑垃圾可回收部分（彩钢板等）全部回收外售综合利用，建筑垃圾统一清运至最近的建筑垃圾填埋场处置，生活垃圾集中收集后清运至附近的生活垃圾转运站，由环卫部门统一处置。最后，清理平整场地并覆盖砾石恢复砾幕层防止水土流失，自然恢复植被。</w:t>
      </w:r>
    </w:p>
    <w:p w14:paraId="570E64B0">
      <w:pPr>
        <w:keepNext w:val="0"/>
        <w:keepLines w:val="0"/>
        <w:pageBreakBefore w:val="0"/>
        <w:widowControl w:val="0"/>
        <w:numPr>
          <w:ilvl w:val="0"/>
          <w:numId w:val="0"/>
        </w:numPr>
        <w:tabs>
          <w:tab w:val="left" w:pos="1260"/>
        </w:tabs>
        <w:kinsoku/>
        <w:wordWrap/>
        <w:overflowPunct/>
        <w:topLinePunct w:val="0"/>
        <w:autoSpaceDE/>
        <w:autoSpaceDN/>
        <w:bidi w:val="0"/>
        <w:adjustRightInd/>
        <w:snapToGrid/>
        <w:spacing w:line="360" w:lineRule="auto"/>
        <w:ind w:left="0"/>
        <w:textAlignment w:val="auto"/>
        <w:outlineLvl w:val="3"/>
        <w:rPr>
          <w:rFonts w:hint="default" w:ascii="Times New Roman" w:hAnsi="Times New Roman" w:cs="Times New Roman" w:eastAsiaTheme="minorEastAsia"/>
          <w:b/>
          <w:bCs/>
          <w:snapToGrid w:val="0"/>
          <w:color w:val="auto"/>
          <w:sz w:val="24"/>
          <w:highlight w:val="none"/>
          <w:lang w:val="en-US" w:eastAsia="zh-CN"/>
        </w:rPr>
      </w:pPr>
      <w:r>
        <w:rPr>
          <w:rFonts w:hint="default" w:ascii="Times New Roman" w:hAnsi="Times New Roman" w:cs="Times New Roman" w:eastAsiaTheme="minorEastAsia"/>
          <w:b/>
          <w:bCs/>
          <w:snapToGrid w:val="0"/>
          <w:color w:val="auto"/>
          <w:sz w:val="24"/>
          <w:highlight w:val="none"/>
          <w:lang w:val="en-US" w:eastAsia="zh-CN"/>
        </w:rPr>
        <w:t>6.5.1.3 陆生动物保护措施</w:t>
      </w:r>
    </w:p>
    <w:p w14:paraId="4458D652">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auto"/>
          <w:sz w:val="24"/>
          <w:highlight w:val="none"/>
          <w:lang w:val="en-US" w:eastAsia="zh-CN"/>
        </w:rPr>
      </w:pPr>
      <w:r>
        <w:rPr>
          <w:rFonts w:hint="default" w:ascii="Times New Roman" w:hAnsi="Times New Roman" w:cs="Times New Roman" w:eastAsiaTheme="minorEastAsia"/>
          <w:snapToGrid w:val="0"/>
          <w:color w:val="auto"/>
          <w:sz w:val="24"/>
          <w:highlight w:val="none"/>
          <w:lang w:val="en-US" w:eastAsia="zh-CN"/>
        </w:rPr>
        <w:t>(1)提高施工人员的保护意识，严禁捕猎野生动物。施工人员必须遵守《中华人民共和国野生动物保护法》。施工前对施工人员进行宣传教育，严禁捕猎野生动物在施工过程中如遇到要尽量保护野生动物。</w:t>
      </w:r>
    </w:p>
    <w:p w14:paraId="27047984">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auto"/>
          <w:sz w:val="24"/>
          <w:highlight w:val="none"/>
          <w:lang w:val="en-US" w:eastAsia="zh-CN"/>
        </w:rPr>
      </w:pPr>
      <w:r>
        <w:rPr>
          <w:rFonts w:hint="default" w:ascii="Times New Roman" w:hAnsi="Times New Roman" w:cs="Times New Roman" w:eastAsiaTheme="minorEastAsia"/>
          <w:snapToGrid w:val="0"/>
          <w:color w:val="auto"/>
          <w:sz w:val="24"/>
          <w:highlight w:val="none"/>
          <w:lang w:val="en-US" w:eastAsia="zh-CN"/>
        </w:rPr>
        <w:t>(2)禁止施工人员和当地居民捕杀动物。对施工人员进行法律知识宣传教育，在工地及周边设立爱护野生动植物的宣传牌。</w:t>
      </w:r>
    </w:p>
    <w:p w14:paraId="41897322">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auto"/>
          <w:sz w:val="24"/>
          <w:highlight w:val="none"/>
          <w:lang w:val="en-US" w:eastAsia="zh-CN"/>
        </w:rPr>
      </w:pPr>
      <w:r>
        <w:rPr>
          <w:rFonts w:hint="default" w:ascii="Times New Roman" w:hAnsi="Times New Roman" w:cs="Times New Roman" w:eastAsiaTheme="minorEastAsia"/>
          <w:snapToGrid w:val="0"/>
          <w:color w:val="auto"/>
          <w:sz w:val="24"/>
          <w:highlight w:val="none"/>
          <w:lang w:val="en-US" w:eastAsia="zh-CN"/>
        </w:rPr>
        <w:t>(3)管理单位要加强与当地林业部门的联系，发现珍稀保护动物伤害事故，应尽快通知林业主管部门，或者是野生动物管理机构的人员，依法依规进行处理。林业部门加大对野生动物盗猎情况的侦查行动，杜绝违法犯罪事件的发生。</w:t>
      </w:r>
    </w:p>
    <w:p w14:paraId="0DECA28A">
      <w:pPr>
        <w:keepNext w:val="0"/>
        <w:keepLines w:val="0"/>
        <w:pageBreakBefore w:val="0"/>
        <w:widowControl w:val="0"/>
        <w:numPr>
          <w:ilvl w:val="0"/>
          <w:numId w:val="0"/>
        </w:numPr>
        <w:tabs>
          <w:tab w:val="left" w:pos="1260"/>
        </w:tabs>
        <w:kinsoku/>
        <w:wordWrap/>
        <w:overflowPunct/>
        <w:topLinePunct w:val="0"/>
        <w:autoSpaceDE/>
        <w:autoSpaceDN/>
        <w:bidi w:val="0"/>
        <w:adjustRightInd/>
        <w:snapToGrid/>
        <w:spacing w:line="360" w:lineRule="auto"/>
        <w:ind w:left="0"/>
        <w:textAlignment w:val="auto"/>
        <w:outlineLvl w:val="3"/>
        <w:rPr>
          <w:rFonts w:hint="default" w:ascii="Times New Roman" w:hAnsi="Times New Roman" w:cs="Times New Roman" w:eastAsiaTheme="minorEastAsia"/>
          <w:b/>
          <w:bCs/>
          <w:snapToGrid w:val="0"/>
          <w:color w:val="auto"/>
          <w:sz w:val="24"/>
          <w:highlight w:val="none"/>
          <w:lang w:val="en-US" w:eastAsia="zh-CN"/>
        </w:rPr>
      </w:pPr>
      <w:r>
        <w:rPr>
          <w:rFonts w:hint="default" w:ascii="Times New Roman" w:hAnsi="Times New Roman" w:cs="Times New Roman" w:eastAsiaTheme="minorEastAsia"/>
          <w:b/>
          <w:bCs/>
          <w:snapToGrid w:val="0"/>
          <w:color w:val="auto"/>
          <w:sz w:val="24"/>
          <w:highlight w:val="none"/>
          <w:lang w:val="en-US" w:eastAsia="zh-CN"/>
        </w:rPr>
        <w:t>6.5.1.4 鸟类保护措施</w:t>
      </w:r>
    </w:p>
    <w:p w14:paraId="1E412398">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auto"/>
          <w:sz w:val="24"/>
          <w:highlight w:val="none"/>
          <w:lang w:val="en-US" w:eastAsia="zh-CN"/>
        </w:rPr>
      </w:pPr>
      <w:r>
        <w:rPr>
          <w:rFonts w:hint="default" w:ascii="Times New Roman" w:hAnsi="Times New Roman" w:cs="Times New Roman" w:eastAsiaTheme="minorEastAsia"/>
          <w:snapToGrid w:val="0"/>
          <w:color w:val="auto"/>
          <w:sz w:val="24"/>
          <w:highlight w:val="none"/>
          <w:lang w:val="en-US" w:eastAsia="zh-CN"/>
        </w:rPr>
        <w:t>(1)优选施工时间，避开野生动物活动的高峰时段。野生鸟类和哺乳类大多是晨、昏(早晨、黄昏)或夜间外出觅食，正午是鸟类休息时间。为了减少工程施工噪声对野生动物的惊扰，应做好施工方式和时间的计划，并力求避免在晨昏和正午施工。</w:t>
      </w:r>
    </w:p>
    <w:p w14:paraId="120EB5AE">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auto"/>
          <w:sz w:val="24"/>
          <w:highlight w:val="none"/>
          <w:lang w:val="en-US" w:eastAsia="zh-CN"/>
        </w:rPr>
      </w:pPr>
      <w:r>
        <w:rPr>
          <w:rFonts w:hint="default" w:ascii="Times New Roman" w:hAnsi="Times New Roman" w:cs="Times New Roman" w:eastAsiaTheme="minorEastAsia"/>
          <w:snapToGrid w:val="0"/>
          <w:color w:val="auto"/>
          <w:sz w:val="24"/>
          <w:highlight w:val="none"/>
          <w:lang w:val="en-US" w:eastAsia="zh-CN"/>
        </w:rPr>
        <w:t>(2)严格控制光源。夜间灯光容易吸引鸟类撞击，应严格控制光源使用量，尤其是在有大雾、小雨或强逆风的夜晚，应停止施工。项目区虽不在鸟类集中迁徙通道上，但在候鸟迁飞的高峰季节，仍需对光源进行遮蔽，减少对外界的漏光量，减小对鸟类迁飞的干扰。</w:t>
      </w:r>
    </w:p>
    <w:p w14:paraId="1303D3B6">
      <w:pPr>
        <w:keepNext w:val="0"/>
        <w:keepLines w:val="0"/>
        <w:pageBreakBefore w:val="0"/>
        <w:widowControl w:val="0"/>
        <w:numPr>
          <w:ilvl w:val="0"/>
          <w:numId w:val="0"/>
        </w:numPr>
        <w:tabs>
          <w:tab w:val="left" w:pos="1260"/>
        </w:tabs>
        <w:kinsoku/>
        <w:wordWrap/>
        <w:overflowPunct/>
        <w:topLinePunct w:val="0"/>
        <w:autoSpaceDE/>
        <w:autoSpaceDN/>
        <w:bidi w:val="0"/>
        <w:adjustRightInd/>
        <w:snapToGrid/>
        <w:spacing w:line="360" w:lineRule="auto"/>
        <w:ind w:left="0"/>
        <w:textAlignment w:val="auto"/>
        <w:outlineLvl w:val="3"/>
        <w:rPr>
          <w:rFonts w:hint="default" w:ascii="Times New Roman" w:hAnsi="Times New Roman" w:cs="Times New Roman" w:eastAsiaTheme="minorEastAsia"/>
          <w:b/>
          <w:bCs/>
          <w:snapToGrid w:val="0"/>
          <w:color w:val="auto"/>
          <w:sz w:val="24"/>
          <w:highlight w:val="none"/>
          <w:lang w:val="en-US" w:eastAsia="zh-CN"/>
        </w:rPr>
      </w:pPr>
      <w:r>
        <w:rPr>
          <w:rFonts w:hint="default" w:ascii="Times New Roman" w:hAnsi="Times New Roman" w:cs="Times New Roman" w:eastAsiaTheme="minorEastAsia"/>
          <w:b/>
          <w:bCs/>
          <w:snapToGrid w:val="0"/>
          <w:color w:val="auto"/>
          <w:sz w:val="24"/>
          <w:highlight w:val="none"/>
          <w:lang w:val="en-US" w:eastAsia="zh-CN"/>
        </w:rPr>
        <w:t>6.5.1.5 水土保持措施</w:t>
      </w:r>
    </w:p>
    <w:p w14:paraId="2EEFC741">
      <w:pPr>
        <w:keepNext w:val="0"/>
        <w:keepLines w:val="0"/>
        <w:pageBreakBefore w:val="0"/>
        <w:widowControl w:val="0"/>
        <w:kinsoku/>
        <w:wordWrap/>
        <w:overflowPunct w:val="0"/>
        <w:topLinePunct/>
        <w:autoSpaceDE w:val="0"/>
        <w:autoSpaceDN w:val="0"/>
        <w:bidi w:val="0"/>
        <w:adjustRightInd/>
        <w:snapToGrid/>
        <w:spacing w:line="360" w:lineRule="auto"/>
        <w:ind w:left="0" w:leftChars="0" w:firstLine="480" w:firstLineChars="200"/>
        <w:jc w:val="both"/>
        <w:textAlignment w:val="baseline"/>
        <w:rPr>
          <w:rFonts w:hint="default" w:ascii="Times New Roman" w:hAnsi="Times New Roman" w:cs="Times New Roman" w:eastAsiaTheme="minorEastAsia"/>
          <w:snapToGrid w:val="0"/>
          <w:color w:val="auto"/>
          <w:kern w:val="2"/>
          <w:sz w:val="24"/>
          <w:highlight w:val="none"/>
          <w:lang w:val="en-US" w:eastAsia="zh-CN"/>
        </w:rPr>
      </w:pPr>
      <w:r>
        <w:rPr>
          <w:rFonts w:hint="default" w:ascii="Times New Roman" w:hAnsi="Times New Roman" w:cs="Times New Roman" w:eastAsiaTheme="minorEastAsia"/>
          <w:snapToGrid w:val="0"/>
          <w:color w:val="auto"/>
          <w:kern w:val="2"/>
          <w:sz w:val="24"/>
          <w:highlight w:val="none"/>
          <w:lang w:val="en-US" w:eastAsia="zh-CN"/>
        </w:rPr>
        <w:t>工程措施：基础回填后，采用砾石压盖防治水土流失；临时堆土采取自然稳定边坡堆放，并用防尘网苫盖，可根据施工时序重复使用防尘网。</w:t>
      </w:r>
    </w:p>
    <w:p w14:paraId="6EB4B432">
      <w:pPr>
        <w:keepNext w:val="0"/>
        <w:keepLines w:val="0"/>
        <w:pageBreakBefore w:val="0"/>
        <w:widowControl w:val="0"/>
        <w:kinsoku/>
        <w:wordWrap/>
        <w:overflowPunct w:val="0"/>
        <w:topLinePunct/>
        <w:autoSpaceDE w:val="0"/>
        <w:autoSpaceDN w:val="0"/>
        <w:bidi w:val="0"/>
        <w:adjustRightInd/>
        <w:snapToGrid/>
        <w:spacing w:line="360" w:lineRule="auto"/>
        <w:ind w:left="0" w:leftChars="0" w:firstLine="480" w:firstLineChars="200"/>
        <w:jc w:val="both"/>
        <w:textAlignment w:val="baseline"/>
        <w:rPr>
          <w:rFonts w:hint="default" w:ascii="Times New Roman" w:hAnsi="Times New Roman" w:cs="Times New Roman" w:eastAsiaTheme="minorEastAsia"/>
          <w:snapToGrid w:val="0"/>
          <w:color w:val="auto"/>
          <w:kern w:val="2"/>
          <w:sz w:val="24"/>
          <w:highlight w:val="none"/>
          <w:lang w:val="en-US" w:eastAsia="zh-CN"/>
        </w:rPr>
      </w:pPr>
      <w:r>
        <w:rPr>
          <w:rFonts w:hint="default" w:ascii="Times New Roman" w:hAnsi="Times New Roman" w:cs="Times New Roman" w:eastAsiaTheme="minorEastAsia"/>
          <w:snapToGrid w:val="0"/>
          <w:color w:val="auto"/>
          <w:kern w:val="2"/>
          <w:sz w:val="24"/>
          <w:highlight w:val="none"/>
          <w:lang w:val="en-US" w:eastAsia="zh-CN"/>
        </w:rPr>
        <w:t>临时措施：取临时堆土的自然稳定边坡堆放，在堆土场表面外围采取防尘网苫盖，表面压盖砾石块的临时防护措施。施工道路在使用过程中应及时洒水防护。</w:t>
      </w:r>
    </w:p>
    <w:p w14:paraId="6DA60FD4">
      <w:pPr>
        <w:keepNext w:val="0"/>
        <w:keepLines w:val="0"/>
        <w:pageBreakBefore w:val="0"/>
        <w:widowControl w:val="0"/>
        <w:kinsoku/>
        <w:wordWrap/>
        <w:overflowPunct w:val="0"/>
        <w:topLinePunct/>
        <w:autoSpaceDE w:val="0"/>
        <w:autoSpaceDN w:val="0"/>
        <w:bidi w:val="0"/>
        <w:adjustRightInd/>
        <w:snapToGrid/>
        <w:spacing w:line="360" w:lineRule="auto"/>
        <w:ind w:left="0" w:leftChars="0" w:firstLine="480" w:firstLineChars="200"/>
        <w:jc w:val="both"/>
        <w:textAlignment w:val="baseline"/>
        <w:rPr>
          <w:rFonts w:hint="default" w:ascii="Times New Roman" w:hAnsi="Times New Roman" w:cs="Times New Roman" w:eastAsiaTheme="minorEastAsia"/>
          <w:snapToGrid w:val="0"/>
          <w:color w:val="auto"/>
          <w:kern w:val="2"/>
          <w:sz w:val="24"/>
          <w:highlight w:val="none"/>
          <w:lang w:val="en-US" w:eastAsia="zh-CN"/>
        </w:rPr>
      </w:pPr>
      <w:r>
        <w:rPr>
          <w:rFonts w:hint="default" w:ascii="Times New Roman" w:hAnsi="Times New Roman" w:cs="Times New Roman" w:eastAsiaTheme="minorEastAsia"/>
          <w:snapToGrid w:val="0"/>
          <w:color w:val="auto"/>
          <w:kern w:val="2"/>
          <w:sz w:val="24"/>
          <w:highlight w:val="none"/>
          <w:lang w:val="en-US" w:eastAsia="zh-CN"/>
        </w:rPr>
        <w:t>管理措施：①基础开挖形成的临时堆土按稳定边坡分层堆放，堆放高度控制在0.5m以下；②施工组织设计严密，安排好开挖与基础回填的连接施工工序，尽量减少从开挖到回填的堆放时间：③按照规定的路面宽度进行碎石压盖，同时及时洒水；④严格管理和控制车辆及重型机械的运行范围，所有车辆采用“—”字型作业法，尽量缩小扰动范围，保护原始地表，使新增水土流失得到有效控制，保护和恢复本区域的生态环境。⑤施工结束后，拆除临时建构筑物，清理平整场地并覆盖砾幕层防止水土流失，自然恢复植被。</w:t>
      </w:r>
    </w:p>
    <w:p w14:paraId="7A6A59D3">
      <w:pPr>
        <w:keepNext w:val="0"/>
        <w:keepLines w:val="0"/>
        <w:pageBreakBefore w:val="0"/>
        <w:widowControl w:val="0"/>
        <w:kinsoku/>
        <w:wordWrap/>
        <w:overflowPunct w:val="0"/>
        <w:topLinePunct/>
        <w:autoSpaceDE w:val="0"/>
        <w:autoSpaceDN w:val="0"/>
        <w:bidi w:val="0"/>
        <w:adjustRightInd/>
        <w:snapToGrid/>
        <w:spacing w:line="360" w:lineRule="auto"/>
        <w:ind w:left="0" w:leftChars="0" w:firstLine="480" w:firstLineChars="200"/>
        <w:jc w:val="both"/>
        <w:textAlignment w:val="baseline"/>
        <w:rPr>
          <w:rFonts w:hint="default" w:ascii="Times New Roman" w:hAnsi="Times New Roman" w:cs="Times New Roman" w:eastAsiaTheme="minorEastAsia"/>
          <w:snapToGrid w:val="0"/>
          <w:color w:val="auto"/>
          <w:kern w:val="2"/>
          <w:sz w:val="24"/>
          <w:highlight w:val="none"/>
          <w:lang w:val="en-US" w:eastAsia="zh-CN"/>
        </w:rPr>
      </w:pPr>
      <w:r>
        <w:rPr>
          <w:rFonts w:hint="default" w:ascii="Times New Roman" w:hAnsi="Times New Roman" w:cs="Times New Roman" w:eastAsiaTheme="minorEastAsia"/>
          <w:snapToGrid w:val="0"/>
          <w:color w:val="auto"/>
          <w:kern w:val="2"/>
          <w:sz w:val="24"/>
          <w:highlight w:val="none"/>
          <w:lang w:val="en-US" w:eastAsia="zh-CN"/>
        </w:rPr>
        <w:t>项目完工后，由施工单位对固体废物进行清扫、集中，拉至指定垃圾场进行处理，待场地全部清理完后，经过1年的自然恢复期，地表可恢复到原始状态。</w:t>
      </w:r>
    </w:p>
    <w:p w14:paraId="52D3ACAD">
      <w:pPr>
        <w:keepNext w:val="0"/>
        <w:keepLines w:val="0"/>
        <w:pageBreakBefore w:val="0"/>
        <w:widowControl w:val="0"/>
        <w:numPr>
          <w:ilvl w:val="0"/>
          <w:numId w:val="0"/>
        </w:numPr>
        <w:tabs>
          <w:tab w:val="left" w:pos="1260"/>
        </w:tabs>
        <w:kinsoku/>
        <w:wordWrap/>
        <w:overflowPunct/>
        <w:topLinePunct w:val="0"/>
        <w:autoSpaceDE/>
        <w:autoSpaceDN/>
        <w:bidi w:val="0"/>
        <w:adjustRightInd/>
        <w:snapToGrid/>
        <w:spacing w:line="360" w:lineRule="auto"/>
        <w:ind w:left="0"/>
        <w:textAlignment w:val="auto"/>
        <w:outlineLvl w:val="3"/>
        <w:rPr>
          <w:rFonts w:hint="default" w:ascii="Times New Roman" w:hAnsi="Times New Roman" w:cs="Times New Roman" w:eastAsiaTheme="minorEastAsia"/>
          <w:b/>
          <w:bCs/>
          <w:snapToGrid w:val="0"/>
          <w:color w:val="auto"/>
          <w:sz w:val="24"/>
          <w:highlight w:val="none"/>
          <w:lang w:val="en-US" w:eastAsia="zh-CN"/>
        </w:rPr>
      </w:pPr>
      <w:r>
        <w:rPr>
          <w:rFonts w:hint="default" w:ascii="Times New Roman" w:hAnsi="Times New Roman" w:cs="Times New Roman" w:eastAsiaTheme="minorEastAsia"/>
          <w:b/>
          <w:bCs/>
          <w:snapToGrid w:val="0"/>
          <w:color w:val="auto"/>
          <w:sz w:val="24"/>
          <w:highlight w:val="none"/>
          <w:lang w:val="en-US" w:eastAsia="zh-CN"/>
        </w:rPr>
        <w:t>6.5.1.6 防沙治沙措施</w:t>
      </w:r>
    </w:p>
    <w:p w14:paraId="7AD7EED7">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auto"/>
          <w:sz w:val="24"/>
          <w:highlight w:val="none"/>
          <w:lang w:val="en-US" w:eastAsia="zh-CN"/>
        </w:rPr>
      </w:pPr>
      <w:r>
        <w:rPr>
          <w:rFonts w:hint="default" w:ascii="Times New Roman" w:hAnsi="Times New Roman" w:cs="Times New Roman" w:eastAsiaTheme="minorEastAsia"/>
          <w:snapToGrid w:val="0"/>
          <w:color w:val="auto"/>
          <w:sz w:val="24"/>
          <w:highlight w:val="none"/>
          <w:lang w:val="en-US" w:eastAsia="zh-CN"/>
        </w:rPr>
        <w:t>(1)土方堆存过程中苫盖，定期洒水抑尘。</w:t>
      </w:r>
    </w:p>
    <w:p w14:paraId="5FDC3ABF">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auto"/>
          <w:sz w:val="24"/>
          <w:highlight w:val="none"/>
          <w:lang w:val="en-US" w:eastAsia="zh-CN"/>
        </w:rPr>
      </w:pPr>
      <w:r>
        <w:rPr>
          <w:rFonts w:hint="default" w:ascii="Times New Roman" w:hAnsi="Times New Roman" w:cs="Times New Roman" w:eastAsiaTheme="minorEastAsia"/>
          <w:snapToGrid w:val="0"/>
          <w:color w:val="auto"/>
          <w:sz w:val="24"/>
          <w:highlight w:val="none"/>
          <w:lang w:val="en-US" w:eastAsia="zh-CN"/>
        </w:rPr>
        <w:t>(2)施工期间应划定施工活动范围，严格控制和管理运输车辆及重型机械的运行线路和范围，不得离开运输道路及随意行驶，由专人负责，以防破坏土壤和植被，加剧土地荒漠化。</w:t>
      </w:r>
    </w:p>
    <w:p w14:paraId="7320BBD4">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auto"/>
          <w:sz w:val="24"/>
          <w:highlight w:val="none"/>
          <w:lang w:val="en-US" w:eastAsia="zh-CN"/>
        </w:rPr>
      </w:pPr>
      <w:r>
        <w:rPr>
          <w:rFonts w:hint="default" w:ascii="Times New Roman" w:hAnsi="Times New Roman" w:cs="Times New Roman" w:eastAsiaTheme="minorEastAsia"/>
          <w:snapToGrid w:val="0"/>
          <w:color w:val="auto"/>
          <w:sz w:val="24"/>
          <w:highlight w:val="none"/>
          <w:lang w:val="en-US" w:eastAsia="zh-CN"/>
        </w:rPr>
        <w:t>(3)加强对施工现场和物料运输的管理，保持道路清洁，管控料堆和渣土堆放，防止扬尘污染。</w:t>
      </w:r>
    </w:p>
    <w:p w14:paraId="67696593">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auto"/>
          <w:sz w:val="24"/>
          <w:highlight w:val="none"/>
          <w:lang w:val="en-US" w:eastAsia="zh-CN"/>
        </w:rPr>
      </w:pPr>
      <w:r>
        <w:rPr>
          <w:rFonts w:hint="default" w:ascii="Times New Roman" w:hAnsi="Times New Roman" w:cs="Times New Roman" w:eastAsiaTheme="minorEastAsia"/>
          <w:snapToGrid w:val="0"/>
          <w:color w:val="auto"/>
          <w:sz w:val="24"/>
          <w:highlight w:val="none"/>
          <w:lang w:val="en-US" w:eastAsia="zh-CN"/>
        </w:rPr>
        <w:t>(4)施工后及时清理现场，尽可能恢复原状地貌，做到“工完、料尽、场清、整洁”，恢复原有生态。</w:t>
      </w:r>
    </w:p>
    <w:p w14:paraId="0C2B6F03">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auto"/>
          <w:sz w:val="24"/>
          <w:highlight w:val="none"/>
          <w:lang w:val="en-US" w:eastAsia="zh-CN"/>
        </w:rPr>
      </w:pPr>
      <w:r>
        <w:rPr>
          <w:rFonts w:hint="default" w:ascii="Times New Roman" w:hAnsi="Times New Roman" w:cs="Times New Roman" w:eastAsiaTheme="minorEastAsia"/>
          <w:snapToGrid w:val="0"/>
          <w:color w:val="auto"/>
          <w:sz w:val="24"/>
          <w:highlight w:val="none"/>
          <w:lang w:val="en-US" w:eastAsia="zh-CN"/>
        </w:rPr>
        <w:t>(5)合理规划临时工程的位置，尽可能减小扰动范围；临时施工场地在施工结束后及时清理施工垃圾，对施工场地进行平整、压实。</w:t>
      </w:r>
    </w:p>
    <w:p w14:paraId="4FD7600A">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auto"/>
          <w:sz w:val="24"/>
          <w:highlight w:val="none"/>
          <w:lang w:val="en-US" w:eastAsia="zh-CN"/>
        </w:rPr>
      </w:pPr>
      <w:r>
        <w:rPr>
          <w:rFonts w:hint="default" w:ascii="Times New Roman" w:hAnsi="Times New Roman" w:cs="Times New Roman" w:eastAsiaTheme="minorEastAsia"/>
          <w:snapToGrid w:val="0"/>
          <w:color w:val="auto"/>
          <w:sz w:val="24"/>
          <w:highlight w:val="none"/>
          <w:lang w:val="en-US" w:eastAsia="zh-CN"/>
        </w:rPr>
        <w:t>(6)在土方开挖施工时，按照原土层顺序回填及覆盖，开挖回填，尽量不破坏表层土壤物理性质。</w:t>
      </w:r>
    </w:p>
    <w:p w14:paraId="184E5869">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auto"/>
          <w:sz w:val="24"/>
          <w:highlight w:val="none"/>
          <w:lang w:val="en-US" w:eastAsia="zh-CN"/>
        </w:rPr>
      </w:pPr>
      <w:r>
        <w:rPr>
          <w:rFonts w:hint="default" w:ascii="Times New Roman" w:hAnsi="Times New Roman" w:cs="Times New Roman" w:eastAsiaTheme="minorEastAsia"/>
          <w:snapToGrid w:val="0"/>
          <w:color w:val="auto"/>
          <w:sz w:val="24"/>
          <w:highlight w:val="none"/>
          <w:lang w:val="en-US" w:eastAsia="zh-CN"/>
        </w:rPr>
        <w:t>采取以上措施后，项目施工期间可有一定程度防止土壤沙化破坏生态环境。</w:t>
      </w:r>
    </w:p>
    <w:p w14:paraId="5AE5FC94">
      <w:pPr>
        <w:pStyle w:val="11"/>
        <w:keepNext/>
        <w:keepLines/>
        <w:pageBreakBefore w:val="0"/>
        <w:widowControl w:val="0"/>
        <w:kinsoku/>
        <w:wordWrap/>
        <w:overflowPunct/>
        <w:topLinePunct w:val="0"/>
        <w:autoSpaceDE/>
        <w:autoSpaceDN/>
        <w:bidi w:val="0"/>
        <w:adjustRightInd/>
        <w:snapToGrid w:val="0"/>
        <w:spacing w:beforeLines="0" w:afterLines="0"/>
        <w:ind w:left="0"/>
        <w:textAlignment w:val="auto"/>
        <w:outlineLvl w:val="2"/>
        <w:rPr>
          <w:rFonts w:hint="default" w:ascii="Times New Roman" w:hAnsi="Times New Roman" w:eastAsia="宋体" w:cs="Times New Roman"/>
          <w:color w:val="auto"/>
          <w:sz w:val="24"/>
          <w:szCs w:val="24"/>
        </w:rPr>
      </w:pPr>
      <w:bookmarkStart w:id="507" w:name="_Toc7470"/>
      <w:r>
        <w:rPr>
          <w:rFonts w:hint="default" w:ascii="Times New Roman" w:hAnsi="Times New Roman" w:cs="Times New Roman" w:eastAsiaTheme="minorEastAsia"/>
          <w:color w:val="auto"/>
          <w:highlight w:val="none"/>
          <w:lang w:val="en-US" w:eastAsia="zh-CN"/>
        </w:rPr>
        <w:t>6.5.2 运营期生态防护措施</w:t>
      </w:r>
      <w:bookmarkEnd w:id="507"/>
    </w:p>
    <w:p w14:paraId="70C83DA6">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(1)工程措施</w:t>
      </w:r>
    </w:p>
    <w:p w14:paraId="7BDDB6CC">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①采用叶片警示色或“恐怖眼”等防范措施</w:t>
      </w:r>
    </w:p>
    <w:p w14:paraId="799A449A">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为防止鸟类碰撞风机叶片，要求风机叶片采用橙红与白色相间的警戒色，或在风机塔架上设置“恐怖眼”进行驱鸟，使鸟类在迁徙中能及时回避，减少鸟机碰撞的概率。</w:t>
      </w:r>
    </w:p>
    <w:p w14:paraId="53AEB3CE">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②集电线路在运行过程中对惊飞的鸟类有一定的撞击影响，根据鸟类的视觉特征，将集电线路导线设置成对鸟类具有警示作用的颜色（红色或黄色），提醒鸟类对障碍物的识别，减少碰撞几率。因此，建议集电线路上安装红色或黄色的绝缘保护套。</w:t>
      </w:r>
    </w:p>
    <w:p w14:paraId="69FA128B">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（2）特殊情况下风机的运行管理</w:t>
      </w:r>
    </w:p>
    <w:p w14:paraId="56754D4E">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综合国内外相关研究成果，一般认为，正常情况下风电场对鸟类的迁徙基本不构成影响；但在夜间、云层较低或有雾、鸟类迁徙密度较高时，风机可能对鸟类构成威胁，造成伤害的概率比人们想象的要低很多，但不排除鸟类迁徙经过、停留觅食时被风机伤害的可能性。因此风电场对候鸟迁徙的影响相对较小，但也不排除特殊情况的发生，如在恶劣的气象条件下，或是鸟类迁徙期，必要时应停止部分风机的运行。极端气象条件下(极端风速、低温、大雾等) ，应采取一定的环境风险防范措施，如启动风机锁死功能，加强风机的运行管理，以免造成不必要的损失。</w:t>
      </w:r>
    </w:p>
    <w:p w14:paraId="1DE41950">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(3)综合管理，加强生态保护宣传教育</w:t>
      </w:r>
    </w:p>
    <w:p w14:paraId="5BC4A7DF">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在工地及周边设立爱护鸟类和自然植被的宣传牌。加强运营期人员教育，严禁偷猎和破坏野生动物生境的行为。并采取适当的奖惩制度，奖励保护生态环境的积极人员，惩罚破坏生态环境的人员。</w:t>
      </w:r>
    </w:p>
    <w:p w14:paraId="66BBBA82">
      <w:pPr>
        <w:pStyle w:val="4"/>
        <w:keepNext/>
        <w:keepLines/>
        <w:pageBreakBefore w:val="0"/>
        <w:widowControl w:val="0"/>
        <w:numPr>
          <w:ilvl w:val="0"/>
          <w:numId w:val="0"/>
        </w:numPr>
        <w:tabs>
          <w:tab w:val="left" w:pos="630"/>
          <w:tab w:val="left" w:pos="3403"/>
        </w:tabs>
        <w:kinsoku/>
        <w:wordWrap w:val="0"/>
        <w:overflowPunct/>
        <w:topLinePunct w:val="0"/>
        <w:autoSpaceDE/>
        <w:autoSpaceDN/>
        <w:bidi w:val="0"/>
        <w:adjustRightInd/>
        <w:snapToGrid w:val="0"/>
        <w:spacing w:beforeLines="0" w:after="0" w:afterLines="0" w:line="360" w:lineRule="auto"/>
        <w:ind w:left="0" w:leftChars="0"/>
        <w:textAlignment w:val="auto"/>
        <w:outlineLvl w:val="1"/>
        <w:rPr>
          <w:rFonts w:hint="default" w:ascii="Times New Roman" w:hAnsi="Times New Roman" w:cs="Times New Roman" w:eastAsiaTheme="minorEastAsia"/>
          <w:color w:val="auto"/>
          <w:sz w:val="30"/>
          <w:highlight w:val="none"/>
          <w:lang w:val="en-US" w:eastAsia="zh-CN"/>
        </w:rPr>
      </w:pPr>
      <w:bookmarkStart w:id="508" w:name="_Toc24348"/>
      <w:r>
        <w:rPr>
          <w:rFonts w:hint="default" w:ascii="Times New Roman" w:hAnsi="Times New Roman" w:cs="Times New Roman" w:eastAsiaTheme="minorEastAsia"/>
          <w:color w:val="auto"/>
          <w:sz w:val="30"/>
          <w:highlight w:val="none"/>
          <w:lang w:val="en-US" w:eastAsia="zh-CN"/>
        </w:rPr>
        <w:t>6.</w:t>
      </w:r>
      <w:r>
        <w:rPr>
          <w:rFonts w:hint="eastAsia" w:ascii="Times New Roman" w:hAnsi="Times New Roman" w:cs="Times New Roman" w:eastAsiaTheme="minorEastAsia"/>
          <w:color w:val="auto"/>
          <w:sz w:val="30"/>
          <w:highlight w:val="none"/>
          <w:lang w:val="en-US" w:eastAsia="zh-CN"/>
        </w:rPr>
        <w:t>6</w:t>
      </w:r>
      <w:r>
        <w:rPr>
          <w:rFonts w:hint="default" w:ascii="Times New Roman" w:hAnsi="Times New Roman" w:cs="Times New Roman" w:eastAsiaTheme="minorEastAsia"/>
          <w:color w:val="auto"/>
          <w:sz w:val="30"/>
          <w:highlight w:val="none"/>
          <w:lang w:val="en-US" w:eastAsia="zh-CN"/>
        </w:rPr>
        <w:t xml:space="preserve"> 水源地保护措施</w:t>
      </w:r>
      <w:bookmarkEnd w:id="508"/>
    </w:p>
    <w:p w14:paraId="60FDD235">
      <w:pPr>
        <w:pStyle w:val="11"/>
        <w:keepNext/>
        <w:keepLines/>
        <w:pageBreakBefore w:val="0"/>
        <w:widowControl w:val="0"/>
        <w:kinsoku/>
        <w:wordWrap/>
        <w:overflowPunct/>
        <w:topLinePunct w:val="0"/>
        <w:autoSpaceDE/>
        <w:autoSpaceDN/>
        <w:bidi w:val="0"/>
        <w:adjustRightInd/>
        <w:snapToGrid w:val="0"/>
        <w:spacing w:beforeLines="0" w:afterLines="0"/>
        <w:ind w:left="0"/>
        <w:textAlignment w:val="auto"/>
        <w:outlineLvl w:val="2"/>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lang w:val="en-US" w:eastAsia="zh-CN"/>
        </w:rPr>
        <w:t>6.</w:t>
      </w:r>
      <w:r>
        <w:rPr>
          <w:rFonts w:hint="eastAsia" w:cs="Times New Roman" w:eastAsiaTheme="minorEastAsia"/>
          <w:color w:val="auto"/>
          <w:highlight w:val="none"/>
          <w:lang w:val="en-US" w:eastAsia="zh-CN"/>
        </w:rPr>
        <w:t>6</w:t>
      </w:r>
      <w:r>
        <w:rPr>
          <w:rFonts w:hint="default" w:ascii="Times New Roman" w:hAnsi="Times New Roman" w:cs="Times New Roman" w:eastAsiaTheme="minorEastAsia"/>
          <w:color w:val="auto"/>
          <w:highlight w:val="none"/>
          <w:lang w:val="en-US" w:eastAsia="zh-CN"/>
        </w:rPr>
        <w:t>.1施工期水源地防护措施</w:t>
      </w:r>
    </w:p>
    <w:p w14:paraId="6922C83C">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auto"/>
          <w:sz w:val="24"/>
          <w:highlight w:val="none"/>
          <w:lang w:val="en-US" w:eastAsia="zh-CN"/>
        </w:rPr>
      </w:pPr>
      <w:r>
        <w:rPr>
          <w:rFonts w:hint="default" w:ascii="Times New Roman" w:hAnsi="Times New Roman" w:cs="Times New Roman" w:eastAsiaTheme="minorEastAsia"/>
          <w:snapToGrid w:val="0"/>
          <w:color w:val="auto"/>
          <w:sz w:val="24"/>
          <w:highlight w:val="none"/>
          <w:lang w:val="en-US" w:eastAsia="zh-CN"/>
        </w:rPr>
        <w:t>为保护地下水水源保护区的水质，本次评价对项目施工期提出如下要求：</w:t>
      </w:r>
    </w:p>
    <w:p w14:paraId="494FFC2F">
      <w:pPr>
        <w:ind w:left="0" w:leftChars="0" w:firstLine="480" w:firstLineChars="200"/>
        <w:rPr>
          <w:rFonts w:hint="eastAsia" w:ascii="Times New Roman" w:hAnsi="Times New Roman" w:cs="Times New Roman" w:eastAsiaTheme="minorEastAsia"/>
          <w:snapToGrid w:val="0"/>
          <w:color w:val="auto"/>
          <w:sz w:val="24"/>
          <w:highlight w:val="none"/>
          <w:lang w:val="en-US" w:eastAsia="zh-CN"/>
        </w:rPr>
      </w:pPr>
      <w:r>
        <w:rPr>
          <w:rFonts w:hint="default" w:ascii="Times New Roman" w:hAnsi="Times New Roman" w:cs="Times New Roman" w:eastAsiaTheme="minorEastAsia"/>
          <w:snapToGrid w:val="0"/>
          <w:color w:val="auto"/>
          <w:sz w:val="24"/>
          <w:highlight w:val="none"/>
          <w:lang w:val="en-US" w:eastAsia="zh-CN"/>
        </w:rPr>
        <w:t>①严禁将各施工临建场地布置于</w:t>
      </w:r>
      <w:r>
        <w:rPr>
          <w:rFonts w:hint="eastAsia" w:ascii="Times New Roman" w:hAnsi="Times New Roman" w:cs="Times New Roman" w:eastAsiaTheme="minorEastAsia"/>
          <w:snapToGrid w:val="0"/>
          <w:color w:val="auto"/>
          <w:sz w:val="24"/>
          <w:highlight w:val="none"/>
          <w:lang w:val="en-US" w:eastAsia="zh-CN"/>
        </w:rPr>
        <w:t>西山地下饮用水源地二级保护区、甘河子（含铁</w:t>
      </w:r>
    </w:p>
    <w:p w14:paraId="58491872">
      <w:pPr>
        <w:ind w:left="0" w:leftChars="0" w:firstLine="0" w:firstLineChars="0"/>
        <w:rPr>
          <w:rFonts w:hint="default" w:ascii="Times New Roman" w:hAnsi="Times New Roman" w:cs="Times New Roman" w:eastAsiaTheme="minorEastAsia"/>
          <w:snapToGrid w:val="0"/>
          <w:color w:val="auto"/>
          <w:sz w:val="24"/>
          <w:highlight w:val="none"/>
          <w:lang w:val="en-US" w:eastAsia="zh-CN"/>
        </w:rPr>
      </w:pPr>
      <w:r>
        <w:rPr>
          <w:rFonts w:hint="eastAsia" w:ascii="Times New Roman" w:hAnsi="Times New Roman" w:cs="Times New Roman" w:eastAsiaTheme="minorEastAsia"/>
          <w:snapToGrid w:val="0"/>
          <w:color w:val="auto"/>
          <w:sz w:val="24"/>
          <w:highlight w:val="none"/>
          <w:lang w:val="en-US" w:eastAsia="zh-CN"/>
        </w:rPr>
        <w:t>路专供）地下饮用水源地二级保护区</w:t>
      </w:r>
      <w:r>
        <w:rPr>
          <w:rFonts w:hint="default" w:ascii="Times New Roman" w:hAnsi="Times New Roman" w:cs="Times New Roman" w:eastAsiaTheme="minorEastAsia"/>
          <w:snapToGrid w:val="0"/>
          <w:color w:val="auto"/>
          <w:sz w:val="24"/>
          <w:highlight w:val="none"/>
          <w:lang w:val="en-US" w:eastAsia="zh-CN"/>
        </w:rPr>
        <w:t>内，不得设置弃渣场与弃土场，不得在水源保护区周围随意排污。</w:t>
      </w:r>
    </w:p>
    <w:p w14:paraId="52DC1B37">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auto"/>
          <w:sz w:val="24"/>
          <w:highlight w:val="none"/>
          <w:lang w:val="en-US" w:eastAsia="zh-CN"/>
        </w:rPr>
      </w:pPr>
      <w:r>
        <w:rPr>
          <w:rFonts w:hint="default" w:ascii="Times New Roman" w:hAnsi="Times New Roman" w:cs="Times New Roman" w:eastAsiaTheme="minorEastAsia"/>
          <w:snapToGrid w:val="0"/>
          <w:color w:val="auto"/>
          <w:sz w:val="24"/>
          <w:highlight w:val="none"/>
          <w:lang w:val="en-US" w:eastAsia="zh-CN"/>
        </w:rPr>
        <w:t>②禁止在保护区排放污染物。施工营地生活区设置移动环保厕所及防渗污水收集池，营地食堂及洗漱废水排入防渗污水收集池；粪便污水排入环保厕所；生活污水及粪便污水定期拉运至达坂城区污水处理厂处理；施工车辆冲洗废水集中收集至沉淀池处理后循环使用，不外排。施工期结束后将临时废水处理设施拆除并进行相应的土地恢复和平整。</w:t>
      </w:r>
    </w:p>
    <w:p w14:paraId="3C71072C">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auto"/>
          <w:sz w:val="24"/>
          <w:highlight w:val="none"/>
          <w:lang w:val="en-US" w:eastAsia="zh-CN"/>
        </w:rPr>
      </w:pPr>
      <w:r>
        <w:rPr>
          <w:rFonts w:hint="default" w:ascii="Times New Roman" w:hAnsi="Times New Roman" w:cs="Times New Roman" w:eastAsiaTheme="minorEastAsia"/>
          <w:snapToGrid w:val="0"/>
          <w:color w:val="auto"/>
          <w:sz w:val="24"/>
          <w:highlight w:val="none"/>
          <w:lang w:val="en-US" w:eastAsia="zh-CN"/>
        </w:rPr>
        <w:t>③项目施工避开暴雨天气和大风天气，施工料场及土石方堆场用苫布进行苫盖。</w:t>
      </w:r>
    </w:p>
    <w:p w14:paraId="4A3F791E">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snapToGrid w:val="0"/>
          <w:color w:val="auto"/>
          <w:sz w:val="24"/>
          <w:highlight w:val="none"/>
          <w:lang w:val="en-US" w:eastAsia="zh-CN"/>
        </w:rPr>
      </w:pPr>
      <w:r>
        <w:rPr>
          <w:rFonts w:hint="default" w:ascii="Times New Roman" w:hAnsi="Times New Roman" w:cs="Times New Roman" w:eastAsiaTheme="minorEastAsia"/>
          <w:snapToGrid w:val="0"/>
          <w:color w:val="auto"/>
          <w:sz w:val="24"/>
          <w:highlight w:val="none"/>
          <w:lang w:val="en-US" w:eastAsia="zh-CN"/>
        </w:rPr>
        <w:t>④本项目施工期产生的各类固体废物均妥善处置，不得向水源保护区、准保护区倾倒；不得向水源保护区排放污染物，在水源保护区、准保护区内不得设置排污口。</w:t>
      </w:r>
    </w:p>
    <w:p w14:paraId="2A40D27B">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auto"/>
          <w:sz w:val="24"/>
          <w:highlight w:val="none"/>
          <w:lang w:val="en-US" w:eastAsia="zh-CN"/>
        </w:rPr>
      </w:pPr>
      <w:r>
        <w:rPr>
          <w:rFonts w:hint="default" w:ascii="Times New Roman" w:hAnsi="Times New Roman" w:cs="Times New Roman" w:eastAsiaTheme="minorEastAsia"/>
          <w:snapToGrid w:val="0"/>
          <w:color w:val="auto"/>
          <w:sz w:val="24"/>
          <w:highlight w:val="none"/>
          <w:lang w:val="en-US" w:eastAsia="zh-CN"/>
        </w:rPr>
        <w:t>⑤禁止在水源保护区内给车辆、设备加油，定期维护和保养施工机械，减少建设过程中滴漏的油污。机械设备若有漏油现象要及时处理，避免污染区域土壤及地下水。</w:t>
      </w:r>
    </w:p>
    <w:p w14:paraId="15AC58FF">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auto"/>
          <w:sz w:val="24"/>
          <w:highlight w:val="none"/>
          <w:lang w:val="en-US" w:eastAsia="zh-CN"/>
        </w:rPr>
      </w:pPr>
      <w:r>
        <w:rPr>
          <w:rFonts w:hint="default" w:ascii="Times New Roman" w:hAnsi="Times New Roman" w:cs="Times New Roman" w:eastAsiaTheme="minorEastAsia"/>
          <w:snapToGrid w:val="0"/>
          <w:color w:val="auto"/>
          <w:sz w:val="24"/>
          <w:highlight w:val="none"/>
          <w:lang w:val="en-US" w:eastAsia="zh-CN"/>
        </w:rPr>
        <w:t>⑥施工场地内不设置机械修配，施工机械修理维护依托</w:t>
      </w:r>
      <w:r>
        <w:rPr>
          <w:rFonts w:hint="eastAsia" w:cs="Times New Roman" w:eastAsiaTheme="minorEastAsia"/>
          <w:snapToGrid w:val="0"/>
          <w:color w:val="auto"/>
          <w:sz w:val="24"/>
          <w:highlight w:val="none"/>
          <w:lang w:val="en-US" w:eastAsia="zh-CN"/>
        </w:rPr>
        <w:t>附近</w:t>
      </w:r>
      <w:r>
        <w:rPr>
          <w:rFonts w:hint="default" w:ascii="Times New Roman" w:hAnsi="Times New Roman" w:cs="Times New Roman" w:eastAsiaTheme="minorEastAsia"/>
          <w:snapToGrid w:val="0"/>
          <w:color w:val="auto"/>
          <w:sz w:val="24"/>
          <w:highlight w:val="none"/>
          <w:lang w:val="en-US" w:eastAsia="zh-CN"/>
        </w:rPr>
        <w:t>商业机修站维修。混凝土将依托乌鲁木齐现有的商品混凝土，施工场地内不设置修理厂及混凝土拌合站。</w:t>
      </w:r>
    </w:p>
    <w:p w14:paraId="48175A44">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auto"/>
          <w:sz w:val="24"/>
          <w:highlight w:val="none"/>
          <w:lang w:val="en-US" w:eastAsia="zh-CN"/>
        </w:rPr>
      </w:pPr>
      <w:r>
        <w:rPr>
          <w:rFonts w:hint="default" w:ascii="Times New Roman" w:hAnsi="Times New Roman" w:cs="Times New Roman" w:eastAsiaTheme="minorEastAsia"/>
          <w:snapToGrid w:val="0"/>
          <w:color w:val="auto"/>
          <w:sz w:val="24"/>
          <w:highlight w:val="none"/>
          <w:lang w:val="en-US" w:eastAsia="zh-CN"/>
        </w:rPr>
        <w:t>⑦加强对全体施工人员环境保护和水土保持方面的宣传教育，尤其是对本项目涉及的地下水源地二级保护区的环境保护宣传教育，施工临建场地设置环保宣传牌，提高全员环境保护和水土保持的意识。</w:t>
      </w:r>
    </w:p>
    <w:p w14:paraId="085BC440">
      <w:pPr>
        <w:pStyle w:val="11"/>
        <w:keepNext/>
        <w:keepLines/>
        <w:pageBreakBefore w:val="0"/>
        <w:widowControl w:val="0"/>
        <w:kinsoku/>
        <w:wordWrap/>
        <w:overflowPunct/>
        <w:topLinePunct w:val="0"/>
        <w:autoSpaceDE/>
        <w:autoSpaceDN/>
        <w:bidi w:val="0"/>
        <w:adjustRightInd/>
        <w:snapToGrid/>
        <w:ind w:left="0"/>
        <w:textAlignment w:val="auto"/>
        <w:outlineLvl w:val="2"/>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lang w:val="en-US" w:eastAsia="zh-CN"/>
        </w:rPr>
        <w:t>6.</w:t>
      </w:r>
      <w:r>
        <w:rPr>
          <w:rFonts w:hint="eastAsia" w:cs="Times New Roman" w:eastAsiaTheme="minorEastAsia"/>
          <w:color w:val="auto"/>
          <w:highlight w:val="none"/>
          <w:lang w:val="en-US" w:eastAsia="zh-CN"/>
        </w:rPr>
        <w:t>6</w:t>
      </w:r>
      <w:r>
        <w:rPr>
          <w:rFonts w:hint="default" w:ascii="Times New Roman" w:hAnsi="Times New Roman" w:cs="Times New Roman" w:eastAsiaTheme="minorEastAsia"/>
          <w:color w:val="auto"/>
          <w:highlight w:val="none"/>
          <w:lang w:val="en-US" w:eastAsia="zh-CN"/>
        </w:rPr>
        <w:t>.2运营期水源地防护措施</w:t>
      </w:r>
    </w:p>
    <w:p w14:paraId="5DF2FA52">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auto"/>
          <w:sz w:val="24"/>
          <w:highlight w:val="none"/>
          <w:lang w:val="en-US" w:eastAsia="zh-CN"/>
        </w:rPr>
      </w:pPr>
      <w:r>
        <w:rPr>
          <w:rFonts w:hint="default" w:ascii="Times New Roman" w:hAnsi="Times New Roman" w:cs="Times New Roman" w:eastAsiaTheme="minorEastAsia"/>
          <w:snapToGrid w:val="0"/>
          <w:color w:val="auto"/>
          <w:sz w:val="24"/>
          <w:highlight w:val="none"/>
          <w:lang w:val="en-US" w:eastAsia="zh-CN"/>
        </w:rPr>
        <w:t>项目运营期水源地防护措施如下：</w:t>
      </w:r>
    </w:p>
    <w:p w14:paraId="029462B0">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auto"/>
          <w:sz w:val="24"/>
          <w:highlight w:val="none"/>
          <w:lang w:val="en-US" w:eastAsia="zh-CN"/>
        </w:rPr>
      </w:pPr>
      <w:r>
        <w:rPr>
          <w:rFonts w:hint="default" w:ascii="Times New Roman" w:hAnsi="Times New Roman" w:cs="Times New Roman" w:eastAsiaTheme="minorEastAsia"/>
          <w:snapToGrid w:val="0"/>
          <w:color w:val="auto"/>
          <w:sz w:val="24"/>
          <w:highlight w:val="none"/>
          <w:lang w:val="en-US" w:eastAsia="zh-CN"/>
        </w:rPr>
        <w:t>①本项目风机采用永磁风机、箱变采用干式变压器。</w:t>
      </w:r>
    </w:p>
    <w:p w14:paraId="46DB2ED4">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eastAsiaTheme="minorEastAsia"/>
          <w:snapToGrid w:val="0"/>
          <w:color w:val="auto"/>
          <w:sz w:val="24"/>
          <w:highlight w:val="none"/>
          <w:lang w:val="en-US" w:eastAsia="zh-CN"/>
        </w:rPr>
        <w:t>②风电场区产生的报废零部件和废风机叶片不在场区暂存，直接由生产厂家回收处理，不得随意自行处置。风电场区检修时产生的生活垃圾集中收集后，定期运送到周边垃圾中转站转运，统一处置。本项目运营期产生的其他各类固体废物均即产即清，妥善处置，不得向水体和水源保护区、准保护区倾倒任何固体废物。</w:t>
      </w:r>
    </w:p>
    <w:p w14:paraId="54156D1A">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FF0000"/>
          <w:sz w:val="24"/>
          <w:highlight w:val="none"/>
          <w:lang w:val="en-US" w:eastAsia="zh-CN"/>
        </w:rPr>
      </w:pPr>
    </w:p>
    <w:p w14:paraId="3041B25D">
      <w:pPr>
        <w:ind w:left="0" w:leftChars="0" w:firstLine="0" w:firstLineChars="0"/>
        <w:rPr>
          <w:rFonts w:hint="default" w:ascii="Times New Roman" w:hAnsi="Times New Roman" w:cs="Times New Roman" w:eastAsiaTheme="minorEastAsia"/>
          <w:b/>
          <w:color w:val="FF0000"/>
          <w:kern w:val="44"/>
          <w:sz w:val="32"/>
          <w:highlight w:val="none"/>
          <w:lang w:val="en-US" w:eastAsia="zh-CN"/>
        </w:rPr>
      </w:pPr>
      <w:bookmarkStart w:id="509" w:name="_Toc3743"/>
      <w:r>
        <w:rPr>
          <w:rFonts w:hint="default" w:ascii="Times New Roman" w:hAnsi="Times New Roman" w:cs="Times New Roman" w:eastAsiaTheme="minorEastAsia"/>
          <w:b/>
          <w:color w:val="FF0000"/>
          <w:kern w:val="44"/>
          <w:sz w:val="32"/>
          <w:highlight w:val="none"/>
          <w:lang w:val="en-US" w:eastAsia="zh-CN"/>
        </w:rPr>
        <w:br w:type="page"/>
      </w:r>
    </w:p>
    <w:p w14:paraId="4A5B4D8E">
      <w:pPr>
        <w:pStyle w:val="3"/>
        <w:keepNext/>
        <w:keepLines/>
        <w:pageBreakBefore w:val="0"/>
        <w:widowControl w:val="0"/>
        <w:numPr>
          <w:ilvl w:val="0"/>
          <w:numId w:val="0"/>
        </w:numPr>
        <w:tabs>
          <w:tab w:val="left" w:pos="525"/>
        </w:tabs>
        <w:kinsoku/>
        <w:wordWrap w:val="0"/>
        <w:overflowPunct/>
        <w:topLinePunct w:val="0"/>
        <w:autoSpaceDE/>
        <w:autoSpaceDN/>
        <w:bidi w:val="0"/>
        <w:adjustRightInd/>
        <w:snapToGrid/>
        <w:spacing w:before="0" w:beforeLines="0" w:after="0" w:afterLines="0" w:line="360" w:lineRule="auto"/>
        <w:ind w:left="0"/>
        <w:textAlignment w:val="auto"/>
        <w:outlineLvl w:val="0"/>
        <w:rPr>
          <w:rFonts w:hint="default" w:ascii="Times New Roman" w:hAnsi="Times New Roman" w:cs="Times New Roman" w:eastAsiaTheme="minorEastAsia"/>
          <w:color w:val="auto"/>
          <w:sz w:val="32"/>
          <w:highlight w:val="none"/>
          <w:lang w:val="en-US" w:eastAsia="zh-CN"/>
        </w:rPr>
      </w:pPr>
      <w:bookmarkStart w:id="510" w:name="_Toc15260"/>
      <w:bookmarkStart w:id="511" w:name="_Toc12671"/>
      <w:r>
        <w:rPr>
          <w:rFonts w:hint="default" w:ascii="Times New Roman" w:hAnsi="Times New Roman" w:cs="Times New Roman" w:eastAsiaTheme="minorEastAsia"/>
          <w:color w:val="auto"/>
          <w:sz w:val="32"/>
          <w:highlight w:val="none"/>
          <w:lang w:val="en-US" w:eastAsia="zh-CN"/>
        </w:rPr>
        <w:t>7 环境影响经济损益分析</w:t>
      </w:r>
      <w:bookmarkEnd w:id="509"/>
      <w:bookmarkEnd w:id="510"/>
      <w:bookmarkEnd w:id="511"/>
    </w:p>
    <w:p w14:paraId="2FBA6E5B">
      <w:pPr>
        <w:pStyle w:val="4"/>
        <w:keepNext/>
        <w:keepLines/>
        <w:pageBreakBefore w:val="0"/>
        <w:widowControl w:val="0"/>
        <w:numPr>
          <w:ilvl w:val="0"/>
          <w:numId w:val="0"/>
        </w:numPr>
        <w:tabs>
          <w:tab w:val="left" w:pos="630"/>
          <w:tab w:val="left" w:pos="3403"/>
        </w:tabs>
        <w:kinsoku/>
        <w:wordWrap w:val="0"/>
        <w:overflowPunct/>
        <w:topLinePunct w:val="0"/>
        <w:autoSpaceDE/>
        <w:autoSpaceDN/>
        <w:bidi w:val="0"/>
        <w:adjustRightInd/>
        <w:snapToGrid/>
        <w:spacing w:before="0" w:beforeLines="0" w:after="0" w:afterLines="0" w:line="360" w:lineRule="auto"/>
        <w:ind w:left="0" w:leftChars="0"/>
        <w:textAlignment w:val="auto"/>
        <w:outlineLvl w:val="1"/>
        <w:rPr>
          <w:rFonts w:hint="default" w:ascii="Times New Roman" w:hAnsi="Times New Roman" w:cs="Times New Roman" w:eastAsiaTheme="minorEastAsia"/>
          <w:color w:val="auto"/>
          <w:sz w:val="30"/>
          <w:highlight w:val="none"/>
          <w:lang w:val="en-US" w:eastAsia="zh-CN"/>
        </w:rPr>
      </w:pPr>
      <w:bookmarkStart w:id="512" w:name="_Toc6643"/>
      <w:bookmarkStart w:id="513" w:name="_Toc9837"/>
      <w:bookmarkStart w:id="514" w:name="_Toc19746"/>
      <w:r>
        <w:rPr>
          <w:rFonts w:hint="default" w:ascii="Times New Roman" w:hAnsi="Times New Roman" w:cs="Times New Roman" w:eastAsiaTheme="minorEastAsia"/>
          <w:color w:val="auto"/>
          <w:sz w:val="30"/>
          <w:highlight w:val="none"/>
          <w:lang w:val="en-US" w:eastAsia="zh-CN"/>
        </w:rPr>
        <w:t>7.1 概述</w:t>
      </w:r>
      <w:bookmarkEnd w:id="512"/>
      <w:bookmarkEnd w:id="513"/>
      <w:bookmarkEnd w:id="514"/>
    </w:p>
    <w:p w14:paraId="43EBEB94">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环境影响经济损益分析主要是评价建设项目实施后对环境造成的损失费用和采用各种</w:t>
      </w:r>
      <w:r>
        <w:rPr>
          <w:rFonts w:hint="eastAsia" w:ascii="Times New Roman" w:hAnsi="Times New Roman" w:cs="Times New Roman" w:eastAsiaTheme="minorEastAsia"/>
          <w:color w:val="auto"/>
          <w:sz w:val="24"/>
          <w:highlight w:val="none"/>
          <w:lang w:val="en-US" w:eastAsia="zh-CN"/>
        </w:rPr>
        <w:t>环境治理措施</w:t>
      </w:r>
      <w:r>
        <w:rPr>
          <w:rFonts w:hint="default" w:ascii="Times New Roman" w:hAnsi="Times New Roman" w:cs="Times New Roman" w:eastAsiaTheme="minorEastAsia"/>
          <w:color w:val="auto"/>
          <w:sz w:val="24"/>
          <w:highlight w:val="none"/>
          <w:lang w:val="en-US" w:eastAsia="zh-CN"/>
        </w:rPr>
        <w:t>带来的社会、经济和环境效益。环境损失费用主要有污染物排放和污染事故造成对周围生态环境和人体健康影响的损失价值、资源能源的流失价值和维持各种环保治理设施而投入的运行、维修及管理费用等。环境经济收益主要包括实施各种环保措施后，对资源能源的回收与综合利用价值、减轻环境污染所带来的社会效益和环境效益。</w:t>
      </w:r>
    </w:p>
    <w:p w14:paraId="007BCBBE">
      <w:pPr>
        <w:pStyle w:val="4"/>
        <w:keepNext/>
        <w:keepLines/>
        <w:pageBreakBefore w:val="0"/>
        <w:widowControl w:val="0"/>
        <w:numPr>
          <w:ilvl w:val="0"/>
          <w:numId w:val="0"/>
        </w:numPr>
        <w:tabs>
          <w:tab w:val="left" w:pos="630"/>
          <w:tab w:val="left" w:pos="3403"/>
        </w:tabs>
        <w:kinsoku/>
        <w:wordWrap w:val="0"/>
        <w:overflowPunct/>
        <w:topLinePunct w:val="0"/>
        <w:autoSpaceDE/>
        <w:autoSpaceDN/>
        <w:bidi w:val="0"/>
        <w:adjustRightInd/>
        <w:snapToGrid/>
        <w:spacing w:before="0" w:beforeLines="0" w:after="0" w:afterLines="0" w:line="360" w:lineRule="auto"/>
        <w:ind w:left="0" w:leftChars="0"/>
        <w:textAlignment w:val="auto"/>
        <w:outlineLvl w:val="1"/>
        <w:rPr>
          <w:rFonts w:hint="default" w:ascii="Times New Roman" w:hAnsi="Times New Roman" w:cs="Times New Roman" w:eastAsiaTheme="minorEastAsia"/>
          <w:color w:val="auto"/>
          <w:sz w:val="30"/>
          <w:highlight w:val="none"/>
          <w:lang w:val="en-US" w:eastAsia="zh-CN"/>
        </w:rPr>
      </w:pPr>
      <w:bookmarkStart w:id="515" w:name="_Toc15466"/>
      <w:bookmarkStart w:id="516" w:name="_Toc2761"/>
      <w:bookmarkStart w:id="517" w:name="_Toc10781"/>
      <w:r>
        <w:rPr>
          <w:rFonts w:hint="default" w:ascii="Times New Roman" w:hAnsi="Times New Roman" w:cs="Times New Roman" w:eastAsiaTheme="minorEastAsia"/>
          <w:color w:val="auto"/>
          <w:sz w:val="30"/>
          <w:highlight w:val="none"/>
          <w:lang w:val="en-US" w:eastAsia="zh-CN"/>
        </w:rPr>
        <w:t>7.2 经济效益分析</w:t>
      </w:r>
      <w:bookmarkEnd w:id="515"/>
      <w:bookmarkEnd w:id="516"/>
      <w:bookmarkEnd w:id="517"/>
    </w:p>
    <w:p w14:paraId="1F08D371">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本项目总投资为</w:t>
      </w:r>
      <w:r>
        <w:rPr>
          <w:rFonts w:hint="eastAsia" w:ascii="宋体" w:hAnsi="宋体" w:eastAsia="宋体"/>
          <w:color w:val="auto"/>
          <w:sz w:val="24"/>
          <w:lang w:val="en-US" w:eastAsia="zh-CN"/>
        </w:rPr>
        <w:t>56898</w:t>
      </w:r>
      <w:r>
        <w:rPr>
          <w:rFonts w:hint="default" w:ascii="Times New Roman" w:hAnsi="Times New Roman" w:cs="Times New Roman" w:eastAsiaTheme="minorEastAsia"/>
          <w:color w:val="auto"/>
          <w:sz w:val="24"/>
          <w:highlight w:val="none"/>
          <w:lang w:val="en-US" w:eastAsia="zh-CN"/>
        </w:rPr>
        <w:t>万元。建成后经济效益显著、抗风险能力强。从经济评价看，本项目的经济效益较好。</w:t>
      </w:r>
    </w:p>
    <w:p w14:paraId="761F4CB5">
      <w:pPr>
        <w:pStyle w:val="4"/>
        <w:keepNext/>
        <w:keepLines/>
        <w:pageBreakBefore w:val="0"/>
        <w:widowControl w:val="0"/>
        <w:numPr>
          <w:ilvl w:val="0"/>
          <w:numId w:val="0"/>
        </w:numPr>
        <w:tabs>
          <w:tab w:val="left" w:pos="630"/>
          <w:tab w:val="left" w:pos="3403"/>
        </w:tabs>
        <w:kinsoku/>
        <w:wordWrap w:val="0"/>
        <w:overflowPunct/>
        <w:topLinePunct w:val="0"/>
        <w:autoSpaceDE/>
        <w:autoSpaceDN/>
        <w:bidi w:val="0"/>
        <w:adjustRightInd/>
        <w:snapToGrid/>
        <w:spacing w:before="0" w:beforeLines="0" w:after="0" w:afterLines="0" w:line="360" w:lineRule="auto"/>
        <w:ind w:left="0" w:leftChars="0"/>
        <w:textAlignment w:val="auto"/>
        <w:outlineLvl w:val="1"/>
        <w:rPr>
          <w:rFonts w:hint="default" w:ascii="Times New Roman" w:hAnsi="Times New Roman" w:cs="Times New Roman" w:eastAsiaTheme="minorEastAsia"/>
          <w:color w:val="auto"/>
          <w:sz w:val="30"/>
          <w:highlight w:val="none"/>
          <w:lang w:val="en-US" w:eastAsia="zh-CN"/>
        </w:rPr>
      </w:pPr>
      <w:bookmarkStart w:id="518" w:name="_Toc5199"/>
      <w:bookmarkStart w:id="519" w:name="_Toc22515"/>
      <w:bookmarkStart w:id="520" w:name="_Toc4475"/>
      <w:r>
        <w:rPr>
          <w:rFonts w:hint="default" w:ascii="Times New Roman" w:hAnsi="Times New Roman" w:cs="Times New Roman" w:eastAsiaTheme="minorEastAsia"/>
          <w:color w:val="auto"/>
          <w:sz w:val="30"/>
          <w:highlight w:val="none"/>
          <w:lang w:val="en-US" w:eastAsia="zh-CN"/>
        </w:rPr>
        <w:t>7.3 社会效益分析</w:t>
      </w:r>
      <w:bookmarkEnd w:id="518"/>
      <w:bookmarkEnd w:id="519"/>
      <w:bookmarkEnd w:id="520"/>
    </w:p>
    <w:p w14:paraId="2F4B6605">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社会效益是指项目对实现地方社会发展目标所做贡献与影响。社会效益分析作为一种评价方法，它包括对项目与当地社会环境相互影响的分析，以考察项目的社会可行性，保证项目顺利实施，提高投资效益，促进社会发展。本项目社会影响有：</w:t>
      </w:r>
    </w:p>
    <w:p w14:paraId="034C9CDC">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(1)风能是一种可再生的清洁能源，风电项目运行时不需要消耗其他常规能源，不排放任何有害气体，不消耗水资源，具有良好的节能、环境和社会效益。</w:t>
      </w:r>
    </w:p>
    <w:p w14:paraId="5D1CF233">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(2)本项目的运行，一方面为企业带来可观的经济效益，另一方面也活跃了当地的经济行为，由于该项目的投资，满足了当地发展的需求，增加了项目所在地区的财政收入，促进了当地经济的发展。</w:t>
      </w:r>
    </w:p>
    <w:p w14:paraId="504421C6">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(3)在工程施工中有大量的劳动力输入到工程经过的地方，这些人员的进入增加了当地对社会商品和服务业的消费和需求，促进当地服务业的发展。</w:t>
      </w:r>
    </w:p>
    <w:p w14:paraId="41149BA8">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(4)增加了当地居民的就业机会，项目工作岗位用工大部分在当地进行招聘。为社会人员就业提供一定的机会，增加当地居民的创收途径。</w:t>
      </w:r>
    </w:p>
    <w:p w14:paraId="0BADB50B">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(5)在工程建设和运行中，建设单位对当地居民开展的环保宣传活动，对于增强公众的环境意识，促进当地环境环保的工作开展有积极意义。</w:t>
      </w:r>
    </w:p>
    <w:p w14:paraId="76396849">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因此，本项目的建设具有较高的社会效益。</w:t>
      </w:r>
    </w:p>
    <w:p w14:paraId="70079C05">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auto"/>
          <w:sz w:val="24"/>
          <w:highlight w:val="none"/>
          <w:lang w:val="en-US" w:eastAsia="zh-CN"/>
        </w:rPr>
      </w:pPr>
    </w:p>
    <w:p w14:paraId="6DED68CB">
      <w:pPr>
        <w:pStyle w:val="4"/>
        <w:keepNext/>
        <w:keepLines/>
        <w:pageBreakBefore w:val="0"/>
        <w:widowControl w:val="0"/>
        <w:numPr>
          <w:ilvl w:val="0"/>
          <w:numId w:val="0"/>
        </w:numPr>
        <w:tabs>
          <w:tab w:val="left" w:pos="630"/>
          <w:tab w:val="left" w:pos="3403"/>
        </w:tabs>
        <w:kinsoku/>
        <w:wordWrap w:val="0"/>
        <w:overflowPunct/>
        <w:topLinePunct w:val="0"/>
        <w:autoSpaceDE/>
        <w:autoSpaceDN/>
        <w:bidi w:val="0"/>
        <w:adjustRightInd/>
        <w:snapToGrid/>
        <w:spacing w:before="0" w:beforeLines="0" w:after="0" w:afterLines="0" w:line="360" w:lineRule="auto"/>
        <w:ind w:left="0" w:leftChars="0"/>
        <w:textAlignment w:val="auto"/>
        <w:outlineLvl w:val="1"/>
        <w:rPr>
          <w:rFonts w:hint="default" w:ascii="Times New Roman" w:hAnsi="Times New Roman" w:cs="Times New Roman" w:eastAsiaTheme="minorEastAsia"/>
          <w:color w:val="auto"/>
          <w:sz w:val="30"/>
          <w:highlight w:val="none"/>
          <w:lang w:val="en-US" w:eastAsia="zh-CN"/>
        </w:rPr>
      </w:pPr>
      <w:bookmarkStart w:id="521" w:name="_Toc18698"/>
      <w:bookmarkStart w:id="522" w:name="_Toc11542"/>
      <w:bookmarkStart w:id="523" w:name="_Toc28900"/>
      <w:r>
        <w:rPr>
          <w:rFonts w:hint="default" w:ascii="Times New Roman" w:hAnsi="Times New Roman" w:cs="Times New Roman" w:eastAsiaTheme="minorEastAsia"/>
          <w:color w:val="auto"/>
          <w:sz w:val="30"/>
          <w:highlight w:val="none"/>
          <w:lang w:val="en-US" w:eastAsia="zh-CN"/>
        </w:rPr>
        <w:t>7.4 环境效益分析</w:t>
      </w:r>
      <w:bookmarkEnd w:id="521"/>
      <w:bookmarkEnd w:id="522"/>
      <w:bookmarkEnd w:id="523"/>
    </w:p>
    <w:p w14:paraId="3367700B">
      <w:pPr>
        <w:pStyle w:val="11"/>
        <w:keepNext/>
        <w:keepLines/>
        <w:pageBreakBefore w:val="0"/>
        <w:widowControl w:val="0"/>
        <w:kinsoku/>
        <w:wordWrap/>
        <w:overflowPunct/>
        <w:topLinePunct w:val="0"/>
        <w:autoSpaceDE/>
        <w:autoSpaceDN/>
        <w:bidi w:val="0"/>
        <w:adjustRightInd/>
        <w:snapToGrid/>
        <w:ind w:left="0"/>
        <w:textAlignment w:val="auto"/>
        <w:outlineLvl w:val="2"/>
        <w:rPr>
          <w:rFonts w:hint="default" w:ascii="Times New Roman" w:hAnsi="Times New Roman" w:cs="Times New Roman" w:eastAsiaTheme="minorEastAsia"/>
          <w:color w:val="auto"/>
          <w:highlight w:val="none"/>
          <w:lang w:val="en-US" w:eastAsia="zh-CN"/>
        </w:rPr>
      </w:pPr>
      <w:bookmarkStart w:id="524" w:name="_Toc27442"/>
      <w:r>
        <w:rPr>
          <w:rFonts w:hint="default" w:ascii="Times New Roman" w:hAnsi="Times New Roman" w:cs="Times New Roman" w:eastAsiaTheme="minorEastAsia"/>
          <w:color w:val="auto"/>
          <w:highlight w:val="none"/>
          <w:lang w:val="en-US" w:eastAsia="zh-CN"/>
        </w:rPr>
        <w:t>7.4.1 环保投资估算</w:t>
      </w:r>
      <w:bookmarkEnd w:id="524"/>
    </w:p>
    <w:p w14:paraId="4CD0D4DF">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本项目环境保护设施主要有：大气污染治理设施、噪声污染治理设施、废水污染防治措施、固体废物处置设施等，项目废气、废水、固废、噪声等方面的</w:t>
      </w:r>
      <w:r>
        <w:rPr>
          <w:rFonts w:hint="eastAsia" w:ascii="Times New Roman" w:hAnsi="Times New Roman" w:cs="Times New Roman" w:eastAsiaTheme="minorEastAsia"/>
          <w:color w:val="auto"/>
          <w:sz w:val="24"/>
          <w:highlight w:val="none"/>
          <w:lang w:val="en-US" w:eastAsia="zh-CN"/>
        </w:rPr>
        <w:t>环境治理措施</w:t>
      </w:r>
      <w:r>
        <w:rPr>
          <w:rFonts w:hint="default" w:ascii="Times New Roman" w:hAnsi="Times New Roman" w:cs="Times New Roman" w:eastAsiaTheme="minorEastAsia"/>
          <w:color w:val="auto"/>
          <w:sz w:val="24"/>
          <w:highlight w:val="none"/>
          <w:lang w:val="en-US" w:eastAsia="zh-CN"/>
        </w:rPr>
        <w:t>以及环境风险防范措施，根据项目可研报告及本评价补充规定的环保措施，工程环保设施内容及投资估算见表7.4-1。</w:t>
      </w:r>
    </w:p>
    <w:p w14:paraId="6D4DE21D">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建设项目总投资</w:t>
      </w:r>
      <w:r>
        <w:rPr>
          <w:rFonts w:hint="eastAsia" w:ascii="宋体" w:hAnsi="宋体" w:eastAsia="宋体"/>
          <w:color w:val="auto"/>
          <w:sz w:val="24"/>
          <w:lang w:val="en-US" w:eastAsia="zh-CN"/>
        </w:rPr>
        <w:t>56898</w:t>
      </w:r>
      <w:r>
        <w:rPr>
          <w:rFonts w:hint="default" w:ascii="Times New Roman" w:hAnsi="Times New Roman" w:cs="Times New Roman" w:eastAsiaTheme="minorEastAsia"/>
          <w:color w:val="auto"/>
          <w:sz w:val="24"/>
          <w:highlight w:val="none"/>
          <w:lang w:val="en-US" w:eastAsia="zh-CN"/>
        </w:rPr>
        <w:t>万元，环保投资共计</w:t>
      </w:r>
      <w:r>
        <w:rPr>
          <w:rFonts w:hint="eastAsia" w:cs="Times New Roman" w:eastAsiaTheme="minorEastAsia"/>
          <w:color w:val="auto"/>
          <w:sz w:val="24"/>
          <w:highlight w:val="none"/>
          <w:lang w:val="en-US" w:eastAsia="zh-CN"/>
        </w:rPr>
        <w:t>910</w:t>
      </w:r>
      <w:r>
        <w:rPr>
          <w:rFonts w:hint="default" w:ascii="Times New Roman" w:hAnsi="Times New Roman" w:cs="Times New Roman" w:eastAsiaTheme="minorEastAsia"/>
          <w:color w:val="auto"/>
          <w:sz w:val="24"/>
          <w:highlight w:val="none"/>
          <w:lang w:val="en-US" w:eastAsia="zh-CN"/>
        </w:rPr>
        <w:t>万元，占项目总投资的</w:t>
      </w:r>
      <w:r>
        <w:rPr>
          <w:rFonts w:hint="eastAsia" w:ascii="Times New Roman" w:hAnsi="Times New Roman" w:cs="Times New Roman" w:eastAsiaTheme="minorEastAsia"/>
          <w:color w:val="auto"/>
          <w:sz w:val="24"/>
          <w:highlight w:val="none"/>
          <w:lang w:val="en-US" w:eastAsia="zh-CN"/>
        </w:rPr>
        <w:t>1.</w:t>
      </w:r>
      <w:r>
        <w:rPr>
          <w:rFonts w:hint="eastAsia" w:cs="Times New Roman" w:eastAsiaTheme="minorEastAsia"/>
          <w:color w:val="auto"/>
          <w:sz w:val="24"/>
          <w:highlight w:val="none"/>
          <w:lang w:val="en-US" w:eastAsia="zh-CN"/>
        </w:rPr>
        <w:t>6</w:t>
      </w:r>
      <w:r>
        <w:rPr>
          <w:rFonts w:hint="eastAsia" w:ascii="Times New Roman" w:hAnsi="Times New Roman" w:cs="Times New Roman" w:eastAsiaTheme="minorEastAsia"/>
          <w:color w:val="auto"/>
          <w:sz w:val="24"/>
          <w:highlight w:val="none"/>
          <w:lang w:val="en-US" w:eastAsia="zh-CN"/>
        </w:rPr>
        <w:t>%</w:t>
      </w:r>
      <w:r>
        <w:rPr>
          <w:rFonts w:hint="default" w:ascii="Times New Roman" w:hAnsi="Times New Roman" w:cs="Times New Roman" w:eastAsiaTheme="minorEastAsia"/>
          <w:color w:val="auto"/>
          <w:sz w:val="24"/>
          <w:highlight w:val="none"/>
          <w:lang w:val="en-US" w:eastAsia="zh-CN"/>
        </w:rPr>
        <w:t>。</w:t>
      </w:r>
    </w:p>
    <w:p w14:paraId="0EC43E54">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480" w:firstLineChars="200"/>
        <w:jc w:val="both"/>
        <w:textAlignment w:val="auto"/>
        <w:rPr>
          <w:rFonts w:hint="default" w:ascii="Times New Roman" w:hAnsi="Times New Roman" w:cs="Times New Roman" w:eastAsiaTheme="minorEastAsia"/>
          <w:b/>
          <w:color w:val="auto"/>
          <w:kern w:val="0"/>
          <w:sz w:val="24"/>
          <w:highlight w:val="none"/>
          <w:lang w:val="en-US" w:eastAsia="zh-CN"/>
        </w:rPr>
      </w:pPr>
      <w:r>
        <w:rPr>
          <w:rFonts w:hint="default" w:ascii="Times New Roman" w:hAnsi="Times New Roman" w:cs="Times New Roman" w:eastAsiaTheme="minorEastAsia"/>
          <w:b/>
          <w:color w:val="auto"/>
          <w:kern w:val="0"/>
          <w:sz w:val="24"/>
          <w:highlight w:val="none"/>
          <w:lang w:val="en-US" w:eastAsia="zh-CN"/>
        </w:rPr>
        <w:t>表7.4-1            本项目环保设施及投资估算一览表</w:t>
      </w:r>
    </w:p>
    <w:tbl>
      <w:tblPr>
        <w:tblStyle w:val="75"/>
        <w:tblW w:w="915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02"/>
        <w:gridCol w:w="1372"/>
        <w:gridCol w:w="5033"/>
        <w:gridCol w:w="1749"/>
      </w:tblGrid>
      <w:tr w14:paraId="33E6EC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02" w:type="dxa"/>
            <w:tcBorders>
              <w:tl2br w:val="nil"/>
              <w:tr2bl w:val="nil"/>
            </w:tcBorders>
            <w:vAlign w:val="center"/>
          </w:tcPr>
          <w:p w14:paraId="4BA32B2B">
            <w:pPr>
              <w:keepNext w:val="0"/>
              <w:keepLines w:val="0"/>
              <w:pageBreakBefore w:val="0"/>
              <w:widowControl w:val="0"/>
              <w:kinsoku/>
              <w:wordWrap/>
              <w:overflowPunct/>
              <w:topLinePunct w:val="0"/>
              <w:autoSpaceDE/>
              <w:autoSpaceDN/>
              <w:bidi w:val="0"/>
              <w:adjustRightInd/>
              <w:snapToGrid w:val="0"/>
              <w:spacing w:line="320" w:lineRule="exact"/>
              <w:ind w:left="0" w:left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时段</w:t>
            </w:r>
          </w:p>
        </w:tc>
        <w:tc>
          <w:tcPr>
            <w:tcW w:w="1372" w:type="dxa"/>
            <w:tcBorders>
              <w:tl2br w:val="nil"/>
              <w:tr2bl w:val="nil"/>
            </w:tcBorders>
            <w:vAlign w:val="center"/>
          </w:tcPr>
          <w:p w14:paraId="624A19C2">
            <w:pPr>
              <w:keepNext w:val="0"/>
              <w:keepLines w:val="0"/>
              <w:pageBreakBefore w:val="0"/>
              <w:widowControl w:val="0"/>
              <w:kinsoku/>
              <w:wordWrap/>
              <w:overflowPunct/>
              <w:topLinePunct w:val="0"/>
              <w:autoSpaceDE/>
              <w:autoSpaceDN/>
              <w:bidi w:val="0"/>
              <w:adjustRightInd/>
              <w:snapToGrid w:val="0"/>
              <w:spacing w:line="320" w:lineRule="exact"/>
              <w:ind w:left="0" w:left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环节</w:t>
            </w:r>
          </w:p>
        </w:tc>
        <w:tc>
          <w:tcPr>
            <w:tcW w:w="5033" w:type="dxa"/>
            <w:tcBorders>
              <w:tl2br w:val="nil"/>
              <w:tr2bl w:val="nil"/>
            </w:tcBorders>
            <w:vAlign w:val="center"/>
          </w:tcPr>
          <w:p w14:paraId="1530966A">
            <w:pPr>
              <w:keepNext w:val="0"/>
              <w:keepLines w:val="0"/>
              <w:pageBreakBefore w:val="0"/>
              <w:widowControl w:val="0"/>
              <w:kinsoku/>
              <w:wordWrap/>
              <w:overflowPunct/>
              <w:topLinePunct w:val="0"/>
              <w:autoSpaceDE/>
              <w:autoSpaceDN/>
              <w:bidi w:val="0"/>
              <w:adjustRightInd/>
              <w:snapToGrid w:val="0"/>
              <w:spacing w:line="320" w:lineRule="exact"/>
              <w:ind w:left="0" w:left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环保措施</w:t>
            </w:r>
          </w:p>
        </w:tc>
        <w:tc>
          <w:tcPr>
            <w:tcW w:w="1749" w:type="dxa"/>
            <w:tcBorders>
              <w:tl2br w:val="nil"/>
              <w:tr2bl w:val="nil"/>
            </w:tcBorders>
            <w:vAlign w:val="center"/>
          </w:tcPr>
          <w:p w14:paraId="57E31385">
            <w:pPr>
              <w:keepNext w:val="0"/>
              <w:keepLines w:val="0"/>
              <w:pageBreakBefore w:val="0"/>
              <w:widowControl w:val="0"/>
              <w:kinsoku/>
              <w:wordWrap/>
              <w:overflowPunct/>
              <w:topLinePunct w:val="0"/>
              <w:autoSpaceDE/>
              <w:autoSpaceDN/>
              <w:bidi w:val="0"/>
              <w:adjustRightInd/>
              <w:snapToGrid w:val="0"/>
              <w:spacing w:line="320" w:lineRule="exact"/>
              <w:ind w:left="0" w:leftChars="0"/>
              <w:jc w:val="center"/>
              <w:textAlignment w:val="auto"/>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eastAsiaTheme="minorEastAsia"/>
                <w:color w:val="auto"/>
                <w:sz w:val="21"/>
                <w:szCs w:val="21"/>
                <w:highlight w:val="none"/>
              </w:rPr>
              <w:t>投资额</w:t>
            </w:r>
            <w:r>
              <w:rPr>
                <w:rFonts w:hint="default" w:ascii="Times New Roman" w:hAnsi="Times New Roman" w:cs="Times New Roman" w:eastAsiaTheme="minorEastAsia"/>
                <w:color w:val="auto"/>
                <w:sz w:val="21"/>
                <w:szCs w:val="21"/>
                <w:highlight w:val="none"/>
                <w:lang w:eastAsia="zh-CN"/>
              </w:rPr>
              <w:t>(</w:t>
            </w:r>
            <w:r>
              <w:rPr>
                <w:rFonts w:hint="default" w:ascii="Times New Roman" w:hAnsi="Times New Roman" w:cs="Times New Roman" w:eastAsiaTheme="minorEastAsia"/>
                <w:color w:val="auto"/>
                <w:sz w:val="21"/>
                <w:szCs w:val="21"/>
                <w:highlight w:val="none"/>
              </w:rPr>
              <w:t>万元</w:t>
            </w:r>
            <w:r>
              <w:rPr>
                <w:rFonts w:hint="default" w:ascii="Times New Roman" w:hAnsi="Times New Roman" w:cs="Times New Roman" w:eastAsiaTheme="minorEastAsia"/>
                <w:color w:val="auto"/>
                <w:sz w:val="21"/>
                <w:szCs w:val="21"/>
                <w:highlight w:val="none"/>
                <w:lang w:eastAsia="zh-CN"/>
              </w:rPr>
              <w:t>)</w:t>
            </w:r>
          </w:p>
        </w:tc>
      </w:tr>
      <w:tr w14:paraId="0CDD55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02" w:type="dxa"/>
            <w:vMerge w:val="restart"/>
            <w:tcBorders>
              <w:tl2br w:val="nil"/>
              <w:tr2bl w:val="nil"/>
            </w:tcBorders>
            <w:vAlign w:val="center"/>
          </w:tcPr>
          <w:p w14:paraId="75F6EADB">
            <w:pPr>
              <w:keepNext w:val="0"/>
              <w:keepLines w:val="0"/>
              <w:pageBreakBefore w:val="0"/>
              <w:widowControl w:val="0"/>
              <w:kinsoku/>
              <w:wordWrap/>
              <w:overflowPunct/>
              <w:topLinePunct w:val="0"/>
              <w:autoSpaceDE/>
              <w:autoSpaceDN/>
              <w:bidi w:val="0"/>
              <w:adjustRightInd/>
              <w:snapToGrid w:val="0"/>
              <w:spacing w:line="320" w:lineRule="exact"/>
              <w:ind w:left="0" w:left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施工期</w:t>
            </w:r>
          </w:p>
        </w:tc>
        <w:tc>
          <w:tcPr>
            <w:tcW w:w="1372" w:type="dxa"/>
            <w:tcBorders>
              <w:tl2br w:val="nil"/>
              <w:tr2bl w:val="nil"/>
            </w:tcBorders>
            <w:vAlign w:val="center"/>
          </w:tcPr>
          <w:p w14:paraId="7CCAC35D">
            <w:pPr>
              <w:keepNext w:val="0"/>
              <w:keepLines w:val="0"/>
              <w:pageBreakBefore w:val="0"/>
              <w:widowControl w:val="0"/>
              <w:kinsoku/>
              <w:wordWrap/>
              <w:overflowPunct/>
              <w:topLinePunct w:val="0"/>
              <w:autoSpaceDE/>
              <w:autoSpaceDN/>
              <w:bidi w:val="0"/>
              <w:adjustRightInd/>
              <w:snapToGrid w:val="0"/>
              <w:spacing w:line="320" w:lineRule="exact"/>
              <w:ind w:left="0" w:left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废气</w:t>
            </w:r>
          </w:p>
        </w:tc>
        <w:tc>
          <w:tcPr>
            <w:tcW w:w="5033" w:type="dxa"/>
            <w:tcBorders>
              <w:tl2br w:val="nil"/>
              <w:tr2bl w:val="nil"/>
            </w:tcBorders>
            <w:vAlign w:val="center"/>
          </w:tcPr>
          <w:p w14:paraId="6FAE7B8D">
            <w:pPr>
              <w:keepNext w:val="0"/>
              <w:keepLines w:val="0"/>
              <w:pageBreakBefore w:val="0"/>
              <w:widowControl w:val="0"/>
              <w:kinsoku/>
              <w:wordWrap/>
              <w:overflowPunct/>
              <w:topLinePunct w:val="0"/>
              <w:autoSpaceDE/>
              <w:autoSpaceDN/>
              <w:bidi w:val="0"/>
              <w:adjustRightInd/>
              <w:snapToGrid w:val="0"/>
              <w:spacing w:line="320" w:lineRule="exact"/>
              <w:ind w:left="0" w:left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各地块</w:t>
            </w:r>
            <w:r>
              <w:rPr>
                <w:rFonts w:hint="eastAsia" w:ascii="Times New Roman" w:hAnsi="Times New Roman" w:cs="Times New Roman" w:eastAsiaTheme="minorEastAsia"/>
                <w:color w:val="auto"/>
                <w:sz w:val="21"/>
                <w:szCs w:val="21"/>
                <w:highlight w:val="none"/>
                <w:lang w:val="en-US" w:eastAsia="zh-CN"/>
              </w:rPr>
              <w:t>施工围挡喷淋、视频监控、</w:t>
            </w:r>
            <w:r>
              <w:rPr>
                <w:rFonts w:hint="default" w:ascii="Times New Roman" w:hAnsi="Times New Roman" w:cs="Times New Roman" w:eastAsiaTheme="minorEastAsia"/>
                <w:color w:val="auto"/>
                <w:sz w:val="21"/>
                <w:szCs w:val="21"/>
                <w:highlight w:val="none"/>
              </w:rPr>
              <w:t>洒水降尘等设施</w:t>
            </w:r>
          </w:p>
        </w:tc>
        <w:tc>
          <w:tcPr>
            <w:tcW w:w="1749" w:type="dxa"/>
            <w:tcBorders>
              <w:tl2br w:val="nil"/>
              <w:tr2bl w:val="nil"/>
            </w:tcBorders>
            <w:vAlign w:val="center"/>
          </w:tcPr>
          <w:p w14:paraId="22C8B986">
            <w:pPr>
              <w:keepNext w:val="0"/>
              <w:keepLines w:val="0"/>
              <w:pageBreakBefore w:val="0"/>
              <w:widowControl/>
              <w:suppressLineNumbers w:val="0"/>
              <w:kinsoku/>
              <w:wordWrap/>
              <w:overflowPunct/>
              <w:topLinePunct w:val="0"/>
              <w:autoSpaceDE/>
              <w:autoSpaceDN/>
              <w:bidi w:val="0"/>
              <w:adjustRightInd/>
              <w:snapToGrid w:val="0"/>
              <w:spacing w:line="320" w:lineRule="exact"/>
              <w:ind w:left="0" w:leftChars="0"/>
              <w:jc w:val="center"/>
              <w:textAlignment w:val="center"/>
              <w:rPr>
                <w:rFonts w:hint="default" w:ascii="Times New Roman" w:hAnsi="Times New Roman" w:cs="Times New Roman" w:eastAsiaTheme="minorEastAsia"/>
                <w:color w:val="auto"/>
                <w:sz w:val="21"/>
                <w:szCs w:val="21"/>
                <w:highlight w:val="none"/>
                <w:lang w:val="en-US" w:eastAsia="zh-CN"/>
              </w:rPr>
            </w:pPr>
            <w:r>
              <w:rPr>
                <w:rFonts w:hint="eastAsia" w:ascii="宋体" w:hAnsi="宋体" w:eastAsia="宋体" w:cs="宋体"/>
                <w:i w:val="0"/>
                <w:color w:val="auto"/>
                <w:kern w:val="0"/>
                <w:sz w:val="21"/>
                <w:szCs w:val="21"/>
                <w:u w:val="none"/>
                <w:lang w:val="en-US" w:eastAsia="zh-CN" w:bidi="ar"/>
              </w:rPr>
              <w:t>75</w:t>
            </w:r>
          </w:p>
        </w:tc>
      </w:tr>
      <w:tr w14:paraId="64AF9B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02" w:type="dxa"/>
            <w:vMerge w:val="continue"/>
            <w:tcBorders>
              <w:tl2br w:val="nil"/>
              <w:tr2bl w:val="nil"/>
            </w:tcBorders>
            <w:vAlign w:val="center"/>
          </w:tcPr>
          <w:p w14:paraId="2420D62F">
            <w:pPr>
              <w:keepNext w:val="0"/>
              <w:keepLines w:val="0"/>
              <w:pageBreakBefore w:val="0"/>
              <w:widowControl w:val="0"/>
              <w:kinsoku/>
              <w:wordWrap/>
              <w:overflowPunct/>
              <w:topLinePunct w:val="0"/>
              <w:autoSpaceDE/>
              <w:autoSpaceDN/>
              <w:bidi w:val="0"/>
              <w:adjustRightInd/>
              <w:snapToGrid w:val="0"/>
              <w:spacing w:line="320" w:lineRule="exact"/>
              <w:ind w:left="0" w:leftChars="0"/>
              <w:jc w:val="center"/>
              <w:textAlignment w:val="auto"/>
              <w:rPr>
                <w:rFonts w:hint="default" w:ascii="Times New Roman" w:hAnsi="Times New Roman" w:cs="Times New Roman" w:eastAsiaTheme="minorEastAsia"/>
                <w:color w:val="auto"/>
                <w:sz w:val="21"/>
                <w:szCs w:val="21"/>
                <w:highlight w:val="none"/>
              </w:rPr>
            </w:pPr>
          </w:p>
        </w:tc>
        <w:tc>
          <w:tcPr>
            <w:tcW w:w="1372" w:type="dxa"/>
            <w:tcBorders>
              <w:tl2br w:val="nil"/>
              <w:tr2bl w:val="nil"/>
            </w:tcBorders>
            <w:vAlign w:val="center"/>
          </w:tcPr>
          <w:p w14:paraId="5292D842">
            <w:pPr>
              <w:keepNext w:val="0"/>
              <w:keepLines w:val="0"/>
              <w:pageBreakBefore w:val="0"/>
              <w:widowControl w:val="0"/>
              <w:kinsoku/>
              <w:wordWrap/>
              <w:overflowPunct/>
              <w:topLinePunct w:val="0"/>
              <w:autoSpaceDE/>
              <w:autoSpaceDN/>
              <w:bidi w:val="0"/>
              <w:adjustRightInd/>
              <w:snapToGrid w:val="0"/>
              <w:spacing w:line="320" w:lineRule="exact"/>
              <w:ind w:left="0" w:left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废水</w:t>
            </w:r>
          </w:p>
        </w:tc>
        <w:tc>
          <w:tcPr>
            <w:tcW w:w="5033" w:type="dxa"/>
            <w:tcBorders>
              <w:tl2br w:val="nil"/>
              <w:tr2bl w:val="nil"/>
            </w:tcBorders>
            <w:vAlign w:val="center"/>
          </w:tcPr>
          <w:p w14:paraId="441E7B89">
            <w:pPr>
              <w:keepNext w:val="0"/>
              <w:keepLines w:val="0"/>
              <w:pageBreakBefore w:val="0"/>
              <w:widowControl w:val="0"/>
              <w:kinsoku/>
              <w:wordWrap/>
              <w:overflowPunct/>
              <w:topLinePunct w:val="0"/>
              <w:autoSpaceDE/>
              <w:autoSpaceDN/>
              <w:bidi w:val="0"/>
              <w:adjustRightInd/>
              <w:snapToGrid w:val="0"/>
              <w:spacing w:line="320" w:lineRule="exact"/>
              <w:ind w:left="0" w:leftChars="0"/>
              <w:jc w:val="center"/>
              <w:textAlignment w:val="auto"/>
              <w:rPr>
                <w:rFonts w:hint="default" w:ascii="Times New Roman" w:hAnsi="Times New Roman" w:cs="Times New Roman" w:eastAsiaTheme="minorEastAsia"/>
                <w:color w:val="auto"/>
                <w:sz w:val="21"/>
                <w:szCs w:val="21"/>
                <w:highlight w:val="none"/>
                <w:lang w:val="en-US"/>
              </w:rPr>
            </w:pPr>
            <w:r>
              <w:rPr>
                <w:rFonts w:hint="default" w:ascii="Times New Roman" w:hAnsi="Times New Roman" w:cs="Times New Roman" w:eastAsiaTheme="minorEastAsia"/>
                <w:color w:val="auto"/>
                <w:sz w:val="21"/>
                <w:szCs w:val="21"/>
                <w:highlight w:val="none"/>
                <w:lang w:eastAsia="zh-CN"/>
              </w:rPr>
              <w:t>移动环保厕所、</w:t>
            </w:r>
            <w:r>
              <w:rPr>
                <w:rFonts w:hint="default" w:ascii="Times New Roman" w:hAnsi="Times New Roman" w:cs="Times New Roman" w:eastAsiaTheme="minorEastAsia"/>
                <w:color w:val="auto"/>
                <w:sz w:val="21"/>
                <w:szCs w:val="21"/>
                <w:highlight w:val="none"/>
                <w:lang w:val="en-US" w:eastAsia="zh-CN"/>
              </w:rPr>
              <w:t>2座100m</w:t>
            </w:r>
            <w:r>
              <w:rPr>
                <w:rFonts w:hint="default" w:ascii="Times New Roman" w:hAnsi="Times New Roman" w:cs="Times New Roman" w:eastAsiaTheme="minorEastAsia"/>
                <w:color w:val="auto"/>
                <w:sz w:val="21"/>
                <w:szCs w:val="21"/>
                <w:highlight w:val="none"/>
                <w:vertAlign w:val="superscript"/>
                <w:lang w:val="en-US" w:eastAsia="zh-CN"/>
              </w:rPr>
              <w:t>3</w:t>
            </w:r>
            <w:r>
              <w:rPr>
                <w:rFonts w:hint="default" w:ascii="Times New Roman" w:hAnsi="Times New Roman" w:cs="Times New Roman" w:eastAsiaTheme="minorEastAsia"/>
                <w:color w:val="auto"/>
                <w:sz w:val="21"/>
                <w:szCs w:val="21"/>
                <w:highlight w:val="none"/>
                <w:lang w:val="en-US" w:eastAsia="zh-CN"/>
              </w:rPr>
              <w:t>防渗污水收集池</w:t>
            </w:r>
            <w:r>
              <w:rPr>
                <w:rFonts w:hint="default" w:ascii="Times New Roman" w:hAnsi="Times New Roman" w:cs="Times New Roman" w:eastAsiaTheme="minorEastAsia"/>
                <w:color w:val="auto"/>
                <w:sz w:val="21"/>
                <w:szCs w:val="21"/>
                <w:highlight w:val="none"/>
                <w:lang w:eastAsia="zh-CN"/>
              </w:rPr>
              <w:t>、</w:t>
            </w:r>
            <w:r>
              <w:rPr>
                <w:rFonts w:hint="default" w:ascii="Times New Roman" w:hAnsi="Times New Roman" w:cs="Times New Roman" w:eastAsiaTheme="minorEastAsia"/>
                <w:color w:val="auto"/>
                <w:sz w:val="21"/>
                <w:szCs w:val="21"/>
                <w:highlight w:val="none"/>
                <w:lang w:val="en-US" w:eastAsia="zh-CN"/>
              </w:rPr>
              <w:t>2座</w:t>
            </w:r>
            <w:r>
              <w:rPr>
                <w:rFonts w:hint="eastAsia" w:ascii="Times New Roman" w:hAnsi="Times New Roman" w:cs="Times New Roman" w:eastAsiaTheme="minorEastAsia"/>
                <w:color w:val="auto"/>
                <w:sz w:val="21"/>
                <w:szCs w:val="21"/>
                <w:highlight w:val="none"/>
                <w:lang w:val="en-US" w:eastAsia="zh-CN"/>
              </w:rPr>
              <w:t>5</w:t>
            </w:r>
            <w:r>
              <w:rPr>
                <w:rFonts w:hint="default" w:ascii="Times New Roman" w:hAnsi="Times New Roman" w:cs="Times New Roman" w:eastAsiaTheme="minorEastAsia"/>
                <w:color w:val="auto"/>
                <w:sz w:val="21"/>
                <w:szCs w:val="21"/>
                <w:highlight w:val="none"/>
                <w:lang w:val="en-US" w:eastAsia="zh-CN"/>
              </w:rPr>
              <w:t>0m</w:t>
            </w:r>
            <w:r>
              <w:rPr>
                <w:rFonts w:hint="default" w:ascii="Times New Roman" w:hAnsi="Times New Roman" w:cs="Times New Roman" w:eastAsiaTheme="minorEastAsia"/>
                <w:color w:val="auto"/>
                <w:sz w:val="21"/>
                <w:szCs w:val="21"/>
                <w:highlight w:val="none"/>
                <w:vertAlign w:val="superscript"/>
                <w:lang w:val="en-US" w:eastAsia="zh-CN"/>
              </w:rPr>
              <w:t>3</w:t>
            </w:r>
            <w:r>
              <w:rPr>
                <w:rFonts w:hint="eastAsia" w:ascii="Times New Roman" w:hAnsi="Times New Roman" w:cs="Times New Roman" w:eastAsiaTheme="minorEastAsia"/>
                <w:color w:val="auto"/>
                <w:sz w:val="21"/>
                <w:szCs w:val="21"/>
                <w:highlight w:val="none"/>
                <w:lang w:val="en-US" w:eastAsia="zh-CN"/>
              </w:rPr>
              <w:t>沉淀池</w:t>
            </w:r>
          </w:p>
        </w:tc>
        <w:tc>
          <w:tcPr>
            <w:tcW w:w="1749" w:type="dxa"/>
            <w:tcBorders>
              <w:tl2br w:val="nil"/>
              <w:tr2bl w:val="nil"/>
            </w:tcBorders>
            <w:vAlign w:val="center"/>
          </w:tcPr>
          <w:p w14:paraId="046138CB">
            <w:pPr>
              <w:keepNext w:val="0"/>
              <w:keepLines w:val="0"/>
              <w:pageBreakBefore w:val="0"/>
              <w:widowControl/>
              <w:suppressLineNumbers w:val="0"/>
              <w:kinsoku/>
              <w:wordWrap/>
              <w:overflowPunct/>
              <w:topLinePunct w:val="0"/>
              <w:autoSpaceDE/>
              <w:autoSpaceDN/>
              <w:bidi w:val="0"/>
              <w:adjustRightInd/>
              <w:snapToGrid w:val="0"/>
              <w:spacing w:line="320" w:lineRule="exact"/>
              <w:ind w:left="0" w:leftChars="0"/>
              <w:jc w:val="center"/>
              <w:textAlignment w:val="center"/>
              <w:rPr>
                <w:rFonts w:hint="default" w:ascii="Times New Roman" w:hAnsi="Times New Roman" w:cs="Times New Roman" w:eastAsiaTheme="minorEastAsia"/>
                <w:color w:val="auto"/>
                <w:sz w:val="21"/>
                <w:szCs w:val="21"/>
                <w:highlight w:val="none"/>
                <w:lang w:val="en-US" w:eastAsia="zh-CN"/>
              </w:rPr>
            </w:pPr>
            <w:r>
              <w:rPr>
                <w:rFonts w:hint="eastAsia" w:ascii="宋体" w:hAnsi="宋体" w:eastAsia="宋体" w:cs="宋体"/>
                <w:i w:val="0"/>
                <w:color w:val="auto"/>
                <w:kern w:val="0"/>
                <w:sz w:val="21"/>
                <w:szCs w:val="21"/>
                <w:u w:val="none"/>
                <w:lang w:val="en-US" w:eastAsia="zh-CN" w:bidi="ar"/>
              </w:rPr>
              <w:t>60</w:t>
            </w:r>
          </w:p>
        </w:tc>
      </w:tr>
      <w:tr w14:paraId="105EA7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02" w:type="dxa"/>
            <w:vMerge w:val="continue"/>
            <w:tcBorders>
              <w:tl2br w:val="nil"/>
              <w:tr2bl w:val="nil"/>
            </w:tcBorders>
            <w:vAlign w:val="center"/>
          </w:tcPr>
          <w:p w14:paraId="489742FB">
            <w:pPr>
              <w:keepNext w:val="0"/>
              <w:keepLines w:val="0"/>
              <w:pageBreakBefore w:val="0"/>
              <w:widowControl w:val="0"/>
              <w:kinsoku/>
              <w:wordWrap/>
              <w:overflowPunct/>
              <w:topLinePunct w:val="0"/>
              <w:autoSpaceDE/>
              <w:autoSpaceDN/>
              <w:bidi w:val="0"/>
              <w:adjustRightInd/>
              <w:snapToGrid w:val="0"/>
              <w:spacing w:line="320" w:lineRule="exact"/>
              <w:ind w:left="0" w:leftChars="0"/>
              <w:jc w:val="center"/>
              <w:textAlignment w:val="auto"/>
              <w:rPr>
                <w:rFonts w:hint="default" w:ascii="Times New Roman" w:hAnsi="Times New Roman" w:cs="Times New Roman" w:eastAsiaTheme="minorEastAsia"/>
                <w:color w:val="auto"/>
                <w:sz w:val="21"/>
                <w:szCs w:val="21"/>
                <w:highlight w:val="none"/>
              </w:rPr>
            </w:pPr>
          </w:p>
        </w:tc>
        <w:tc>
          <w:tcPr>
            <w:tcW w:w="1372" w:type="dxa"/>
            <w:tcBorders>
              <w:tl2br w:val="nil"/>
              <w:tr2bl w:val="nil"/>
            </w:tcBorders>
            <w:vAlign w:val="center"/>
          </w:tcPr>
          <w:p w14:paraId="7025FC01">
            <w:pPr>
              <w:keepNext w:val="0"/>
              <w:keepLines w:val="0"/>
              <w:pageBreakBefore w:val="0"/>
              <w:widowControl w:val="0"/>
              <w:kinsoku/>
              <w:wordWrap/>
              <w:overflowPunct/>
              <w:topLinePunct w:val="0"/>
              <w:autoSpaceDE/>
              <w:autoSpaceDN/>
              <w:bidi w:val="0"/>
              <w:adjustRightInd/>
              <w:snapToGrid w:val="0"/>
              <w:spacing w:line="320" w:lineRule="exact"/>
              <w:ind w:left="0" w:left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噪声</w:t>
            </w:r>
          </w:p>
        </w:tc>
        <w:tc>
          <w:tcPr>
            <w:tcW w:w="5033" w:type="dxa"/>
            <w:tcBorders>
              <w:tl2br w:val="nil"/>
              <w:tr2bl w:val="nil"/>
            </w:tcBorders>
            <w:vAlign w:val="center"/>
          </w:tcPr>
          <w:p w14:paraId="07D30BD1">
            <w:pPr>
              <w:keepNext w:val="0"/>
              <w:keepLines w:val="0"/>
              <w:pageBreakBefore w:val="0"/>
              <w:widowControl w:val="0"/>
              <w:kinsoku/>
              <w:wordWrap/>
              <w:overflowPunct/>
              <w:topLinePunct w:val="0"/>
              <w:autoSpaceDE/>
              <w:autoSpaceDN/>
              <w:bidi w:val="0"/>
              <w:adjustRightInd/>
              <w:snapToGrid w:val="0"/>
              <w:spacing w:line="320" w:lineRule="exact"/>
              <w:ind w:left="0" w:left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基础减震</w:t>
            </w:r>
          </w:p>
        </w:tc>
        <w:tc>
          <w:tcPr>
            <w:tcW w:w="1749" w:type="dxa"/>
            <w:tcBorders>
              <w:tl2br w:val="nil"/>
              <w:tr2bl w:val="nil"/>
            </w:tcBorders>
            <w:vAlign w:val="center"/>
          </w:tcPr>
          <w:p w14:paraId="391F8BD4">
            <w:pPr>
              <w:keepNext w:val="0"/>
              <w:keepLines w:val="0"/>
              <w:pageBreakBefore w:val="0"/>
              <w:widowControl/>
              <w:suppressLineNumbers w:val="0"/>
              <w:kinsoku/>
              <w:wordWrap/>
              <w:overflowPunct/>
              <w:topLinePunct w:val="0"/>
              <w:autoSpaceDE/>
              <w:autoSpaceDN/>
              <w:bidi w:val="0"/>
              <w:adjustRightInd/>
              <w:snapToGrid w:val="0"/>
              <w:spacing w:line="320" w:lineRule="exact"/>
              <w:ind w:left="0" w:leftChars="0"/>
              <w:jc w:val="center"/>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eastAsia="等线" w:cs="Times New Roman"/>
                <w:i w:val="0"/>
                <w:color w:val="auto"/>
                <w:kern w:val="0"/>
                <w:sz w:val="21"/>
                <w:szCs w:val="21"/>
                <w:u w:val="none"/>
                <w:lang w:val="en-US" w:eastAsia="zh-CN" w:bidi="ar"/>
              </w:rPr>
              <w:t>22</w:t>
            </w:r>
          </w:p>
        </w:tc>
      </w:tr>
      <w:tr w14:paraId="093682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02" w:type="dxa"/>
            <w:vMerge w:val="continue"/>
            <w:tcBorders>
              <w:tl2br w:val="nil"/>
              <w:tr2bl w:val="nil"/>
            </w:tcBorders>
            <w:vAlign w:val="center"/>
          </w:tcPr>
          <w:p w14:paraId="3B4D1F04">
            <w:pPr>
              <w:keepNext w:val="0"/>
              <w:keepLines w:val="0"/>
              <w:pageBreakBefore w:val="0"/>
              <w:widowControl w:val="0"/>
              <w:kinsoku/>
              <w:wordWrap/>
              <w:overflowPunct/>
              <w:topLinePunct w:val="0"/>
              <w:autoSpaceDE/>
              <w:autoSpaceDN/>
              <w:bidi w:val="0"/>
              <w:adjustRightInd/>
              <w:snapToGrid w:val="0"/>
              <w:spacing w:line="320" w:lineRule="exact"/>
              <w:ind w:left="0" w:leftChars="0"/>
              <w:jc w:val="center"/>
              <w:textAlignment w:val="auto"/>
              <w:rPr>
                <w:rFonts w:hint="default" w:ascii="Times New Roman" w:hAnsi="Times New Roman" w:cs="Times New Roman" w:eastAsiaTheme="minorEastAsia"/>
                <w:color w:val="auto"/>
                <w:sz w:val="21"/>
                <w:szCs w:val="21"/>
                <w:highlight w:val="none"/>
              </w:rPr>
            </w:pPr>
          </w:p>
        </w:tc>
        <w:tc>
          <w:tcPr>
            <w:tcW w:w="1372" w:type="dxa"/>
            <w:tcBorders>
              <w:tl2br w:val="nil"/>
              <w:tr2bl w:val="nil"/>
            </w:tcBorders>
            <w:vAlign w:val="center"/>
          </w:tcPr>
          <w:p w14:paraId="77DD6541">
            <w:pPr>
              <w:keepNext w:val="0"/>
              <w:keepLines w:val="0"/>
              <w:pageBreakBefore w:val="0"/>
              <w:widowControl w:val="0"/>
              <w:kinsoku/>
              <w:wordWrap/>
              <w:overflowPunct/>
              <w:topLinePunct w:val="0"/>
              <w:autoSpaceDE/>
              <w:autoSpaceDN/>
              <w:bidi w:val="0"/>
              <w:adjustRightInd/>
              <w:snapToGrid w:val="0"/>
              <w:spacing w:line="320" w:lineRule="exact"/>
              <w:ind w:left="0" w:left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固体废物</w:t>
            </w:r>
          </w:p>
        </w:tc>
        <w:tc>
          <w:tcPr>
            <w:tcW w:w="5033" w:type="dxa"/>
            <w:tcBorders>
              <w:tl2br w:val="nil"/>
              <w:tr2bl w:val="nil"/>
            </w:tcBorders>
            <w:vAlign w:val="center"/>
          </w:tcPr>
          <w:p w14:paraId="2BF2EBD5">
            <w:pPr>
              <w:keepNext w:val="0"/>
              <w:keepLines w:val="0"/>
              <w:pageBreakBefore w:val="0"/>
              <w:widowControl w:val="0"/>
              <w:kinsoku/>
              <w:wordWrap/>
              <w:overflowPunct/>
              <w:topLinePunct w:val="0"/>
              <w:autoSpaceDE/>
              <w:autoSpaceDN/>
              <w:bidi w:val="0"/>
              <w:adjustRightInd/>
              <w:snapToGrid w:val="0"/>
              <w:spacing w:line="320" w:lineRule="exact"/>
              <w:ind w:left="0" w:leftChars="0"/>
              <w:jc w:val="center"/>
              <w:textAlignment w:val="auto"/>
              <w:rPr>
                <w:rFonts w:hint="default" w:ascii="Times New Roman" w:hAnsi="Times New Roman" w:cs="Times New Roman" w:eastAsiaTheme="minorEastAsia"/>
                <w:color w:val="auto"/>
                <w:sz w:val="21"/>
                <w:szCs w:val="21"/>
                <w:highlight w:val="none"/>
              </w:rPr>
            </w:pPr>
            <w:r>
              <w:rPr>
                <w:rFonts w:hint="eastAsia" w:ascii="Times New Roman" w:hAnsi="Times New Roman" w:cs="Times New Roman" w:eastAsiaTheme="minorEastAsia"/>
                <w:color w:val="auto"/>
                <w:sz w:val="21"/>
                <w:szCs w:val="21"/>
                <w:highlight w:val="none"/>
                <w:lang w:val="en-US" w:eastAsia="zh-CN"/>
              </w:rPr>
              <w:t>建筑垃圾、生活</w:t>
            </w:r>
            <w:r>
              <w:rPr>
                <w:rFonts w:hint="default" w:ascii="Times New Roman" w:hAnsi="Times New Roman" w:cs="Times New Roman" w:eastAsiaTheme="minorEastAsia"/>
                <w:color w:val="auto"/>
                <w:sz w:val="21"/>
                <w:szCs w:val="21"/>
                <w:highlight w:val="none"/>
              </w:rPr>
              <w:t>垃圾</w:t>
            </w:r>
            <w:r>
              <w:rPr>
                <w:rFonts w:hint="eastAsia" w:ascii="Times New Roman" w:hAnsi="Times New Roman" w:cs="Times New Roman" w:eastAsiaTheme="minorEastAsia"/>
                <w:color w:val="auto"/>
                <w:sz w:val="21"/>
                <w:szCs w:val="21"/>
                <w:highlight w:val="none"/>
                <w:lang w:val="en-US" w:eastAsia="zh-CN"/>
              </w:rPr>
              <w:t>处理</w:t>
            </w:r>
            <w:r>
              <w:rPr>
                <w:rFonts w:hint="default" w:ascii="Times New Roman" w:hAnsi="Times New Roman" w:cs="Times New Roman" w:eastAsiaTheme="minorEastAsia"/>
                <w:color w:val="auto"/>
                <w:sz w:val="21"/>
                <w:szCs w:val="21"/>
                <w:highlight w:val="none"/>
              </w:rPr>
              <w:t>等</w:t>
            </w:r>
          </w:p>
        </w:tc>
        <w:tc>
          <w:tcPr>
            <w:tcW w:w="1749" w:type="dxa"/>
            <w:tcBorders>
              <w:tl2br w:val="nil"/>
              <w:tr2bl w:val="nil"/>
            </w:tcBorders>
            <w:vAlign w:val="center"/>
          </w:tcPr>
          <w:p w14:paraId="63895437">
            <w:pPr>
              <w:keepNext w:val="0"/>
              <w:keepLines w:val="0"/>
              <w:pageBreakBefore w:val="0"/>
              <w:widowControl/>
              <w:suppressLineNumbers w:val="0"/>
              <w:kinsoku/>
              <w:wordWrap/>
              <w:overflowPunct/>
              <w:topLinePunct w:val="0"/>
              <w:autoSpaceDE/>
              <w:autoSpaceDN/>
              <w:bidi w:val="0"/>
              <w:adjustRightInd/>
              <w:snapToGrid w:val="0"/>
              <w:spacing w:line="320" w:lineRule="exact"/>
              <w:ind w:left="0" w:leftChars="0"/>
              <w:jc w:val="center"/>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eastAsia="等线" w:cs="Times New Roman"/>
                <w:i w:val="0"/>
                <w:color w:val="auto"/>
                <w:kern w:val="0"/>
                <w:sz w:val="21"/>
                <w:szCs w:val="21"/>
                <w:u w:val="none"/>
                <w:lang w:val="en-US" w:eastAsia="zh-CN" w:bidi="ar"/>
              </w:rPr>
              <w:t>41</w:t>
            </w:r>
          </w:p>
        </w:tc>
      </w:tr>
      <w:tr w14:paraId="4C885E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02" w:type="dxa"/>
            <w:vMerge w:val="continue"/>
            <w:tcBorders>
              <w:tl2br w:val="nil"/>
              <w:tr2bl w:val="nil"/>
            </w:tcBorders>
            <w:vAlign w:val="center"/>
          </w:tcPr>
          <w:p w14:paraId="2A30084E">
            <w:pPr>
              <w:keepNext w:val="0"/>
              <w:keepLines w:val="0"/>
              <w:pageBreakBefore w:val="0"/>
              <w:widowControl w:val="0"/>
              <w:kinsoku/>
              <w:wordWrap/>
              <w:overflowPunct/>
              <w:topLinePunct w:val="0"/>
              <w:autoSpaceDE/>
              <w:autoSpaceDN/>
              <w:bidi w:val="0"/>
              <w:adjustRightInd/>
              <w:snapToGrid w:val="0"/>
              <w:spacing w:line="320" w:lineRule="exact"/>
              <w:ind w:left="0" w:leftChars="0"/>
              <w:jc w:val="center"/>
              <w:textAlignment w:val="auto"/>
              <w:rPr>
                <w:rFonts w:hint="default" w:ascii="Times New Roman" w:hAnsi="Times New Roman" w:cs="Times New Roman" w:eastAsiaTheme="minorEastAsia"/>
                <w:color w:val="auto"/>
                <w:sz w:val="21"/>
                <w:szCs w:val="21"/>
                <w:highlight w:val="none"/>
              </w:rPr>
            </w:pPr>
          </w:p>
        </w:tc>
        <w:tc>
          <w:tcPr>
            <w:tcW w:w="1372" w:type="dxa"/>
            <w:tcBorders>
              <w:tl2br w:val="nil"/>
              <w:tr2bl w:val="nil"/>
            </w:tcBorders>
            <w:vAlign w:val="center"/>
          </w:tcPr>
          <w:p w14:paraId="3A410E1D">
            <w:pPr>
              <w:keepNext w:val="0"/>
              <w:keepLines w:val="0"/>
              <w:pageBreakBefore w:val="0"/>
              <w:widowControl w:val="0"/>
              <w:kinsoku/>
              <w:wordWrap/>
              <w:overflowPunct/>
              <w:topLinePunct w:val="0"/>
              <w:autoSpaceDE/>
              <w:autoSpaceDN/>
              <w:bidi w:val="0"/>
              <w:adjustRightInd/>
              <w:snapToGrid w:val="0"/>
              <w:spacing w:line="320" w:lineRule="exact"/>
              <w:ind w:left="0" w:left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生态环境</w:t>
            </w:r>
          </w:p>
        </w:tc>
        <w:tc>
          <w:tcPr>
            <w:tcW w:w="5033" w:type="dxa"/>
            <w:tcBorders>
              <w:tl2br w:val="nil"/>
              <w:tr2bl w:val="nil"/>
            </w:tcBorders>
            <w:vAlign w:val="center"/>
          </w:tcPr>
          <w:p w14:paraId="54586612">
            <w:pPr>
              <w:keepNext w:val="0"/>
              <w:keepLines w:val="0"/>
              <w:pageBreakBefore w:val="0"/>
              <w:widowControl w:val="0"/>
              <w:kinsoku/>
              <w:wordWrap/>
              <w:overflowPunct/>
              <w:topLinePunct w:val="0"/>
              <w:autoSpaceDE/>
              <w:autoSpaceDN/>
              <w:bidi w:val="0"/>
              <w:adjustRightInd/>
              <w:snapToGrid w:val="0"/>
              <w:spacing w:line="320" w:lineRule="exact"/>
              <w:ind w:left="0" w:left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施工迹地平整、恢复原貌等</w:t>
            </w:r>
          </w:p>
        </w:tc>
        <w:tc>
          <w:tcPr>
            <w:tcW w:w="1749" w:type="dxa"/>
            <w:tcBorders>
              <w:tl2br w:val="nil"/>
              <w:tr2bl w:val="nil"/>
            </w:tcBorders>
            <w:vAlign w:val="center"/>
          </w:tcPr>
          <w:p w14:paraId="277177DA">
            <w:pPr>
              <w:keepNext w:val="0"/>
              <w:keepLines w:val="0"/>
              <w:pageBreakBefore w:val="0"/>
              <w:widowControl/>
              <w:suppressLineNumbers w:val="0"/>
              <w:kinsoku/>
              <w:wordWrap/>
              <w:overflowPunct/>
              <w:topLinePunct w:val="0"/>
              <w:autoSpaceDE/>
              <w:autoSpaceDN/>
              <w:bidi w:val="0"/>
              <w:adjustRightInd/>
              <w:snapToGrid w:val="0"/>
              <w:spacing w:line="320" w:lineRule="exact"/>
              <w:ind w:left="0" w:leftChars="0"/>
              <w:jc w:val="center"/>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eastAsia="等线" w:cs="Times New Roman"/>
                <w:i w:val="0"/>
                <w:color w:val="auto"/>
                <w:kern w:val="0"/>
                <w:sz w:val="21"/>
                <w:szCs w:val="21"/>
                <w:u w:val="none"/>
                <w:lang w:val="en-US" w:eastAsia="zh-CN" w:bidi="ar"/>
              </w:rPr>
              <w:t>73</w:t>
            </w:r>
          </w:p>
        </w:tc>
      </w:tr>
      <w:tr w14:paraId="2866D7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02" w:type="dxa"/>
            <w:vMerge w:val="continue"/>
            <w:tcBorders>
              <w:tl2br w:val="nil"/>
              <w:tr2bl w:val="nil"/>
            </w:tcBorders>
            <w:vAlign w:val="center"/>
          </w:tcPr>
          <w:p w14:paraId="047E1F13">
            <w:pPr>
              <w:keepNext w:val="0"/>
              <w:keepLines w:val="0"/>
              <w:pageBreakBefore w:val="0"/>
              <w:widowControl w:val="0"/>
              <w:kinsoku/>
              <w:wordWrap/>
              <w:overflowPunct/>
              <w:topLinePunct w:val="0"/>
              <w:autoSpaceDE/>
              <w:autoSpaceDN/>
              <w:bidi w:val="0"/>
              <w:adjustRightInd/>
              <w:snapToGrid w:val="0"/>
              <w:spacing w:line="320" w:lineRule="exact"/>
              <w:ind w:left="0" w:leftChars="0"/>
              <w:jc w:val="center"/>
              <w:textAlignment w:val="auto"/>
              <w:rPr>
                <w:rFonts w:hint="default" w:ascii="Times New Roman" w:hAnsi="Times New Roman" w:cs="Times New Roman" w:eastAsiaTheme="minorEastAsia"/>
                <w:color w:val="auto"/>
                <w:sz w:val="21"/>
                <w:szCs w:val="21"/>
                <w:highlight w:val="none"/>
              </w:rPr>
            </w:pPr>
          </w:p>
        </w:tc>
        <w:tc>
          <w:tcPr>
            <w:tcW w:w="1372" w:type="dxa"/>
            <w:vMerge w:val="restart"/>
            <w:tcBorders>
              <w:tl2br w:val="nil"/>
              <w:tr2bl w:val="nil"/>
            </w:tcBorders>
            <w:vAlign w:val="center"/>
          </w:tcPr>
          <w:p w14:paraId="4182FC06">
            <w:pPr>
              <w:keepNext w:val="0"/>
              <w:keepLines w:val="0"/>
              <w:pageBreakBefore w:val="0"/>
              <w:widowControl w:val="0"/>
              <w:kinsoku/>
              <w:wordWrap/>
              <w:overflowPunct/>
              <w:topLinePunct w:val="0"/>
              <w:autoSpaceDE/>
              <w:autoSpaceDN/>
              <w:bidi w:val="0"/>
              <w:adjustRightInd/>
              <w:snapToGrid w:val="0"/>
              <w:spacing w:line="320" w:lineRule="exact"/>
              <w:ind w:left="0" w:left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环境管理</w:t>
            </w:r>
          </w:p>
        </w:tc>
        <w:tc>
          <w:tcPr>
            <w:tcW w:w="5033" w:type="dxa"/>
            <w:tcBorders>
              <w:tl2br w:val="nil"/>
              <w:tr2bl w:val="nil"/>
            </w:tcBorders>
            <w:vAlign w:val="center"/>
          </w:tcPr>
          <w:p w14:paraId="6549A71C">
            <w:pPr>
              <w:keepNext w:val="0"/>
              <w:keepLines w:val="0"/>
              <w:pageBreakBefore w:val="0"/>
              <w:widowControl w:val="0"/>
              <w:kinsoku/>
              <w:wordWrap/>
              <w:overflowPunct/>
              <w:topLinePunct w:val="0"/>
              <w:autoSpaceDE/>
              <w:autoSpaceDN/>
              <w:bidi w:val="0"/>
              <w:adjustRightInd/>
              <w:snapToGrid w:val="0"/>
              <w:spacing w:line="320" w:lineRule="exact"/>
              <w:ind w:left="0" w:left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设立</w:t>
            </w:r>
            <w:r>
              <w:rPr>
                <w:rFonts w:hint="eastAsia" w:ascii="Times New Roman" w:hAnsi="Times New Roman" w:cs="Times New Roman" w:eastAsiaTheme="minorEastAsia"/>
                <w:color w:val="auto"/>
                <w:sz w:val="21"/>
                <w:szCs w:val="21"/>
                <w:highlight w:val="none"/>
                <w:lang w:val="en-US" w:eastAsia="zh-CN"/>
              </w:rPr>
              <w:t>警示牌、</w:t>
            </w:r>
            <w:r>
              <w:rPr>
                <w:rFonts w:hint="default" w:ascii="Times New Roman" w:hAnsi="Times New Roman" w:cs="Times New Roman" w:eastAsiaTheme="minorEastAsia"/>
                <w:color w:val="auto"/>
                <w:sz w:val="21"/>
                <w:szCs w:val="21"/>
                <w:highlight w:val="none"/>
              </w:rPr>
              <w:t>宣传教育牌、保护范围标识牌等</w:t>
            </w:r>
          </w:p>
        </w:tc>
        <w:tc>
          <w:tcPr>
            <w:tcW w:w="1749" w:type="dxa"/>
            <w:tcBorders>
              <w:tl2br w:val="nil"/>
              <w:tr2bl w:val="nil"/>
            </w:tcBorders>
            <w:vAlign w:val="center"/>
          </w:tcPr>
          <w:p w14:paraId="079CEA24">
            <w:pPr>
              <w:keepNext w:val="0"/>
              <w:keepLines w:val="0"/>
              <w:pageBreakBefore w:val="0"/>
              <w:widowControl/>
              <w:suppressLineNumbers w:val="0"/>
              <w:kinsoku/>
              <w:wordWrap/>
              <w:overflowPunct/>
              <w:topLinePunct w:val="0"/>
              <w:autoSpaceDE/>
              <w:autoSpaceDN/>
              <w:bidi w:val="0"/>
              <w:adjustRightInd/>
              <w:snapToGrid w:val="0"/>
              <w:spacing w:line="320" w:lineRule="exact"/>
              <w:ind w:left="0" w:leftChars="0"/>
              <w:jc w:val="center"/>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eastAsia="等线" w:cs="Times New Roman"/>
                <w:i w:val="0"/>
                <w:color w:val="auto"/>
                <w:kern w:val="0"/>
                <w:sz w:val="21"/>
                <w:szCs w:val="21"/>
                <w:u w:val="none"/>
                <w:lang w:val="en-US" w:eastAsia="zh-CN" w:bidi="ar"/>
              </w:rPr>
              <w:t>4</w:t>
            </w:r>
          </w:p>
        </w:tc>
      </w:tr>
      <w:tr w14:paraId="69AA32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02" w:type="dxa"/>
            <w:vMerge w:val="continue"/>
            <w:tcBorders>
              <w:tl2br w:val="nil"/>
              <w:tr2bl w:val="nil"/>
            </w:tcBorders>
            <w:vAlign w:val="center"/>
          </w:tcPr>
          <w:p w14:paraId="27C2788D">
            <w:pPr>
              <w:keepNext w:val="0"/>
              <w:keepLines w:val="0"/>
              <w:pageBreakBefore w:val="0"/>
              <w:widowControl w:val="0"/>
              <w:kinsoku/>
              <w:wordWrap/>
              <w:overflowPunct/>
              <w:topLinePunct w:val="0"/>
              <w:autoSpaceDE/>
              <w:autoSpaceDN/>
              <w:bidi w:val="0"/>
              <w:adjustRightInd/>
              <w:snapToGrid w:val="0"/>
              <w:spacing w:line="320" w:lineRule="exact"/>
              <w:ind w:left="0" w:leftChars="0"/>
              <w:jc w:val="center"/>
              <w:textAlignment w:val="auto"/>
              <w:rPr>
                <w:rFonts w:hint="default" w:ascii="Times New Roman" w:hAnsi="Times New Roman" w:cs="Times New Roman" w:eastAsiaTheme="minorEastAsia"/>
                <w:color w:val="auto"/>
                <w:sz w:val="21"/>
                <w:szCs w:val="21"/>
                <w:highlight w:val="none"/>
              </w:rPr>
            </w:pPr>
          </w:p>
        </w:tc>
        <w:tc>
          <w:tcPr>
            <w:tcW w:w="1372" w:type="dxa"/>
            <w:vMerge w:val="continue"/>
            <w:tcBorders>
              <w:tl2br w:val="nil"/>
              <w:tr2bl w:val="nil"/>
            </w:tcBorders>
            <w:vAlign w:val="center"/>
          </w:tcPr>
          <w:p w14:paraId="0E7963D5">
            <w:pPr>
              <w:keepNext w:val="0"/>
              <w:keepLines w:val="0"/>
              <w:pageBreakBefore w:val="0"/>
              <w:widowControl w:val="0"/>
              <w:kinsoku/>
              <w:wordWrap/>
              <w:overflowPunct/>
              <w:topLinePunct w:val="0"/>
              <w:autoSpaceDE/>
              <w:autoSpaceDN/>
              <w:bidi w:val="0"/>
              <w:adjustRightInd/>
              <w:snapToGrid w:val="0"/>
              <w:spacing w:line="320" w:lineRule="exact"/>
              <w:ind w:left="0" w:leftChars="0"/>
              <w:jc w:val="center"/>
              <w:textAlignment w:val="auto"/>
              <w:rPr>
                <w:rFonts w:hint="default" w:ascii="Times New Roman" w:hAnsi="Times New Roman" w:cs="Times New Roman" w:eastAsiaTheme="minorEastAsia"/>
                <w:color w:val="auto"/>
                <w:sz w:val="21"/>
                <w:szCs w:val="21"/>
                <w:highlight w:val="none"/>
              </w:rPr>
            </w:pPr>
          </w:p>
        </w:tc>
        <w:tc>
          <w:tcPr>
            <w:tcW w:w="5033" w:type="dxa"/>
            <w:tcBorders>
              <w:tl2br w:val="nil"/>
              <w:tr2bl w:val="nil"/>
            </w:tcBorders>
            <w:vAlign w:val="center"/>
          </w:tcPr>
          <w:p w14:paraId="7E213B6F">
            <w:pPr>
              <w:keepNext w:val="0"/>
              <w:keepLines w:val="0"/>
              <w:pageBreakBefore w:val="0"/>
              <w:widowControl w:val="0"/>
              <w:kinsoku/>
              <w:wordWrap/>
              <w:overflowPunct/>
              <w:topLinePunct w:val="0"/>
              <w:autoSpaceDE/>
              <w:autoSpaceDN/>
              <w:bidi w:val="0"/>
              <w:adjustRightInd/>
              <w:snapToGrid w:val="0"/>
              <w:spacing w:line="320" w:lineRule="exact"/>
              <w:ind w:left="0" w:left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环境监理</w:t>
            </w:r>
          </w:p>
        </w:tc>
        <w:tc>
          <w:tcPr>
            <w:tcW w:w="1749" w:type="dxa"/>
            <w:tcBorders>
              <w:tl2br w:val="nil"/>
              <w:tr2bl w:val="nil"/>
            </w:tcBorders>
            <w:vAlign w:val="center"/>
          </w:tcPr>
          <w:p w14:paraId="78D58A31">
            <w:pPr>
              <w:keepNext w:val="0"/>
              <w:keepLines w:val="0"/>
              <w:pageBreakBefore w:val="0"/>
              <w:widowControl/>
              <w:suppressLineNumbers w:val="0"/>
              <w:kinsoku/>
              <w:wordWrap/>
              <w:overflowPunct/>
              <w:topLinePunct w:val="0"/>
              <w:autoSpaceDE/>
              <w:autoSpaceDN/>
              <w:bidi w:val="0"/>
              <w:adjustRightInd/>
              <w:snapToGrid w:val="0"/>
              <w:spacing w:line="320" w:lineRule="exact"/>
              <w:ind w:left="0" w:leftChars="0"/>
              <w:jc w:val="center"/>
              <w:textAlignment w:val="center"/>
              <w:rPr>
                <w:rFonts w:hint="default" w:ascii="Times New Roman" w:hAnsi="Times New Roman" w:cs="Times New Roman" w:eastAsiaTheme="minorEastAsia"/>
                <w:color w:val="auto"/>
                <w:sz w:val="21"/>
                <w:szCs w:val="21"/>
                <w:highlight w:val="none"/>
                <w:lang w:val="en-US"/>
              </w:rPr>
            </w:pPr>
            <w:r>
              <w:rPr>
                <w:rFonts w:hint="eastAsia" w:ascii="宋体" w:hAnsi="宋体" w:eastAsia="宋体" w:cs="宋体"/>
                <w:i w:val="0"/>
                <w:color w:val="auto"/>
                <w:kern w:val="0"/>
                <w:sz w:val="21"/>
                <w:szCs w:val="21"/>
                <w:u w:val="none"/>
                <w:lang w:val="en-US" w:eastAsia="zh-CN" w:bidi="ar"/>
              </w:rPr>
              <w:t>70</w:t>
            </w:r>
          </w:p>
        </w:tc>
      </w:tr>
      <w:tr w14:paraId="04F9F2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02" w:type="dxa"/>
            <w:vMerge w:val="restart"/>
            <w:tcBorders>
              <w:tl2br w:val="nil"/>
              <w:tr2bl w:val="nil"/>
            </w:tcBorders>
            <w:vAlign w:val="center"/>
          </w:tcPr>
          <w:p w14:paraId="29F4EC79">
            <w:pPr>
              <w:keepNext w:val="0"/>
              <w:keepLines w:val="0"/>
              <w:pageBreakBefore w:val="0"/>
              <w:widowControl w:val="0"/>
              <w:kinsoku/>
              <w:wordWrap/>
              <w:overflowPunct/>
              <w:topLinePunct w:val="0"/>
              <w:autoSpaceDE/>
              <w:autoSpaceDN/>
              <w:bidi w:val="0"/>
              <w:adjustRightInd/>
              <w:snapToGrid w:val="0"/>
              <w:spacing w:line="320" w:lineRule="exact"/>
              <w:ind w:left="0" w:left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运营期</w:t>
            </w:r>
          </w:p>
        </w:tc>
        <w:tc>
          <w:tcPr>
            <w:tcW w:w="1372" w:type="dxa"/>
            <w:tcBorders>
              <w:tl2br w:val="nil"/>
              <w:tr2bl w:val="nil"/>
            </w:tcBorders>
            <w:shd w:val="clear" w:color="auto" w:fill="auto"/>
            <w:vAlign w:val="center"/>
          </w:tcPr>
          <w:p w14:paraId="6F840D31">
            <w:pPr>
              <w:keepNext w:val="0"/>
              <w:keepLines w:val="0"/>
              <w:pageBreakBefore w:val="0"/>
              <w:widowControl w:val="0"/>
              <w:kinsoku/>
              <w:wordWrap/>
              <w:overflowPunct/>
              <w:topLinePunct w:val="0"/>
              <w:autoSpaceDE/>
              <w:autoSpaceDN/>
              <w:bidi w:val="0"/>
              <w:adjustRightInd/>
              <w:snapToGrid w:val="0"/>
              <w:spacing w:line="320" w:lineRule="exact"/>
              <w:ind w:left="0" w:left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rPr>
              <w:t>地下水环境</w:t>
            </w:r>
          </w:p>
        </w:tc>
        <w:tc>
          <w:tcPr>
            <w:tcW w:w="5033" w:type="dxa"/>
            <w:tcBorders>
              <w:tl2br w:val="nil"/>
              <w:tr2bl w:val="nil"/>
            </w:tcBorders>
            <w:shd w:val="clear" w:color="auto" w:fill="auto"/>
            <w:vAlign w:val="center"/>
          </w:tcPr>
          <w:p w14:paraId="129FF7C7">
            <w:pPr>
              <w:keepNext w:val="0"/>
              <w:keepLines w:val="0"/>
              <w:pageBreakBefore w:val="0"/>
              <w:widowControl w:val="0"/>
              <w:kinsoku/>
              <w:wordWrap/>
              <w:overflowPunct/>
              <w:topLinePunct w:val="0"/>
              <w:autoSpaceDE/>
              <w:autoSpaceDN/>
              <w:bidi w:val="0"/>
              <w:adjustRightInd/>
              <w:snapToGrid w:val="0"/>
              <w:spacing w:line="320" w:lineRule="exact"/>
              <w:ind w:left="0" w:left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rPr>
              <w:t>分区防渗工程</w:t>
            </w:r>
          </w:p>
        </w:tc>
        <w:tc>
          <w:tcPr>
            <w:tcW w:w="1749" w:type="dxa"/>
            <w:tcBorders>
              <w:tl2br w:val="nil"/>
              <w:tr2bl w:val="nil"/>
            </w:tcBorders>
            <w:shd w:val="clear" w:color="auto" w:fill="auto"/>
            <w:vAlign w:val="center"/>
          </w:tcPr>
          <w:p w14:paraId="29E2E0B6">
            <w:pPr>
              <w:keepNext w:val="0"/>
              <w:keepLines w:val="0"/>
              <w:pageBreakBefore w:val="0"/>
              <w:widowControl/>
              <w:suppressLineNumbers w:val="0"/>
              <w:kinsoku/>
              <w:wordWrap/>
              <w:overflowPunct/>
              <w:topLinePunct w:val="0"/>
              <w:autoSpaceDE/>
              <w:autoSpaceDN/>
              <w:bidi w:val="0"/>
              <w:adjustRightInd/>
              <w:snapToGrid w:val="0"/>
              <w:spacing w:line="320" w:lineRule="exact"/>
              <w:ind w:left="0" w:leftChars="0"/>
              <w:jc w:val="center"/>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eastAsia="等线" w:cs="Times New Roman"/>
                <w:i w:val="0"/>
                <w:color w:val="auto"/>
                <w:kern w:val="0"/>
                <w:sz w:val="21"/>
                <w:szCs w:val="21"/>
                <w:u w:val="none"/>
                <w:lang w:val="en-US" w:eastAsia="zh-CN" w:bidi="ar"/>
              </w:rPr>
              <w:t>100</w:t>
            </w:r>
          </w:p>
        </w:tc>
      </w:tr>
      <w:tr w14:paraId="0D2472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02" w:type="dxa"/>
            <w:vMerge w:val="continue"/>
            <w:tcBorders>
              <w:tl2br w:val="nil"/>
              <w:tr2bl w:val="nil"/>
            </w:tcBorders>
            <w:vAlign w:val="center"/>
          </w:tcPr>
          <w:p w14:paraId="55501F0C">
            <w:pPr>
              <w:keepNext w:val="0"/>
              <w:keepLines w:val="0"/>
              <w:pageBreakBefore w:val="0"/>
              <w:widowControl w:val="0"/>
              <w:kinsoku/>
              <w:wordWrap/>
              <w:overflowPunct/>
              <w:topLinePunct w:val="0"/>
              <w:autoSpaceDE/>
              <w:autoSpaceDN/>
              <w:bidi w:val="0"/>
              <w:adjustRightInd/>
              <w:snapToGrid w:val="0"/>
              <w:spacing w:line="320" w:lineRule="exact"/>
              <w:ind w:left="0" w:leftChars="0"/>
              <w:jc w:val="center"/>
              <w:textAlignment w:val="auto"/>
              <w:rPr>
                <w:rFonts w:hint="default" w:ascii="Times New Roman" w:hAnsi="Times New Roman" w:cs="Times New Roman" w:eastAsiaTheme="minorEastAsia"/>
                <w:color w:val="auto"/>
                <w:sz w:val="21"/>
                <w:szCs w:val="21"/>
                <w:highlight w:val="none"/>
              </w:rPr>
            </w:pPr>
          </w:p>
        </w:tc>
        <w:tc>
          <w:tcPr>
            <w:tcW w:w="1372" w:type="dxa"/>
            <w:tcBorders>
              <w:tl2br w:val="nil"/>
              <w:tr2bl w:val="nil"/>
            </w:tcBorders>
            <w:vAlign w:val="center"/>
          </w:tcPr>
          <w:p w14:paraId="60BDA02D">
            <w:pPr>
              <w:keepNext w:val="0"/>
              <w:keepLines w:val="0"/>
              <w:pageBreakBefore w:val="0"/>
              <w:widowControl w:val="0"/>
              <w:kinsoku/>
              <w:wordWrap/>
              <w:overflowPunct/>
              <w:topLinePunct w:val="0"/>
              <w:autoSpaceDE/>
              <w:autoSpaceDN/>
              <w:bidi w:val="0"/>
              <w:adjustRightInd/>
              <w:snapToGrid w:val="0"/>
              <w:spacing w:line="320" w:lineRule="exact"/>
              <w:ind w:left="0" w:left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噪声</w:t>
            </w:r>
          </w:p>
        </w:tc>
        <w:tc>
          <w:tcPr>
            <w:tcW w:w="5033" w:type="dxa"/>
            <w:tcBorders>
              <w:tl2br w:val="nil"/>
              <w:tr2bl w:val="nil"/>
            </w:tcBorders>
            <w:vAlign w:val="center"/>
          </w:tcPr>
          <w:p w14:paraId="4217FAA3">
            <w:pPr>
              <w:keepNext w:val="0"/>
              <w:keepLines w:val="0"/>
              <w:pageBreakBefore w:val="0"/>
              <w:widowControl w:val="0"/>
              <w:kinsoku/>
              <w:wordWrap/>
              <w:overflowPunct/>
              <w:topLinePunct w:val="0"/>
              <w:autoSpaceDE/>
              <w:autoSpaceDN/>
              <w:bidi w:val="0"/>
              <w:adjustRightInd/>
              <w:snapToGrid w:val="0"/>
              <w:spacing w:line="320" w:lineRule="exact"/>
              <w:ind w:left="0" w:left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隔声、减振等措施</w:t>
            </w:r>
          </w:p>
        </w:tc>
        <w:tc>
          <w:tcPr>
            <w:tcW w:w="1749" w:type="dxa"/>
            <w:tcBorders>
              <w:tl2br w:val="nil"/>
              <w:tr2bl w:val="nil"/>
            </w:tcBorders>
            <w:vAlign w:val="center"/>
          </w:tcPr>
          <w:p w14:paraId="508F119A">
            <w:pPr>
              <w:keepNext w:val="0"/>
              <w:keepLines w:val="0"/>
              <w:pageBreakBefore w:val="0"/>
              <w:widowControl/>
              <w:suppressLineNumbers w:val="0"/>
              <w:kinsoku/>
              <w:wordWrap/>
              <w:overflowPunct/>
              <w:topLinePunct w:val="0"/>
              <w:autoSpaceDE/>
              <w:autoSpaceDN/>
              <w:bidi w:val="0"/>
              <w:adjustRightInd/>
              <w:snapToGrid w:val="0"/>
              <w:spacing w:line="320" w:lineRule="exact"/>
              <w:ind w:left="0" w:leftChars="0"/>
              <w:jc w:val="center"/>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eastAsia="等线" w:cs="Times New Roman"/>
                <w:i w:val="0"/>
                <w:color w:val="auto"/>
                <w:kern w:val="0"/>
                <w:sz w:val="21"/>
                <w:szCs w:val="21"/>
                <w:u w:val="none"/>
                <w:lang w:val="en-US" w:eastAsia="zh-CN" w:bidi="ar"/>
              </w:rPr>
              <w:t>60</w:t>
            </w:r>
          </w:p>
        </w:tc>
      </w:tr>
      <w:tr w14:paraId="77D115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02" w:type="dxa"/>
            <w:vMerge w:val="continue"/>
            <w:tcBorders>
              <w:tl2br w:val="nil"/>
              <w:tr2bl w:val="nil"/>
            </w:tcBorders>
            <w:vAlign w:val="center"/>
          </w:tcPr>
          <w:p w14:paraId="6B8E7459">
            <w:pPr>
              <w:keepNext w:val="0"/>
              <w:keepLines w:val="0"/>
              <w:pageBreakBefore w:val="0"/>
              <w:widowControl w:val="0"/>
              <w:kinsoku/>
              <w:wordWrap/>
              <w:overflowPunct/>
              <w:topLinePunct w:val="0"/>
              <w:autoSpaceDE/>
              <w:autoSpaceDN/>
              <w:bidi w:val="0"/>
              <w:adjustRightInd/>
              <w:snapToGrid w:val="0"/>
              <w:spacing w:line="320" w:lineRule="exact"/>
              <w:ind w:left="0" w:leftChars="0"/>
              <w:jc w:val="center"/>
              <w:textAlignment w:val="auto"/>
              <w:rPr>
                <w:rFonts w:hint="default" w:ascii="Times New Roman" w:hAnsi="Times New Roman" w:cs="Times New Roman" w:eastAsiaTheme="minorEastAsia"/>
                <w:color w:val="auto"/>
                <w:sz w:val="21"/>
                <w:szCs w:val="21"/>
                <w:highlight w:val="none"/>
              </w:rPr>
            </w:pPr>
          </w:p>
        </w:tc>
        <w:tc>
          <w:tcPr>
            <w:tcW w:w="1372" w:type="dxa"/>
            <w:vMerge w:val="restart"/>
            <w:tcBorders>
              <w:tl2br w:val="nil"/>
              <w:tr2bl w:val="nil"/>
            </w:tcBorders>
            <w:vAlign w:val="center"/>
          </w:tcPr>
          <w:p w14:paraId="2CB8DC64">
            <w:pPr>
              <w:keepNext w:val="0"/>
              <w:keepLines w:val="0"/>
              <w:pageBreakBefore w:val="0"/>
              <w:widowControl w:val="0"/>
              <w:kinsoku/>
              <w:wordWrap/>
              <w:overflowPunct/>
              <w:topLinePunct w:val="0"/>
              <w:autoSpaceDE/>
              <w:autoSpaceDN/>
              <w:bidi w:val="0"/>
              <w:adjustRightInd/>
              <w:snapToGrid w:val="0"/>
              <w:spacing w:line="320" w:lineRule="exact"/>
              <w:ind w:left="0" w:left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生态环境</w:t>
            </w:r>
          </w:p>
        </w:tc>
        <w:tc>
          <w:tcPr>
            <w:tcW w:w="5033" w:type="dxa"/>
            <w:tcBorders>
              <w:tl2br w:val="nil"/>
              <w:tr2bl w:val="nil"/>
            </w:tcBorders>
            <w:vAlign w:val="center"/>
          </w:tcPr>
          <w:p w14:paraId="03A54104">
            <w:pPr>
              <w:keepNext w:val="0"/>
              <w:keepLines w:val="0"/>
              <w:pageBreakBefore w:val="0"/>
              <w:widowControl w:val="0"/>
              <w:kinsoku/>
              <w:wordWrap/>
              <w:overflowPunct/>
              <w:topLinePunct w:val="0"/>
              <w:autoSpaceDE/>
              <w:autoSpaceDN/>
              <w:bidi w:val="0"/>
              <w:adjustRightInd/>
              <w:snapToGrid w:val="0"/>
              <w:spacing w:line="320" w:lineRule="exact"/>
              <w:ind w:left="0" w:left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野生动物保护工程、宣教工程</w:t>
            </w:r>
          </w:p>
        </w:tc>
        <w:tc>
          <w:tcPr>
            <w:tcW w:w="1749" w:type="dxa"/>
            <w:tcBorders>
              <w:tl2br w:val="nil"/>
              <w:tr2bl w:val="nil"/>
            </w:tcBorders>
            <w:vAlign w:val="center"/>
          </w:tcPr>
          <w:p w14:paraId="775981C0">
            <w:pPr>
              <w:keepNext w:val="0"/>
              <w:keepLines w:val="0"/>
              <w:pageBreakBefore w:val="0"/>
              <w:widowControl/>
              <w:suppressLineNumbers w:val="0"/>
              <w:kinsoku/>
              <w:wordWrap/>
              <w:overflowPunct/>
              <w:topLinePunct w:val="0"/>
              <w:autoSpaceDE/>
              <w:autoSpaceDN/>
              <w:bidi w:val="0"/>
              <w:adjustRightInd/>
              <w:snapToGrid w:val="0"/>
              <w:spacing w:line="320" w:lineRule="exact"/>
              <w:ind w:left="0" w:leftChars="0"/>
              <w:jc w:val="center"/>
              <w:textAlignment w:val="center"/>
              <w:rPr>
                <w:rFonts w:hint="default" w:ascii="Times New Roman" w:hAnsi="Times New Roman" w:cs="Times New Roman" w:eastAsiaTheme="minorEastAsia"/>
                <w:color w:val="auto"/>
                <w:sz w:val="21"/>
                <w:szCs w:val="21"/>
                <w:highlight w:val="none"/>
              </w:rPr>
            </w:pPr>
            <w:r>
              <w:rPr>
                <w:rFonts w:hint="default" w:ascii="Times New Roman" w:hAnsi="Times New Roman" w:eastAsia="等线" w:cs="Times New Roman"/>
                <w:i w:val="0"/>
                <w:color w:val="auto"/>
                <w:kern w:val="0"/>
                <w:sz w:val="21"/>
                <w:szCs w:val="21"/>
                <w:u w:val="none"/>
                <w:lang w:val="en-US" w:eastAsia="zh-CN" w:bidi="ar"/>
              </w:rPr>
              <w:t>60</w:t>
            </w:r>
          </w:p>
        </w:tc>
      </w:tr>
      <w:tr w14:paraId="09D547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02" w:type="dxa"/>
            <w:vMerge w:val="continue"/>
            <w:tcBorders>
              <w:tl2br w:val="nil"/>
              <w:tr2bl w:val="nil"/>
            </w:tcBorders>
            <w:vAlign w:val="center"/>
          </w:tcPr>
          <w:p w14:paraId="4ED65A42">
            <w:pPr>
              <w:keepNext w:val="0"/>
              <w:keepLines w:val="0"/>
              <w:pageBreakBefore w:val="0"/>
              <w:widowControl w:val="0"/>
              <w:kinsoku/>
              <w:wordWrap/>
              <w:overflowPunct/>
              <w:topLinePunct w:val="0"/>
              <w:autoSpaceDE/>
              <w:autoSpaceDN/>
              <w:bidi w:val="0"/>
              <w:adjustRightInd/>
              <w:snapToGrid w:val="0"/>
              <w:spacing w:line="320" w:lineRule="exact"/>
              <w:ind w:left="0" w:leftChars="0"/>
              <w:jc w:val="center"/>
              <w:textAlignment w:val="auto"/>
              <w:rPr>
                <w:rFonts w:hint="default" w:ascii="Times New Roman" w:hAnsi="Times New Roman" w:cs="Times New Roman" w:eastAsiaTheme="minorEastAsia"/>
                <w:color w:val="auto"/>
                <w:sz w:val="21"/>
                <w:szCs w:val="21"/>
                <w:highlight w:val="none"/>
              </w:rPr>
            </w:pPr>
          </w:p>
        </w:tc>
        <w:tc>
          <w:tcPr>
            <w:tcW w:w="1372" w:type="dxa"/>
            <w:vMerge w:val="continue"/>
            <w:tcBorders>
              <w:tl2br w:val="nil"/>
              <w:tr2bl w:val="nil"/>
            </w:tcBorders>
            <w:vAlign w:val="center"/>
          </w:tcPr>
          <w:p w14:paraId="64BB9245">
            <w:pPr>
              <w:keepNext w:val="0"/>
              <w:keepLines w:val="0"/>
              <w:pageBreakBefore w:val="0"/>
              <w:widowControl w:val="0"/>
              <w:kinsoku/>
              <w:wordWrap/>
              <w:overflowPunct/>
              <w:topLinePunct w:val="0"/>
              <w:autoSpaceDE/>
              <w:autoSpaceDN/>
              <w:bidi w:val="0"/>
              <w:adjustRightInd/>
              <w:snapToGrid w:val="0"/>
              <w:spacing w:line="320" w:lineRule="exact"/>
              <w:ind w:left="0" w:leftChars="0"/>
              <w:jc w:val="center"/>
              <w:textAlignment w:val="auto"/>
              <w:rPr>
                <w:rFonts w:hint="default" w:ascii="Times New Roman" w:hAnsi="Times New Roman" w:cs="Times New Roman" w:eastAsiaTheme="minorEastAsia"/>
                <w:color w:val="auto"/>
                <w:sz w:val="21"/>
                <w:szCs w:val="21"/>
                <w:highlight w:val="none"/>
              </w:rPr>
            </w:pPr>
          </w:p>
        </w:tc>
        <w:tc>
          <w:tcPr>
            <w:tcW w:w="5033" w:type="dxa"/>
            <w:tcBorders>
              <w:tl2br w:val="nil"/>
              <w:tr2bl w:val="nil"/>
            </w:tcBorders>
            <w:vAlign w:val="center"/>
          </w:tcPr>
          <w:p w14:paraId="1F67BD46">
            <w:pPr>
              <w:keepNext w:val="0"/>
              <w:keepLines w:val="0"/>
              <w:pageBreakBefore w:val="0"/>
              <w:widowControl w:val="0"/>
              <w:kinsoku/>
              <w:wordWrap/>
              <w:overflowPunct/>
              <w:topLinePunct w:val="0"/>
              <w:autoSpaceDE/>
              <w:autoSpaceDN/>
              <w:bidi w:val="0"/>
              <w:adjustRightInd/>
              <w:snapToGrid w:val="0"/>
              <w:spacing w:line="320" w:lineRule="exact"/>
              <w:ind w:left="0" w:leftChars="0"/>
              <w:jc w:val="center"/>
              <w:textAlignment w:val="auto"/>
              <w:rPr>
                <w:rFonts w:hint="default" w:ascii="Times New Roman" w:hAnsi="Times New Roman" w:cs="Times New Roman" w:eastAsiaTheme="minorEastAsia"/>
                <w:color w:val="auto"/>
                <w:sz w:val="21"/>
                <w:szCs w:val="21"/>
                <w:highlight w:val="none"/>
                <w:lang w:val="en-US"/>
              </w:rPr>
            </w:pPr>
            <w:r>
              <w:rPr>
                <w:rFonts w:hint="default" w:ascii="Times New Roman" w:hAnsi="Times New Roman" w:cs="Times New Roman" w:eastAsiaTheme="minorEastAsia"/>
                <w:b w:val="0"/>
                <w:bCs/>
                <w:i w:val="0"/>
                <w:iCs w:val="0"/>
                <w:color w:val="auto"/>
                <w:sz w:val="21"/>
                <w:szCs w:val="21"/>
                <w:highlight w:val="none"/>
                <w:vertAlign w:val="baseline"/>
                <w:lang w:val="en-US" w:eastAsia="zh-CN"/>
              </w:rPr>
              <w:t>运营期风机叶片设置警示色、驱鸟器；集电线路上安装红色或黄色的绝缘保护套。</w:t>
            </w:r>
          </w:p>
        </w:tc>
        <w:tc>
          <w:tcPr>
            <w:tcW w:w="1749" w:type="dxa"/>
            <w:tcBorders>
              <w:tl2br w:val="nil"/>
              <w:tr2bl w:val="nil"/>
            </w:tcBorders>
            <w:vAlign w:val="center"/>
          </w:tcPr>
          <w:p w14:paraId="578B6600">
            <w:pPr>
              <w:keepNext w:val="0"/>
              <w:keepLines w:val="0"/>
              <w:pageBreakBefore w:val="0"/>
              <w:widowControl/>
              <w:suppressLineNumbers w:val="0"/>
              <w:kinsoku/>
              <w:wordWrap/>
              <w:overflowPunct/>
              <w:topLinePunct w:val="0"/>
              <w:autoSpaceDE/>
              <w:autoSpaceDN/>
              <w:bidi w:val="0"/>
              <w:adjustRightInd/>
              <w:snapToGrid w:val="0"/>
              <w:spacing w:line="320" w:lineRule="exact"/>
              <w:ind w:left="0" w:leftChars="0"/>
              <w:jc w:val="center"/>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eastAsia="等线" w:cs="Times New Roman"/>
                <w:i w:val="0"/>
                <w:color w:val="auto"/>
                <w:kern w:val="0"/>
                <w:sz w:val="21"/>
                <w:szCs w:val="21"/>
                <w:u w:val="none"/>
                <w:lang w:val="en-US" w:eastAsia="zh-CN" w:bidi="ar"/>
              </w:rPr>
              <w:t>210</w:t>
            </w:r>
          </w:p>
        </w:tc>
      </w:tr>
      <w:tr w14:paraId="7FD37A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02" w:type="dxa"/>
            <w:vMerge w:val="continue"/>
            <w:tcBorders>
              <w:tl2br w:val="nil"/>
              <w:tr2bl w:val="nil"/>
            </w:tcBorders>
            <w:vAlign w:val="center"/>
          </w:tcPr>
          <w:p w14:paraId="2BD8AF77">
            <w:pPr>
              <w:keepNext w:val="0"/>
              <w:keepLines w:val="0"/>
              <w:pageBreakBefore w:val="0"/>
              <w:widowControl w:val="0"/>
              <w:kinsoku/>
              <w:wordWrap/>
              <w:overflowPunct/>
              <w:topLinePunct w:val="0"/>
              <w:autoSpaceDE/>
              <w:autoSpaceDN/>
              <w:bidi w:val="0"/>
              <w:adjustRightInd/>
              <w:snapToGrid w:val="0"/>
              <w:spacing w:line="320" w:lineRule="exact"/>
              <w:ind w:left="0" w:leftChars="0"/>
              <w:jc w:val="center"/>
              <w:textAlignment w:val="auto"/>
              <w:rPr>
                <w:rFonts w:hint="default" w:ascii="Times New Roman" w:hAnsi="Times New Roman" w:cs="Times New Roman" w:eastAsiaTheme="minorEastAsia"/>
                <w:color w:val="auto"/>
                <w:sz w:val="21"/>
                <w:szCs w:val="21"/>
                <w:highlight w:val="none"/>
              </w:rPr>
            </w:pPr>
          </w:p>
        </w:tc>
        <w:tc>
          <w:tcPr>
            <w:tcW w:w="1372" w:type="dxa"/>
            <w:vMerge w:val="continue"/>
            <w:tcBorders>
              <w:tl2br w:val="nil"/>
              <w:tr2bl w:val="nil"/>
            </w:tcBorders>
            <w:vAlign w:val="center"/>
          </w:tcPr>
          <w:p w14:paraId="01F67DA2">
            <w:pPr>
              <w:keepNext w:val="0"/>
              <w:keepLines w:val="0"/>
              <w:pageBreakBefore w:val="0"/>
              <w:widowControl w:val="0"/>
              <w:kinsoku/>
              <w:wordWrap/>
              <w:overflowPunct/>
              <w:topLinePunct w:val="0"/>
              <w:autoSpaceDE/>
              <w:autoSpaceDN/>
              <w:bidi w:val="0"/>
              <w:adjustRightInd/>
              <w:snapToGrid w:val="0"/>
              <w:spacing w:line="320" w:lineRule="exact"/>
              <w:ind w:left="0" w:leftChars="0"/>
              <w:jc w:val="center"/>
              <w:textAlignment w:val="auto"/>
              <w:rPr>
                <w:rFonts w:hint="default" w:ascii="Times New Roman" w:hAnsi="Times New Roman" w:cs="Times New Roman" w:eastAsiaTheme="minorEastAsia"/>
                <w:color w:val="auto"/>
                <w:sz w:val="21"/>
                <w:szCs w:val="21"/>
                <w:highlight w:val="none"/>
              </w:rPr>
            </w:pPr>
          </w:p>
        </w:tc>
        <w:tc>
          <w:tcPr>
            <w:tcW w:w="5033" w:type="dxa"/>
            <w:tcBorders>
              <w:tl2br w:val="nil"/>
              <w:tr2bl w:val="nil"/>
            </w:tcBorders>
            <w:vAlign w:val="center"/>
          </w:tcPr>
          <w:p w14:paraId="21B7A065">
            <w:pPr>
              <w:keepNext w:val="0"/>
              <w:keepLines w:val="0"/>
              <w:pageBreakBefore w:val="0"/>
              <w:widowControl w:val="0"/>
              <w:kinsoku/>
              <w:wordWrap/>
              <w:overflowPunct/>
              <w:topLinePunct w:val="0"/>
              <w:autoSpaceDE/>
              <w:autoSpaceDN/>
              <w:bidi w:val="0"/>
              <w:adjustRightInd/>
              <w:snapToGrid w:val="0"/>
              <w:spacing w:line="320" w:lineRule="exact"/>
              <w:ind w:left="0" w:left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生态</w:t>
            </w:r>
            <w:r>
              <w:rPr>
                <w:rFonts w:hint="default" w:ascii="Times New Roman" w:hAnsi="Times New Roman" w:cs="Times New Roman" w:eastAsiaTheme="minorEastAsia"/>
                <w:color w:val="auto"/>
                <w:sz w:val="21"/>
                <w:szCs w:val="21"/>
                <w:highlight w:val="none"/>
                <w:lang w:val="en-US" w:eastAsia="zh-CN"/>
              </w:rPr>
              <w:t>恢复</w:t>
            </w:r>
            <w:r>
              <w:rPr>
                <w:rFonts w:hint="default" w:ascii="Times New Roman" w:hAnsi="Times New Roman" w:cs="Times New Roman" w:eastAsiaTheme="minorEastAsia"/>
                <w:color w:val="auto"/>
                <w:sz w:val="21"/>
                <w:szCs w:val="21"/>
                <w:highlight w:val="none"/>
              </w:rPr>
              <w:t>措施、水土保持</w:t>
            </w:r>
          </w:p>
        </w:tc>
        <w:tc>
          <w:tcPr>
            <w:tcW w:w="1749" w:type="dxa"/>
            <w:tcBorders>
              <w:tl2br w:val="nil"/>
              <w:tr2bl w:val="nil"/>
            </w:tcBorders>
            <w:vAlign w:val="center"/>
          </w:tcPr>
          <w:p w14:paraId="66677BDC">
            <w:pPr>
              <w:keepNext w:val="0"/>
              <w:keepLines w:val="0"/>
              <w:pageBreakBefore w:val="0"/>
              <w:widowControl/>
              <w:suppressLineNumbers w:val="0"/>
              <w:kinsoku/>
              <w:wordWrap/>
              <w:overflowPunct/>
              <w:topLinePunct w:val="0"/>
              <w:autoSpaceDE/>
              <w:autoSpaceDN/>
              <w:bidi w:val="0"/>
              <w:adjustRightInd/>
              <w:snapToGrid w:val="0"/>
              <w:spacing w:line="320" w:lineRule="exact"/>
              <w:ind w:left="0" w:leftChars="0"/>
              <w:jc w:val="center"/>
              <w:textAlignment w:val="center"/>
              <w:rPr>
                <w:rFonts w:hint="default" w:ascii="Times New Roman" w:hAnsi="Times New Roman" w:cs="Times New Roman" w:eastAsiaTheme="minorEastAsia"/>
                <w:color w:val="auto"/>
                <w:sz w:val="21"/>
                <w:szCs w:val="21"/>
                <w:highlight w:val="none"/>
                <w:lang w:val="en-US"/>
              </w:rPr>
            </w:pPr>
            <w:r>
              <w:rPr>
                <w:rFonts w:hint="eastAsia" w:ascii="宋体" w:hAnsi="宋体" w:eastAsia="宋体" w:cs="宋体"/>
                <w:i w:val="0"/>
                <w:color w:val="auto"/>
                <w:kern w:val="0"/>
                <w:sz w:val="21"/>
                <w:szCs w:val="21"/>
                <w:u w:val="none"/>
                <w:lang w:val="en-US" w:eastAsia="zh-CN" w:bidi="ar"/>
              </w:rPr>
              <w:t>70</w:t>
            </w:r>
          </w:p>
        </w:tc>
      </w:tr>
      <w:tr w14:paraId="080929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02" w:type="dxa"/>
            <w:vMerge w:val="continue"/>
            <w:tcBorders>
              <w:tl2br w:val="nil"/>
              <w:tr2bl w:val="nil"/>
            </w:tcBorders>
            <w:vAlign w:val="center"/>
          </w:tcPr>
          <w:p w14:paraId="58323339">
            <w:pPr>
              <w:keepNext w:val="0"/>
              <w:keepLines w:val="0"/>
              <w:pageBreakBefore w:val="0"/>
              <w:widowControl w:val="0"/>
              <w:kinsoku/>
              <w:wordWrap/>
              <w:overflowPunct/>
              <w:topLinePunct w:val="0"/>
              <w:autoSpaceDE/>
              <w:autoSpaceDN/>
              <w:bidi w:val="0"/>
              <w:adjustRightInd/>
              <w:snapToGrid w:val="0"/>
              <w:spacing w:line="320" w:lineRule="exact"/>
              <w:ind w:left="0" w:leftChars="0"/>
              <w:jc w:val="center"/>
              <w:textAlignment w:val="auto"/>
              <w:rPr>
                <w:rFonts w:hint="default" w:ascii="Times New Roman" w:hAnsi="Times New Roman" w:cs="Times New Roman" w:eastAsiaTheme="minorEastAsia"/>
                <w:color w:val="auto"/>
                <w:sz w:val="21"/>
                <w:szCs w:val="21"/>
                <w:highlight w:val="none"/>
              </w:rPr>
            </w:pPr>
          </w:p>
        </w:tc>
        <w:tc>
          <w:tcPr>
            <w:tcW w:w="1372" w:type="dxa"/>
            <w:tcBorders>
              <w:tl2br w:val="nil"/>
              <w:tr2bl w:val="nil"/>
            </w:tcBorders>
            <w:vAlign w:val="center"/>
          </w:tcPr>
          <w:p w14:paraId="42FB2ABB">
            <w:pPr>
              <w:keepNext w:val="0"/>
              <w:keepLines w:val="0"/>
              <w:pageBreakBefore w:val="0"/>
              <w:widowControl w:val="0"/>
              <w:kinsoku/>
              <w:wordWrap/>
              <w:overflowPunct/>
              <w:topLinePunct w:val="0"/>
              <w:autoSpaceDE/>
              <w:autoSpaceDN/>
              <w:bidi w:val="0"/>
              <w:adjustRightInd/>
              <w:snapToGrid w:val="0"/>
              <w:spacing w:line="320" w:lineRule="exact"/>
              <w:ind w:left="0" w:left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电磁环境</w:t>
            </w:r>
          </w:p>
        </w:tc>
        <w:tc>
          <w:tcPr>
            <w:tcW w:w="5033" w:type="dxa"/>
            <w:tcBorders>
              <w:tl2br w:val="nil"/>
              <w:tr2bl w:val="nil"/>
            </w:tcBorders>
            <w:vAlign w:val="center"/>
          </w:tcPr>
          <w:p w14:paraId="791C1F50">
            <w:pPr>
              <w:keepNext w:val="0"/>
              <w:keepLines w:val="0"/>
              <w:pageBreakBefore w:val="0"/>
              <w:widowControl w:val="0"/>
              <w:kinsoku/>
              <w:wordWrap/>
              <w:overflowPunct/>
              <w:topLinePunct w:val="0"/>
              <w:autoSpaceDE/>
              <w:autoSpaceDN/>
              <w:bidi w:val="0"/>
              <w:adjustRightInd/>
              <w:snapToGrid w:val="0"/>
              <w:spacing w:line="320" w:lineRule="exact"/>
              <w:ind w:left="0" w:left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悬挂标识牌</w:t>
            </w:r>
          </w:p>
        </w:tc>
        <w:tc>
          <w:tcPr>
            <w:tcW w:w="1749" w:type="dxa"/>
            <w:tcBorders>
              <w:tl2br w:val="nil"/>
              <w:tr2bl w:val="nil"/>
            </w:tcBorders>
            <w:vAlign w:val="center"/>
          </w:tcPr>
          <w:p w14:paraId="536EBFD9">
            <w:pPr>
              <w:keepNext w:val="0"/>
              <w:keepLines w:val="0"/>
              <w:pageBreakBefore w:val="0"/>
              <w:widowControl/>
              <w:suppressLineNumbers w:val="0"/>
              <w:kinsoku/>
              <w:wordWrap/>
              <w:overflowPunct/>
              <w:topLinePunct w:val="0"/>
              <w:autoSpaceDE/>
              <w:autoSpaceDN/>
              <w:bidi w:val="0"/>
              <w:adjustRightInd/>
              <w:snapToGrid w:val="0"/>
              <w:spacing w:line="320" w:lineRule="exact"/>
              <w:ind w:left="0" w:leftChars="0"/>
              <w:jc w:val="center"/>
              <w:textAlignment w:val="center"/>
              <w:rPr>
                <w:rFonts w:hint="default" w:ascii="Times New Roman" w:hAnsi="Times New Roman" w:cs="Times New Roman" w:eastAsiaTheme="minorEastAsia"/>
                <w:color w:val="auto"/>
                <w:sz w:val="21"/>
                <w:szCs w:val="21"/>
                <w:highlight w:val="none"/>
                <w:lang w:val="en-US" w:eastAsia="zh-CN"/>
              </w:rPr>
            </w:pPr>
            <w:r>
              <w:rPr>
                <w:rFonts w:hint="eastAsia" w:ascii="宋体" w:hAnsi="宋体" w:eastAsia="宋体" w:cs="宋体"/>
                <w:i w:val="0"/>
                <w:color w:val="auto"/>
                <w:kern w:val="0"/>
                <w:sz w:val="21"/>
                <w:szCs w:val="21"/>
                <w:u w:val="none"/>
                <w:lang w:val="en-US" w:eastAsia="zh-CN" w:bidi="ar"/>
              </w:rPr>
              <w:t>25</w:t>
            </w:r>
          </w:p>
        </w:tc>
      </w:tr>
      <w:tr w14:paraId="135DE2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02" w:type="dxa"/>
            <w:tcBorders>
              <w:tl2br w:val="nil"/>
              <w:tr2bl w:val="nil"/>
            </w:tcBorders>
            <w:vAlign w:val="center"/>
          </w:tcPr>
          <w:p w14:paraId="500AAEB9">
            <w:pPr>
              <w:keepNext w:val="0"/>
              <w:keepLines w:val="0"/>
              <w:pageBreakBefore w:val="0"/>
              <w:widowControl w:val="0"/>
              <w:kinsoku/>
              <w:wordWrap/>
              <w:overflowPunct/>
              <w:topLinePunct w:val="0"/>
              <w:autoSpaceDE/>
              <w:autoSpaceDN/>
              <w:bidi w:val="0"/>
              <w:adjustRightInd/>
              <w:snapToGrid w:val="0"/>
              <w:spacing w:line="320" w:lineRule="exact"/>
              <w:ind w:left="0" w:left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其他</w:t>
            </w:r>
          </w:p>
        </w:tc>
        <w:tc>
          <w:tcPr>
            <w:tcW w:w="1372" w:type="dxa"/>
            <w:tcBorders>
              <w:tl2br w:val="nil"/>
              <w:tr2bl w:val="nil"/>
            </w:tcBorders>
            <w:vAlign w:val="center"/>
          </w:tcPr>
          <w:p w14:paraId="491DBC75">
            <w:pPr>
              <w:keepNext w:val="0"/>
              <w:keepLines w:val="0"/>
              <w:pageBreakBefore w:val="0"/>
              <w:widowControl w:val="0"/>
              <w:kinsoku/>
              <w:wordWrap/>
              <w:overflowPunct/>
              <w:topLinePunct w:val="0"/>
              <w:autoSpaceDE/>
              <w:autoSpaceDN/>
              <w:bidi w:val="0"/>
              <w:adjustRightInd/>
              <w:snapToGrid w:val="0"/>
              <w:spacing w:line="320" w:lineRule="exact"/>
              <w:ind w:left="0" w:left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w:t>
            </w:r>
          </w:p>
        </w:tc>
        <w:tc>
          <w:tcPr>
            <w:tcW w:w="5033" w:type="dxa"/>
            <w:tcBorders>
              <w:tl2br w:val="nil"/>
              <w:tr2bl w:val="nil"/>
            </w:tcBorders>
            <w:vAlign w:val="center"/>
          </w:tcPr>
          <w:p w14:paraId="380EBA08">
            <w:pPr>
              <w:keepNext w:val="0"/>
              <w:keepLines w:val="0"/>
              <w:pageBreakBefore w:val="0"/>
              <w:widowControl w:val="0"/>
              <w:kinsoku/>
              <w:wordWrap/>
              <w:overflowPunct/>
              <w:topLinePunct w:val="0"/>
              <w:autoSpaceDE/>
              <w:autoSpaceDN/>
              <w:bidi w:val="0"/>
              <w:adjustRightInd/>
              <w:snapToGrid w:val="0"/>
              <w:spacing w:line="320" w:lineRule="exact"/>
              <w:ind w:left="0" w:left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环境影响评价、竣工环境保护验收</w:t>
            </w:r>
          </w:p>
        </w:tc>
        <w:tc>
          <w:tcPr>
            <w:tcW w:w="1749" w:type="dxa"/>
            <w:tcBorders>
              <w:tl2br w:val="nil"/>
              <w:tr2bl w:val="nil"/>
            </w:tcBorders>
            <w:vAlign w:val="center"/>
          </w:tcPr>
          <w:p w14:paraId="0B08A2F6">
            <w:pPr>
              <w:keepNext w:val="0"/>
              <w:keepLines w:val="0"/>
              <w:pageBreakBefore w:val="0"/>
              <w:widowControl/>
              <w:suppressLineNumbers w:val="0"/>
              <w:kinsoku/>
              <w:wordWrap/>
              <w:overflowPunct/>
              <w:topLinePunct w:val="0"/>
              <w:autoSpaceDE/>
              <w:autoSpaceDN/>
              <w:bidi w:val="0"/>
              <w:adjustRightInd/>
              <w:snapToGrid w:val="0"/>
              <w:spacing w:line="320" w:lineRule="exact"/>
              <w:ind w:left="0" w:leftChars="0"/>
              <w:jc w:val="center"/>
              <w:textAlignment w:val="center"/>
              <w:rPr>
                <w:rFonts w:hint="default" w:ascii="Times New Roman" w:hAnsi="Times New Roman" w:cs="Times New Roman" w:eastAsiaTheme="minorEastAsia"/>
                <w:color w:val="auto"/>
                <w:sz w:val="21"/>
                <w:szCs w:val="21"/>
                <w:highlight w:val="none"/>
                <w:lang w:val="en-US"/>
              </w:rPr>
            </w:pPr>
            <w:r>
              <w:rPr>
                <w:rFonts w:hint="default" w:ascii="Times New Roman" w:hAnsi="Times New Roman" w:eastAsia="等线" w:cs="Times New Roman"/>
                <w:i w:val="0"/>
                <w:color w:val="auto"/>
                <w:kern w:val="0"/>
                <w:sz w:val="21"/>
                <w:szCs w:val="21"/>
                <w:u w:val="none"/>
                <w:lang w:val="en-US" w:eastAsia="zh-CN" w:bidi="ar"/>
              </w:rPr>
              <w:t>40</w:t>
            </w:r>
          </w:p>
        </w:tc>
      </w:tr>
      <w:tr w14:paraId="3B0D2D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7" w:type="dxa"/>
            <w:gridSpan w:val="3"/>
            <w:tcBorders>
              <w:tl2br w:val="nil"/>
              <w:tr2bl w:val="nil"/>
            </w:tcBorders>
            <w:vAlign w:val="center"/>
          </w:tcPr>
          <w:p w14:paraId="1F7070AA">
            <w:pPr>
              <w:keepNext w:val="0"/>
              <w:keepLines w:val="0"/>
              <w:pageBreakBefore w:val="0"/>
              <w:widowControl w:val="0"/>
              <w:kinsoku/>
              <w:wordWrap/>
              <w:overflowPunct/>
              <w:topLinePunct w:val="0"/>
              <w:autoSpaceDE/>
              <w:autoSpaceDN/>
              <w:bidi w:val="0"/>
              <w:adjustRightInd/>
              <w:snapToGrid w:val="0"/>
              <w:spacing w:line="320" w:lineRule="exact"/>
              <w:ind w:left="0" w:left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合计</w:t>
            </w:r>
          </w:p>
        </w:tc>
        <w:tc>
          <w:tcPr>
            <w:tcW w:w="1749" w:type="dxa"/>
            <w:tcBorders>
              <w:tl2br w:val="nil"/>
              <w:tr2bl w:val="nil"/>
            </w:tcBorders>
            <w:vAlign w:val="center"/>
          </w:tcPr>
          <w:p w14:paraId="6843E3DA">
            <w:pPr>
              <w:keepNext w:val="0"/>
              <w:keepLines w:val="0"/>
              <w:pageBreakBefore w:val="0"/>
              <w:widowControl/>
              <w:suppressLineNumbers w:val="0"/>
              <w:kinsoku/>
              <w:wordWrap/>
              <w:overflowPunct/>
              <w:topLinePunct w:val="0"/>
              <w:autoSpaceDE/>
              <w:autoSpaceDN/>
              <w:bidi w:val="0"/>
              <w:adjustRightInd/>
              <w:snapToGrid w:val="0"/>
              <w:spacing w:line="320" w:lineRule="exact"/>
              <w:ind w:left="0" w:leftChars="0"/>
              <w:jc w:val="center"/>
              <w:textAlignment w:val="center"/>
              <w:rPr>
                <w:rFonts w:hint="default" w:ascii="Times New Roman" w:hAnsi="Times New Roman" w:cs="Times New Roman" w:eastAsiaTheme="minorEastAsia"/>
                <w:color w:val="auto"/>
                <w:sz w:val="21"/>
                <w:szCs w:val="21"/>
                <w:highlight w:val="none"/>
                <w:lang w:val="en-US" w:eastAsia="zh-CN"/>
              </w:rPr>
            </w:pPr>
            <w:r>
              <w:rPr>
                <w:rFonts w:hint="eastAsia" w:ascii="宋体" w:hAnsi="宋体" w:eastAsia="宋体" w:cs="宋体"/>
                <w:i w:val="0"/>
                <w:color w:val="auto"/>
                <w:kern w:val="0"/>
                <w:sz w:val="21"/>
                <w:szCs w:val="21"/>
                <w:u w:val="none"/>
                <w:lang w:val="en-US" w:eastAsia="zh-CN" w:bidi="ar"/>
              </w:rPr>
              <w:t>910</w:t>
            </w:r>
          </w:p>
        </w:tc>
      </w:tr>
    </w:tbl>
    <w:p w14:paraId="4CB07EBF">
      <w:pPr>
        <w:pStyle w:val="11"/>
        <w:keepNext/>
        <w:keepLines/>
        <w:pageBreakBefore w:val="0"/>
        <w:widowControl w:val="0"/>
        <w:kinsoku/>
        <w:wordWrap/>
        <w:overflowPunct/>
        <w:topLinePunct w:val="0"/>
        <w:autoSpaceDE/>
        <w:autoSpaceDN/>
        <w:bidi w:val="0"/>
        <w:adjustRightInd/>
        <w:snapToGrid/>
        <w:ind w:left="0"/>
        <w:textAlignment w:val="auto"/>
        <w:outlineLvl w:val="2"/>
        <w:rPr>
          <w:rFonts w:hint="default" w:ascii="Times New Roman" w:hAnsi="Times New Roman" w:cs="Times New Roman" w:eastAsiaTheme="minorEastAsia"/>
          <w:color w:val="auto"/>
          <w:highlight w:val="none"/>
          <w:lang w:val="en-US" w:eastAsia="zh-CN"/>
        </w:rPr>
      </w:pPr>
      <w:bookmarkStart w:id="525" w:name="_Toc26337"/>
      <w:r>
        <w:rPr>
          <w:rFonts w:hint="default" w:ascii="Times New Roman" w:hAnsi="Times New Roman" w:cs="Times New Roman" w:eastAsiaTheme="minorEastAsia"/>
          <w:color w:val="auto"/>
          <w:highlight w:val="none"/>
          <w:lang w:val="en-US" w:eastAsia="zh-CN"/>
        </w:rPr>
        <w:t>7.4.2 环境效益分析</w:t>
      </w:r>
      <w:bookmarkEnd w:id="525"/>
    </w:p>
    <w:p w14:paraId="200DC5ED">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本项目在设计中充分考虑了环境保护的要求，严格执行各项环境保护标准，满足生态环境准入清单。环保设施的建成与投运，能最大限度减少污染物排放，满足拟建项目噪声达标排放，对周围声环境影响较小；固废得到了妥善处置，对周围环境无直接影响。通过采取本评价中提出的环保措施后，项目建设能满足环境质量底线、生态保护红线、资源利用上线的要求，既保护环境又为企业带来了一定的经济效益，其环保措施环境效益明显。</w:t>
      </w:r>
    </w:p>
    <w:p w14:paraId="4C62DE05">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本项目是清洁能源开发利用项目，既不排放生产废水和废气，也不消耗非可再生的化石能源，对于保护环境、节约资源具有积极的作用，不仅具有明显的环境和节能效益，还有一定的经济和社会效益。</w:t>
      </w:r>
    </w:p>
    <w:p w14:paraId="01B82414">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本项目投产运行后，</w:t>
      </w:r>
      <w:r>
        <w:rPr>
          <w:rFonts w:hint="eastAsia" w:ascii="宋体" w:hAnsi="宋体" w:eastAsia="宋体" w:cs="宋体"/>
          <w:color w:val="000000" w:themeColor="text1"/>
          <w:sz w:val="24"/>
          <w:highlight w:val="none"/>
          <w:lang w:val="en-US" w:eastAsia="zh-CN"/>
          <w14:textFill>
            <w14:solidFill>
              <w14:schemeClr w14:val="tx1"/>
            </w14:solidFill>
          </w14:textFill>
        </w:rPr>
        <w:t>考虑综合折减后风电场年</w:t>
      </w:r>
      <w:r>
        <w:rPr>
          <w:rFonts w:hint="eastAsia" w:ascii="宋体" w:hAnsi="宋体" w:eastAsia="宋体" w:cs="宋体"/>
          <w:color w:val="000000" w:themeColor="text1"/>
          <w:sz w:val="24"/>
          <w14:textFill>
            <w14:solidFill>
              <w14:schemeClr w14:val="tx1"/>
            </w14:solidFill>
          </w14:textFill>
        </w:rPr>
        <w:t>均上网电量为</w:t>
      </w:r>
      <w:r>
        <w:rPr>
          <w:rFonts w:hint="eastAsia" w:ascii="宋体" w:hAnsi="宋体" w:eastAsia="宋体" w:cs="宋体"/>
          <w:color w:val="000000" w:themeColor="text1"/>
          <w:sz w:val="24"/>
          <w:lang w:val="en-US" w:eastAsia="zh-CN"/>
          <w14:textFill>
            <w14:solidFill>
              <w14:schemeClr w14:val="tx1"/>
            </w14:solidFill>
          </w14:textFill>
        </w:rPr>
        <w:t>345900</w:t>
      </w:r>
      <w:r>
        <w:rPr>
          <w:rFonts w:hint="eastAsia" w:ascii="宋体" w:hAnsi="宋体" w:eastAsia="宋体" w:cs="宋体"/>
          <w:color w:val="000000" w:themeColor="text1"/>
          <w:sz w:val="24"/>
          <w14:textFill>
            <w14:solidFill>
              <w14:schemeClr w14:val="tx1"/>
            </w14:solidFill>
          </w14:textFill>
        </w:rPr>
        <w:t>MWh</w:t>
      </w:r>
      <w:r>
        <w:rPr>
          <w:rFonts w:hint="eastAsia" w:ascii="宋体" w:hAnsi="宋体" w:eastAsia="宋体" w:cs="宋体"/>
          <w:color w:val="000000" w:themeColor="text1"/>
          <w:sz w:val="24"/>
          <w:lang w:eastAsia="zh-CN"/>
          <w14:textFill>
            <w14:solidFill>
              <w14:schemeClr w14:val="tx1"/>
            </w14:solidFill>
          </w14:textFill>
        </w:rPr>
        <w:t>，</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与燃煤电厂相比，以供电标煤煤耗300.7g/kWh计，每年可节约标准煤约1</w:t>
      </w:r>
      <w:r>
        <w:rPr>
          <w:rFonts w:hint="eastAsia" w:cs="Times New Roman" w:eastAsiaTheme="minorEastAsia"/>
          <w:color w:val="000000" w:themeColor="text1"/>
          <w:sz w:val="24"/>
          <w:highlight w:val="none"/>
          <w:lang w:val="en-US" w:eastAsia="zh-CN"/>
          <w14:textFill>
            <w14:solidFill>
              <w14:schemeClr w14:val="tx1"/>
            </w14:solidFill>
          </w14:textFill>
        </w:rPr>
        <w:t>0</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w:t>
      </w:r>
      <w:r>
        <w:rPr>
          <w:rFonts w:hint="eastAsia" w:cs="Times New Roman" w:eastAsiaTheme="minorEastAsia"/>
          <w:color w:val="000000" w:themeColor="text1"/>
          <w:sz w:val="24"/>
          <w:highlight w:val="none"/>
          <w:lang w:val="en-US" w:eastAsia="zh-CN"/>
          <w14:textFill>
            <w14:solidFill>
              <w14:schemeClr w14:val="tx1"/>
            </w14:solidFill>
          </w14:textFill>
        </w:rPr>
        <w:t>4</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万t，相应每年可减少多种大气污染物的排放，其中减少S0</w:t>
      </w:r>
      <w:r>
        <w:rPr>
          <w:rFonts w:hint="default" w:ascii="Times New Roman" w:hAnsi="Times New Roman" w:cs="Times New Roman" w:eastAsiaTheme="minorEastAsia"/>
          <w:color w:val="000000" w:themeColor="text1"/>
          <w:sz w:val="24"/>
          <w:highlight w:val="none"/>
          <w:vertAlign w:val="subscript"/>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排放量约</w:t>
      </w:r>
      <w:r>
        <w:rPr>
          <w:rFonts w:hint="eastAsia" w:cs="Times New Roman" w:eastAsiaTheme="minorEastAsia"/>
          <w:color w:val="000000" w:themeColor="text1"/>
          <w:sz w:val="24"/>
          <w:highlight w:val="none"/>
          <w:lang w:val="en-US" w:eastAsia="zh-CN"/>
          <w14:textFill>
            <w14:solidFill>
              <w14:schemeClr w14:val="tx1"/>
            </w14:solidFill>
          </w14:textFill>
        </w:rPr>
        <w:t>28.7</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t，氮氧化合物约</w:t>
      </w:r>
      <w:r>
        <w:rPr>
          <w:rFonts w:hint="eastAsia" w:cs="Times New Roman" w:eastAsiaTheme="minorEastAsia"/>
          <w:color w:val="000000" w:themeColor="text1"/>
          <w:sz w:val="24"/>
          <w:highlight w:val="none"/>
          <w:lang w:val="en-US" w:eastAsia="zh-CN"/>
          <w14:textFill>
            <w14:solidFill>
              <w14:schemeClr w14:val="tx1"/>
            </w14:solidFill>
          </w14:textFill>
        </w:rPr>
        <w:t>46</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t，CO</w:t>
      </w:r>
      <w:r>
        <w:rPr>
          <w:rFonts w:hint="default" w:ascii="Times New Roman" w:hAnsi="Times New Roman" w:cs="Times New Roman" w:eastAsiaTheme="minorEastAsia"/>
          <w:color w:val="000000" w:themeColor="text1"/>
          <w:sz w:val="24"/>
          <w:highlight w:val="none"/>
          <w:vertAlign w:val="subscript"/>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排放量约</w:t>
      </w:r>
      <w:r>
        <w:rPr>
          <w:rFonts w:hint="eastAsia" w:cs="Times New Roman" w:eastAsiaTheme="minorEastAsia"/>
          <w:color w:val="000000" w:themeColor="text1"/>
          <w:sz w:val="24"/>
          <w:highlight w:val="none"/>
          <w:lang w:val="en-US" w:eastAsia="zh-CN"/>
          <w14:textFill>
            <w14:solidFill>
              <w14:schemeClr w14:val="tx1"/>
            </w14:solidFill>
          </w14:textFill>
        </w:rPr>
        <w:t>28.5</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万t，还可减少烟尘排放量约</w:t>
      </w:r>
      <w:r>
        <w:rPr>
          <w:rFonts w:hint="eastAsia" w:cs="Times New Roman" w:eastAsiaTheme="minorEastAsia"/>
          <w:color w:val="000000" w:themeColor="text1"/>
          <w:sz w:val="24"/>
          <w:highlight w:val="none"/>
          <w:lang w:val="en-US" w:eastAsia="zh-CN"/>
          <w14:textFill>
            <w14:solidFill>
              <w14:schemeClr w14:val="tx1"/>
            </w14:solidFill>
          </w14:textFill>
        </w:rPr>
        <w:t>5.88</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t。</w:t>
      </w:r>
    </w:p>
    <w:p w14:paraId="1A5A78FB">
      <w:pPr>
        <w:pStyle w:val="11"/>
        <w:keepNext/>
        <w:keepLines/>
        <w:pageBreakBefore w:val="0"/>
        <w:widowControl w:val="0"/>
        <w:kinsoku/>
        <w:wordWrap/>
        <w:overflowPunct/>
        <w:topLinePunct w:val="0"/>
        <w:autoSpaceDE/>
        <w:autoSpaceDN/>
        <w:bidi w:val="0"/>
        <w:adjustRightInd/>
        <w:snapToGrid/>
        <w:ind w:left="0"/>
        <w:textAlignment w:val="auto"/>
        <w:outlineLvl w:val="2"/>
        <w:rPr>
          <w:rFonts w:hint="default" w:ascii="Times New Roman" w:hAnsi="Times New Roman" w:cs="Times New Roman" w:eastAsiaTheme="minorEastAsia"/>
          <w:color w:val="auto"/>
          <w:highlight w:val="none"/>
          <w:lang w:val="en-US" w:eastAsia="zh-CN"/>
        </w:rPr>
      </w:pPr>
      <w:bookmarkStart w:id="526" w:name="_Toc17935"/>
      <w:r>
        <w:rPr>
          <w:rFonts w:hint="default" w:ascii="Times New Roman" w:hAnsi="Times New Roman" w:cs="Times New Roman" w:eastAsiaTheme="minorEastAsia"/>
          <w:color w:val="auto"/>
          <w:highlight w:val="none"/>
          <w:lang w:val="en-US" w:eastAsia="zh-CN"/>
        </w:rPr>
        <w:t>7.4.3 环境经济效益综合评述</w:t>
      </w:r>
      <w:bookmarkEnd w:id="526"/>
    </w:p>
    <w:p w14:paraId="49336737">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(1)本项目建成后，不仅增加了地方的财政收入，而且还能为企业积累大量资金，经济效益较好。</w:t>
      </w:r>
    </w:p>
    <w:p w14:paraId="1D20FA26">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(2)拟建工程完成后，促进了当地的经济发展，增加了当地居民的经济收入，提高了公众的生活质量，维持了社会稳定，社会效益较好。</w:t>
      </w:r>
    </w:p>
    <w:p w14:paraId="005887B6">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(3)本项目严格落实可研和环评提出的各项污染防治措施，满足环境质量底线、生态保护红线、资源利用上线、生态环境准入清单要求。</w:t>
      </w:r>
    </w:p>
    <w:p w14:paraId="29F0820A">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通过对本项目在经济效益、环境效益和社会效益三方面的分析，可以看出，本项目的建设能够达到“三效益”的和谐统一发展，项目是可行的。</w:t>
      </w:r>
    </w:p>
    <w:p w14:paraId="405173EE">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FF0000"/>
          <w:sz w:val="24"/>
          <w:highlight w:val="none"/>
          <w:lang w:val="en-US" w:eastAsia="zh-CN"/>
        </w:rPr>
      </w:pPr>
    </w:p>
    <w:p w14:paraId="209C5BEB">
      <w:pPr>
        <w:pageBreakBefore w:val="0"/>
        <w:widowControl w:val="0"/>
        <w:kinsoku/>
        <w:wordWrap/>
        <w:overflowPunct/>
        <w:topLinePunct w:val="0"/>
        <w:autoSpaceDE/>
        <w:autoSpaceDN/>
        <w:bidi w:val="0"/>
        <w:adjustRightInd/>
        <w:snapToGrid/>
        <w:spacing w:line="360" w:lineRule="auto"/>
        <w:ind w:firstLine="480" w:firstLineChars="200"/>
        <w:rPr>
          <w:rFonts w:hint="default" w:ascii="Times New Roman" w:hAnsi="Times New Roman" w:cs="Times New Roman" w:eastAsiaTheme="minorEastAsia"/>
          <w:color w:val="FF0000"/>
          <w:sz w:val="24"/>
          <w:highlight w:val="none"/>
          <w:lang w:val="en-US" w:eastAsia="zh-CN"/>
        </w:rPr>
      </w:pPr>
    </w:p>
    <w:p w14:paraId="6CDB0758">
      <w:pPr>
        <w:rPr>
          <w:rFonts w:hint="default" w:ascii="Times New Roman" w:hAnsi="Times New Roman" w:cs="Times New Roman" w:eastAsiaTheme="minorEastAsia"/>
          <w:color w:val="FF0000"/>
          <w:sz w:val="24"/>
          <w:highlight w:val="none"/>
          <w:lang w:val="en-US" w:eastAsia="zh-CN"/>
        </w:rPr>
      </w:pPr>
      <w:r>
        <w:rPr>
          <w:rFonts w:hint="default" w:ascii="Times New Roman" w:hAnsi="Times New Roman" w:cs="Times New Roman" w:eastAsiaTheme="minorEastAsia"/>
          <w:color w:val="FF0000"/>
          <w:sz w:val="24"/>
          <w:highlight w:val="none"/>
          <w:lang w:val="en-US" w:eastAsia="zh-CN"/>
        </w:rPr>
        <w:br w:type="page"/>
      </w:r>
    </w:p>
    <w:p w14:paraId="71BBC09D">
      <w:pPr>
        <w:pStyle w:val="3"/>
        <w:keepNext/>
        <w:keepLines/>
        <w:pageBreakBefore w:val="0"/>
        <w:widowControl w:val="0"/>
        <w:numPr>
          <w:ilvl w:val="0"/>
          <w:numId w:val="0"/>
        </w:numPr>
        <w:tabs>
          <w:tab w:val="left" w:pos="525"/>
        </w:tabs>
        <w:kinsoku/>
        <w:wordWrap w:val="0"/>
        <w:overflowPunct/>
        <w:topLinePunct w:val="0"/>
        <w:autoSpaceDE/>
        <w:autoSpaceDN/>
        <w:bidi w:val="0"/>
        <w:adjustRightInd/>
        <w:snapToGrid/>
        <w:spacing w:before="0" w:beforeLines="0" w:after="0" w:afterLines="0" w:line="360" w:lineRule="auto"/>
        <w:ind w:left="0"/>
        <w:textAlignment w:val="auto"/>
        <w:outlineLvl w:val="0"/>
        <w:rPr>
          <w:rFonts w:hint="default" w:ascii="Times New Roman" w:hAnsi="Times New Roman" w:cs="Times New Roman" w:eastAsiaTheme="minorEastAsia"/>
          <w:color w:val="auto"/>
          <w:sz w:val="32"/>
          <w:highlight w:val="none"/>
          <w:lang w:val="en-US" w:eastAsia="zh-CN"/>
        </w:rPr>
      </w:pPr>
      <w:bookmarkStart w:id="527" w:name="_Toc1983"/>
      <w:bookmarkStart w:id="528" w:name="_Toc22862"/>
      <w:bookmarkStart w:id="529" w:name="_Toc22744"/>
      <w:r>
        <w:rPr>
          <w:rFonts w:hint="default" w:ascii="Times New Roman" w:hAnsi="Times New Roman" w:cs="Times New Roman" w:eastAsiaTheme="minorEastAsia"/>
          <w:color w:val="auto"/>
          <w:sz w:val="32"/>
          <w:highlight w:val="none"/>
          <w:lang w:val="en-US" w:eastAsia="zh-CN"/>
        </w:rPr>
        <w:t>8 环境管理与监测计划</w:t>
      </w:r>
      <w:bookmarkEnd w:id="527"/>
      <w:bookmarkEnd w:id="528"/>
      <w:bookmarkEnd w:id="529"/>
    </w:p>
    <w:p w14:paraId="6D7F8E5C">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工程环境保护管理是指建设单位、设计单位和施工单位在工程的可行性研究、工程设计、建设期和运营期必须遵守国家、省市的有关环境保护法规、政策、标准，落实环境影响评价报告中拟定采取的减缓措施，并确保环境保护设施处于正常运行状态。环境管理计划制定出机构的能力建设、执行各项防治措施的职责、实施进度、监测内容和报告程序，以及资金投入和来源等内容。在工程建设期和运营期，接受地方生态环境主管部门的监督和指导，并配合生态环境主管部门完成对工程建设的“三同时”审查。</w:t>
      </w:r>
    </w:p>
    <w:p w14:paraId="265118D1">
      <w:pPr>
        <w:pStyle w:val="4"/>
        <w:keepNext/>
        <w:keepLines/>
        <w:pageBreakBefore w:val="0"/>
        <w:widowControl w:val="0"/>
        <w:numPr>
          <w:ilvl w:val="0"/>
          <w:numId w:val="0"/>
        </w:numPr>
        <w:tabs>
          <w:tab w:val="left" w:pos="630"/>
          <w:tab w:val="left" w:pos="3403"/>
        </w:tabs>
        <w:kinsoku/>
        <w:wordWrap w:val="0"/>
        <w:overflowPunct/>
        <w:topLinePunct w:val="0"/>
        <w:autoSpaceDE/>
        <w:autoSpaceDN/>
        <w:bidi w:val="0"/>
        <w:adjustRightInd/>
        <w:snapToGrid/>
        <w:spacing w:before="0" w:beforeLines="0" w:after="0" w:afterLines="0" w:line="360" w:lineRule="auto"/>
        <w:ind w:left="0" w:leftChars="0"/>
        <w:textAlignment w:val="auto"/>
        <w:outlineLvl w:val="1"/>
        <w:rPr>
          <w:rFonts w:hint="default" w:ascii="Times New Roman" w:hAnsi="Times New Roman" w:cs="Times New Roman" w:eastAsiaTheme="minorEastAsia"/>
          <w:color w:val="auto"/>
          <w:sz w:val="30"/>
          <w:highlight w:val="none"/>
          <w:lang w:val="en-US" w:eastAsia="zh-CN"/>
        </w:rPr>
      </w:pPr>
      <w:bookmarkStart w:id="530" w:name="_Toc31319"/>
      <w:bookmarkStart w:id="531" w:name="_Toc25395"/>
      <w:bookmarkStart w:id="532" w:name="_Toc10556"/>
      <w:r>
        <w:rPr>
          <w:rFonts w:hint="default" w:ascii="Times New Roman" w:hAnsi="Times New Roman" w:cs="Times New Roman" w:eastAsiaTheme="minorEastAsia"/>
          <w:color w:val="auto"/>
          <w:sz w:val="30"/>
          <w:highlight w:val="none"/>
          <w:lang w:val="en-US" w:eastAsia="zh-CN"/>
        </w:rPr>
        <w:t>8.1 环境管理</w:t>
      </w:r>
      <w:bookmarkEnd w:id="530"/>
      <w:bookmarkEnd w:id="531"/>
      <w:bookmarkEnd w:id="532"/>
    </w:p>
    <w:p w14:paraId="5051A38F">
      <w:pPr>
        <w:pStyle w:val="11"/>
        <w:keepNext/>
        <w:keepLines/>
        <w:pageBreakBefore w:val="0"/>
        <w:widowControl w:val="0"/>
        <w:kinsoku/>
        <w:wordWrap/>
        <w:overflowPunct/>
        <w:topLinePunct w:val="0"/>
        <w:autoSpaceDE/>
        <w:autoSpaceDN/>
        <w:bidi w:val="0"/>
        <w:adjustRightInd/>
        <w:snapToGrid/>
        <w:ind w:left="0"/>
        <w:textAlignment w:val="auto"/>
        <w:outlineLvl w:val="2"/>
        <w:rPr>
          <w:rFonts w:hint="default" w:ascii="Times New Roman" w:hAnsi="Times New Roman" w:cs="Times New Roman" w:eastAsiaTheme="minorEastAsia"/>
          <w:color w:val="auto"/>
          <w:highlight w:val="none"/>
          <w:lang w:val="en-US" w:eastAsia="zh-CN"/>
        </w:rPr>
      </w:pPr>
      <w:bookmarkStart w:id="533" w:name="_Toc29888"/>
      <w:r>
        <w:rPr>
          <w:rFonts w:hint="default" w:ascii="Times New Roman" w:hAnsi="Times New Roman" w:cs="Times New Roman" w:eastAsiaTheme="minorEastAsia"/>
          <w:color w:val="auto"/>
          <w:highlight w:val="none"/>
          <w:lang w:val="en-US" w:eastAsia="zh-CN"/>
        </w:rPr>
        <w:t>8.1.1 机构设置、人员配备及职责</w:t>
      </w:r>
      <w:bookmarkEnd w:id="533"/>
    </w:p>
    <w:p w14:paraId="4F39A020">
      <w:pPr>
        <w:keepNext w:val="0"/>
        <w:keepLines w:val="0"/>
        <w:pageBreakBefore w:val="0"/>
        <w:widowControl w:val="0"/>
        <w:numPr>
          <w:ilvl w:val="0"/>
          <w:numId w:val="0"/>
        </w:numPr>
        <w:tabs>
          <w:tab w:val="left" w:pos="1260"/>
        </w:tabs>
        <w:kinsoku/>
        <w:wordWrap/>
        <w:overflowPunct/>
        <w:topLinePunct w:val="0"/>
        <w:autoSpaceDE/>
        <w:autoSpaceDN/>
        <w:bidi w:val="0"/>
        <w:adjustRightInd/>
        <w:snapToGrid/>
        <w:spacing w:line="360" w:lineRule="auto"/>
        <w:textAlignment w:val="auto"/>
        <w:outlineLvl w:val="9"/>
        <w:rPr>
          <w:rFonts w:hint="default" w:ascii="Times New Roman" w:hAnsi="Times New Roman" w:cs="Times New Roman" w:eastAsiaTheme="minorEastAsia"/>
          <w:b/>
          <w:bCs/>
          <w:snapToGrid w:val="0"/>
          <w:color w:val="auto"/>
          <w:sz w:val="24"/>
          <w:highlight w:val="none"/>
          <w:lang w:val="en-US" w:eastAsia="zh-CN"/>
        </w:rPr>
      </w:pPr>
      <w:r>
        <w:rPr>
          <w:rFonts w:hint="default" w:ascii="Times New Roman" w:hAnsi="Times New Roman" w:cs="Times New Roman" w:eastAsiaTheme="minorEastAsia"/>
          <w:b/>
          <w:bCs/>
          <w:snapToGrid w:val="0"/>
          <w:color w:val="auto"/>
          <w:sz w:val="24"/>
          <w:highlight w:val="none"/>
          <w:lang w:val="en-US" w:eastAsia="zh-CN"/>
        </w:rPr>
        <w:t>8.1.1.1 建立环保领导小组</w:t>
      </w:r>
    </w:p>
    <w:p w14:paraId="5A278A6F">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建设单位以总经理、主管生产与环保副总经理任正、副组长，各部门负责为成员成立环保领导小组，具体工作由环保科归口管理；主要工作职责是贯彻执行国家和地方环保法律法规，审定和决策项目污染治理方案，落实环保岗位职责，及时解决项目环境保护中出现的重大问题。</w:t>
      </w:r>
    </w:p>
    <w:p w14:paraId="1B4D8908">
      <w:pPr>
        <w:keepNext w:val="0"/>
        <w:keepLines w:val="0"/>
        <w:pageBreakBefore w:val="0"/>
        <w:widowControl w:val="0"/>
        <w:numPr>
          <w:ilvl w:val="0"/>
          <w:numId w:val="0"/>
        </w:numPr>
        <w:tabs>
          <w:tab w:val="left" w:pos="1260"/>
        </w:tabs>
        <w:kinsoku/>
        <w:wordWrap/>
        <w:overflowPunct/>
        <w:topLinePunct w:val="0"/>
        <w:autoSpaceDE/>
        <w:autoSpaceDN/>
        <w:bidi w:val="0"/>
        <w:adjustRightInd/>
        <w:snapToGrid/>
        <w:spacing w:line="360" w:lineRule="auto"/>
        <w:ind w:leftChars="0"/>
        <w:textAlignment w:val="auto"/>
        <w:outlineLvl w:val="9"/>
        <w:rPr>
          <w:rFonts w:hint="default" w:ascii="Times New Roman" w:hAnsi="Times New Roman" w:cs="Times New Roman" w:eastAsiaTheme="minorEastAsia"/>
          <w:b/>
          <w:bCs/>
          <w:snapToGrid w:val="0"/>
          <w:color w:val="auto"/>
          <w:sz w:val="24"/>
          <w:highlight w:val="none"/>
          <w:lang w:val="en-US" w:eastAsia="zh-CN"/>
        </w:rPr>
      </w:pPr>
      <w:r>
        <w:rPr>
          <w:rFonts w:hint="default" w:ascii="Times New Roman" w:hAnsi="Times New Roman" w:cs="Times New Roman" w:eastAsiaTheme="minorEastAsia"/>
          <w:b/>
          <w:bCs/>
          <w:snapToGrid w:val="0"/>
          <w:color w:val="auto"/>
          <w:sz w:val="24"/>
          <w:highlight w:val="none"/>
          <w:lang w:val="en-US" w:eastAsia="zh-CN"/>
        </w:rPr>
        <w:t>8.1.1.2 设环保科</w:t>
      </w:r>
    </w:p>
    <w:p w14:paraId="0E8CE249">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配备1名科长和2～3名科员，专职负责企业环境管理工作。</w:t>
      </w:r>
    </w:p>
    <w:p w14:paraId="71AAFB99">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环保科主要职责如下：</w:t>
      </w:r>
    </w:p>
    <w:p w14:paraId="2CBDA45B">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(1)贯彻执行国家、地方环境保护有关法律法规和行业环境保护技术政策；</w:t>
      </w:r>
    </w:p>
    <w:p w14:paraId="3F757FE6">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(2)组织制定环境保护管理规章制度并监督执行；</w:t>
      </w:r>
    </w:p>
    <w:p w14:paraId="27106A4D">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(3)制定并组织实施环境保护规划和计划；</w:t>
      </w:r>
    </w:p>
    <w:p w14:paraId="2597256C">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(4)领导和组织企业的环境监测；</w:t>
      </w:r>
    </w:p>
    <w:p w14:paraId="344E7487">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(5)检查企业环境保护设施的运行；</w:t>
      </w:r>
    </w:p>
    <w:p w14:paraId="70E7FD23">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(6)推广应用环境保护先进技术和经验；</w:t>
      </w:r>
    </w:p>
    <w:p w14:paraId="03432796">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(7)组织开展企业环境保护专业技术培训，提高人员素质水平；</w:t>
      </w:r>
    </w:p>
    <w:p w14:paraId="58F96C5E">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(8)组织开展本企业的环境保护科研和学术交流。</w:t>
      </w:r>
    </w:p>
    <w:p w14:paraId="68F7C92E">
      <w:pPr>
        <w:pStyle w:val="11"/>
        <w:keepNext/>
        <w:keepLines/>
        <w:pageBreakBefore w:val="0"/>
        <w:widowControl w:val="0"/>
        <w:kinsoku/>
        <w:wordWrap/>
        <w:overflowPunct/>
        <w:topLinePunct w:val="0"/>
        <w:autoSpaceDE/>
        <w:autoSpaceDN/>
        <w:bidi w:val="0"/>
        <w:adjustRightInd/>
        <w:snapToGrid/>
        <w:ind w:left="0"/>
        <w:textAlignment w:val="auto"/>
        <w:outlineLvl w:val="2"/>
        <w:rPr>
          <w:rFonts w:hint="default" w:ascii="Times New Roman" w:hAnsi="Times New Roman" w:cs="Times New Roman" w:eastAsiaTheme="minorEastAsia"/>
          <w:color w:val="auto"/>
          <w:highlight w:val="none"/>
          <w:lang w:val="en-US" w:eastAsia="zh-CN"/>
        </w:rPr>
      </w:pPr>
      <w:bookmarkStart w:id="534" w:name="_Toc1040"/>
      <w:r>
        <w:rPr>
          <w:rFonts w:hint="default" w:ascii="Times New Roman" w:hAnsi="Times New Roman" w:cs="Times New Roman" w:eastAsiaTheme="minorEastAsia"/>
          <w:color w:val="auto"/>
          <w:highlight w:val="none"/>
          <w:lang w:val="en-US" w:eastAsia="zh-CN"/>
        </w:rPr>
        <w:t>8.1.2 环境保护管理制度</w:t>
      </w:r>
      <w:bookmarkEnd w:id="534"/>
    </w:p>
    <w:p w14:paraId="083E3BF6">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建立健全企业环境管理制度及各项环保设施的运行操作规程，并监督实施。评价提出企业环境管理制度见表8.1-1。</w:t>
      </w:r>
    </w:p>
    <w:p w14:paraId="77B75C99">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0" w:firstLineChars="0"/>
        <w:jc w:val="center"/>
        <w:textAlignment w:val="auto"/>
        <w:rPr>
          <w:rFonts w:hint="default" w:ascii="Times New Roman" w:hAnsi="Times New Roman" w:cs="Times New Roman" w:eastAsiaTheme="minorEastAsia"/>
          <w:b/>
          <w:color w:val="auto"/>
          <w:kern w:val="0"/>
          <w:sz w:val="24"/>
          <w:highlight w:val="none"/>
          <w:lang w:val="en-US" w:eastAsia="zh-CN"/>
        </w:rPr>
      </w:pPr>
      <w:r>
        <w:rPr>
          <w:rFonts w:hint="default" w:ascii="Times New Roman" w:hAnsi="Times New Roman" w:cs="Times New Roman" w:eastAsiaTheme="minorEastAsia"/>
          <w:b/>
          <w:color w:val="auto"/>
          <w:kern w:val="0"/>
          <w:sz w:val="24"/>
          <w:highlight w:val="none"/>
          <w:lang w:val="en-US" w:eastAsia="zh-CN"/>
        </w:rPr>
        <w:t>表8.1-1    环境保护管理制度表</w:t>
      </w:r>
    </w:p>
    <w:tbl>
      <w:tblPr>
        <w:tblStyle w:val="75"/>
        <w:tblW w:w="917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11"/>
        <w:gridCol w:w="7855"/>
        <w:gridCol w:w="6"/>
      </w:tblGrid>
      <w:tr w14:paraId="02B073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97" w:hRule="atLeast"/>
        </w:trPr>
        <w:tc>
          <w:tcPr>
            <w:tcW w:w="1311" w:type="dxa"/>
            <w:tcBorders>
              <w:tl2br w:val="nil"/>
              <w:tr2bl w:val="nil"/>
            </w:tcBorders>
            <w:vAlign w:val="bottom"/>
          </w:tcPr>
          <w:p w14:paraId="231DB16C">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实施部门</w:t>
            </w:r>
          </w:p>
        </w:tc>
        <w:tc>
          <w:tcPr>
            <w:tcW w:w="7855" w:type="dxa"/>
            <w:tcBorders>
              <w:tl2br w:val="nil"/>
              <w:tr2bl w:val="nil"/>
            </w:tcBorders>
            <w:vAlign w:val="top"/>
          </w:tcPr>
          <w:p w14:paraId="69AB775F">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主要内容</w:t>
            </w:r>
          </w:p>
        </w:tc>
      </w:tr>
      <w:tr w14:paraId="536140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97" w:hRule="atLeast"/>
        </w:trPr>
        <w:tc>
          <w:tcPr>
            <w:tcW w:w="1311" w:type="dxa"/>
            <w:vMerge w:val="restart"/>
            <w:tcBorders>
              <w:tl2br w:val="nil"/>
              <w:tr2bl w:val="nil"/>
            </w:tcBorders>
            <w:vAlign w:val="center"/>
          </w:tcPr>
          <w:p w14:paraId="1B3526DD">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环保科</w:t>
            </w:r>
          </w:p>
        </w:tc>
        <w:tc>
          <w:tcPr>
            <w:tcW w:w="7855" w:type="dxa"/>
            <w:tcBorders>
              <w:tl2br w:val="nil"/>
              <w:tr2bl w:val="nil"/>
            </w:tcBorders>
            <w:vAlign w:val="center"/>
          </w:tcPr>
          <w:p w14:paraId="6BD0AA76">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jc w:val="lef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 xml:space="preserve">1、环境保护管理办法 </w:t>
            </w:r>
          </w:p>
        </w:tc>
      </w:tr>
      <w:tr w14:paraId="7E5BB6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11" w:type="dxa"/>
            <w:vMerge w:val="continue"/>
            <w:tcBorders>
              <w:tl2br w:val="nil"/>
              <w:tr2bl w:val="nil"/>
            </w:tcBorders>
            <w:vAlign w:val="center"/>
          </w:tcPr>
          <w:p w14:paraId="68B7BDAF">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jc w:val="left"/>
              <w:textAlignment w:val="auto"/>
              <w:rPr>
                <w:rFonts w:hint="default" w:ascii="Times New Roman" w:hAnsi="Times New Roman" w:cs="Times New Roman" w:eastAsiaTheme="minorEastAsia"/>
                <w:color w:val="auto"/>
                <w:sz w:val="21"/>
                <w:szCs w:val="21"/>
                <w:highlight w:val="none"/>
              </w:rPr>
            </w:pPr>
          </w:p>
        </w:tc>
        <w:tc>
          <w:tcPr>
            <w:tcW w:w="7861" w:type="dxa"/>
            <w:gridSpan w:val="2"/>
            <w:tcBorders>
              <w:tl2br w:val="nil"/>
              <w:tr2bl w:val="nil"/>
            </w:tcBorders>
            <w:vAlign w:val="center"/>
          </w:tcPr>
          <w:p w14:paraId="0A1A63B6">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jc w:val="lef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 xml:space="preserve">2、内部环境保护审核、例会制度 </w:t>
            </w:r>
          </w:p>
        </w:tc>
      </w:tr>
      <w:tr w14:paraId="17E203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11" w:type="dxa"/>
            <w:vMerge w:val="continue"/>
            <w:tcBorders>
              <w:tl2br w:val="nil"/>
              <w:tr2bl w:val="nil"/>
            </w:tcBorders>
            <w:vAlign w:val="center"/>
          </w:tcPr>
          <w:p w14:paraId="65F755E0">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jc w:val="left"/>
              <w:textAlignment w:val="auto"/>
              <w:rPr>
                <w:rFonts w:hint="default" w:ascii="Times New Roman" w:hAnsi="Times New Roman" w:cs="Times New Roman" w:eastAsiaTheme="minorEastAsia"/>
                <w:color w:val="auto"/>
                <w:sz w:val="21"/>
                <w:szCs w:val="21"/>
                <w:highlight w:val="none"/>
              </w:rPr>
            </w:pPr>
          </w:p>
        </w:tc>
        <w:tc>
          <w:tcPr>
            <w:tcW w:w="7861" w:type="dxa"/>
            <w:gridSpan w:val="2"/>
            <w:tcBorders>
              <w:tl2br w:val="nil"/>
              <w:tr2bl w:val="nil"/>
            </w:tcBorders>
            <w:vAlign w:val="center"/>
          </w:tcPr>
          <w:p w14:paraId="7A7B3B66">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jc w:val="lef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 xml:space="preserve">3、企业环境保护目标与指标考核制度 </w:t>
            </w:r>
          </w:p>
        </w:tc>
      </w:tr>
      <w:tr w14:paraId="04B2BD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11" w:type="dxa"/>
            <w:vMerge w:val="continue"/>
            <w:tcBorders>
              <w:tl2br w:val="nil"/>
              <w:tr2bl w:val="nil"/>
            </w:tcBorders>
            <w:vAlign w:val="center"/>
          </w:tcPr>
          <w:p w14:paraId="1C57D830">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jc w:val="left"/>
              <w:textAlignment w:val="auto"/>
              <w:rPr>
                <w:rFonts w:hint="default" w:ascii="Times New Roman" w:hAnsi="Times New Roman" w:cs="Times New Roman" w:eastAsiaTheme="minorEastAsia"/>
                <w:color w:val="auto"/>
                <w:sz w:val="21"/>
                <w:szCs w:val="21"/>
                <w:highlight w:val="none"/>
              </w:rPr>
            </w:pPr>
          </w:p>
        </w:tc>
        <w:tc>
          <w:tcPr>
            <w:tcW w:w="7861" w:type="dxa"/>
            <w:gridSpan w:val="2"/>
            <w:tcBorders>
              <w:tl2br w:val="nil"/>
              <w:tr2bl w:val="nil"/>
            </w:tcBorders>
            <w:vAlign w:val="center"/>
          </w:tcPr>
          <w:p w14:paraId="2556DCD2">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jc w:val="lef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 xml:space="preserve">4、清洁生产审核、环境保护宣传教育与环境保护岗位责任奖惩制度 </w:t>
            </w:r>
          </w:p>
        </w:tc>
      </w:tr>
      <w:tr w14:paraId="3F7416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11" w:type="dxa"/>
            <w:vMerge w:val="continue"/>
            <w:tcBorders>
              <w:tl2br w:val="nil"/>
              <w:tr2bl w:val="nil"/>
            </w:tcBorders>
            <w:vAlign w:val="center"/>
          </w:tcPr>
          <w:p w14:paraId="15F2A6F5">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jc w:val="left"/>
              <w:textAlignment w:val="auto"/>
              <w:rPr>
                <w:rFonts w:hint="default" w:ascii="Times New Roman" w:hAnsi="Times New Roman" w:cs="Times New Roman" w:eastAsiaTheme="minorEastAsia"/>
                <w:color w:val="auto"/>
                <w:sz w:val="21"/>
                <w:szCs w:val="21"/>
                <w:highlight w:val="none"/>
              </w:rPr>
            </w:pPr>
          </w:p>
        </w:tc>
        <w:tc>
          <w:tcPr>
            <w:tcW w:w="7861" w:type="dxa"/>
            <w:gridSpan w:val="2"/>
            <w:tcBorders>
              <w:tl2br w:val="nil"/>
              <w:tr2bl w:val="nil"/>
            </w:tcBorders>
            <w:vAlign w:val="center"/>
          </w:tcPr>
          <w:p w14:paraId="1B544DDA">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jc w:val="lef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 xml:space="preserve">5、环境事故风险应急管理制度 </w:t>
            </w:r>
          </w:p>
        </w:tc>
      </w:tr>
      <w:tr w14:paraId="2FB572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11" w:type="dxa"/>
            <w:vMerge w:val="continue"/>
            <w:tcBorders>
              <w:tl2br w:val="nil"/>
              <w:tr2bl w:val="nil"/>
            </w:tcBorders>
            <w:vAlign w:val="center"/>
          </w:tcPr>
          <w:p w14:paraId="1F5CF0AC">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jc w:val="left"/>
              <w:textAlignment w:val="auto"/>
              <w:rPr>
                <w:rFonts w:hint="default" w:ascii="Times New Roman" w:hAnsi="Times New Roman" w:cs="Times New Roman" w:eastAsiaTheme="minorEastAsia"/>
                <w:color w:val="auto"/>
                <w:sz w:val="21"/>
                <w:szCs w:val="21"/>
                <w:highlight w:val="none"/>
              </w:rPr>
            </w:pPr>
          </w:p>
        </w:tc>
        <w:tc>
          <w:tcPr>
            <w:tcW w:w="7861" w:type="dxa"/>
            <w:gridSpan w:val="2"/>
            <w:tcBorders>
              <w:tl2br w:val="nil"/>
              <w:tr2bl w:val="nil"/>
            </w:tcBorders>
            <w:vAlign w:val="center"/>
          </w:tcPr>
          <w:p w14:paraId="2CA3D433">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jc w:val="lef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 xml:space="preserve">6、环保设施与设备定期检查、维护制度 </w:t>
            </w:r>
          </w:p>
        </w:tc>
      </w:tr>
      <w:tr w14:paraId="28CFBA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11" w:type="dxa"/>
            <w:vMerge w:val="continue"/>
            <w:tcBorders>
              <w:tl2br w:val="nil"/>
              <w:tr2bl w:val="nil"/>
            </w:tcBorders>
            <w:vAlign w:val="center"/>
          </w:tcPr>
          <w:p w14:paraId="20A9180A">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jc w:val="left"/>
              <w:textAlignment w:val="auto"/>
              <w:rPr>
                <w:rFonts w:hint="default" w:ascii="Times New Roman" w:hAnsi="Times New Roman" w:cs="Times New Roman" w:eastAsiaTheme="minorEastAsia"/>
                <w:color w:val="auto"/>
                <w:sz w:val="21"/>
                <w:szCs w:val="21"/>
                <w:highlight w:val="none"/>
              </w:rPr>
            </w:pPr>
          </w:p>
        </w:tc>
        <w:tc>
          <w:tcPr>
            <w:tcW w:w="7861" w:type="dxa"/>
            <w:gridSpan w:val="2"/>
            <w:tcBorders>
              <w:tl2br w:val="nil"/>
              <w:tr2bl w:val="nil"/>
            </w:tcBorders>
            <w:vAlign w:val="center"/>
          </w:tcPr>
          <w:p w14:paraId="07A88E80">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jc w:val="lef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 xml:space="preserve">7、环境监测制度 </w:t>
            </w:r>
          </w:p>
        </w:tc>
      </w:tr>
      <w:tr w14:paraId="68283D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11" w:type="dxa"/>
            <w:vMerge w:val="continue"/>
            <w:tcBorders>
              <w:tl2br w:val="nil"/>
              <w:tr2bl w:val="nil"/>
            </w:tcBorders>
            <w:vAlign w:val="center"/>
          </w:tcPr>
          <w:p w14:paraId="5DF2E94F">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jc w:val="left"/>
              <w:textAlignment w:val="auto"/>
              <w:rPr>
                <w:rFonts w:hint="default" w:ascii="Times New Roman" w:hAnsi="Times New Roman" w:cs="Times New Roman" w:eastAsiaTheme="minorEastAsia"/>
                <w:color w:val="auto"/>
                <w:sz w:val="21"/>
                <w:szCs w:val="21"/>
                <w:highlight w:val="none"/>
              </w:rPr>
            </w:pPr>
          </w:p>
        </w:tc>
        <w:tc>
          <w:tcPr>
            <w:tcW w:w="7861" w:type="dxa"/>
            <w:gridSpan w:val="2"/>
            <w:tcBorders>
              <w:tl2br w:val="nil"/>
              <w:tr2bl w:val="nil"/>
            </w:tcBorders>
            <w:vAlign w:val="center"/>
          </w:tcPr>
          <w:p w14:paraId="47A5E5E0">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jc w:val="lef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 xml:space="preserve">8、环境保护档案管理制度 </w:t>
            </w:r>
          </w:p>
        </w:tc>
      </w:tr>
      <w:tr w14:paraId="34202A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11" w:type="dxa"/>
            <w:vMerge w:val="continue"/>
            <w:tcBorders>
              <w:tl2br w:val="nil"/>
              <w:tr2bl w:val="nil"/>
            </w:tcBorders>
            <w:vAlign w:val="center"/>
          </w:tcPr>
          <w:p w14:paraId="209A9FC6">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jc w:val="left"/>
              <w:textAlignment w:val="auto"/>
              <w:rPr>
                <w:rFonts w:hint="default" w:ascii="Times New Roman" w:hAnsi="Times New Roman" w:cs="Times New Roman" w:eastAsiaTheme="minorEastAsia"/>
                <w:color w:val="auto"/>
                <w:sz w:val="21"/>
                <w:szCs w:val="21"/>
                <w:highlight w:val="none"/>
              </w:rPr>
            </w:pPr>
          </w:p>
        </w:tc>
        <w:tc>
          <w:tcPr>
            <w:tcW w:w="7861" w:type="dxa"/>
            <w:gridSpan w:val="2"/>
            <w:tcBorders>
              <w:tl2br w:val="nil"/>
              <w:tr2bl w:val="nil"/>
            </w:tcBorders>
            <w:vAlign w:val="bottom"/>
          </w:tcPr>
          <w:p w14:paraId="6E1F6A07">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jc w:val="lef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9、重点环保设施及污染控制点巡回检查制度</w:t>
            </w:r>
          </w:p>
        </w:tc>
      </w:tr>
    </w:tbl>
    <w:p w14:paraId="4AEED29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color w:val="auto"/>
          <w:sz w:val="24"/>
          <w:szCs w:val="24"/>
          <w:highlight w:val="none"/>
          <w:lang w:val="en-US" w:eastAsia="zh-CN"/>
        </w:rPr>
      </w:pPr>
    </w:p>
    <w:p w14:paraId="137658D0">
      <w:pPr>
        <w:pStyle w:val="11"/>
        <w:keepNext/>
        <w:keepLines/>
        <w:pageBreakBefore w:val="0"/>
        <w:widowControl w:val="0"/>
        <w:kinsoku/>
        <w:wordWrap/>
        <w:overflowPunct/>
        <w:topLinePunct w:val="0"/>
        <w:autoSpaceDE/>
        <w:autoSpaceDN/>
        <w:bidi w:val="0"/>
        <w:adjustRightInd/>
        <w:snapToGrid/>
        <w:ind w:left="0"/>
        <w:textAlignment w:val="auto"/>
        <w:outlineLvl w:val="2"/>
        <w:rPr>
          <w:rFonts w:hint="default" w:ascii="Times New Roman" w:hAnsi="Times New Roman" w:cs="Times New Roman" w:eastAsiaTheme="minorEastAsia"/>
          <w:color w:val="auto"/>
          <w:highlight w:val="none"/>
          <w:lang w:val="en-US" w:eastAsia="zh-CN"/>
        </w:rPr>
      </w:pPr>
      <w:bookmarkStart w:id="535" w:name="_Toc15146"/>
      <w:bookmarkStart w:id="536" w:name="_Toc18391"/>
      <w:r>
        <w:rPr>
          <w:rFonts w:hint="default" w:ascii="Times New Roman" w:hAnsi="Times New Roman" w:cs="Times New Roman" w:eastAsiaTheme="minorEastAsia"/>
          <w:color w:val="auto"/>
          <w:highlight w:val="none"/>
          <w:lang w:val="en-US" w:eastAsia="zh-CN"/>
        </w:rPr>
        <w:t>8.1.3 环境管理工作计划</w:t>
      </w:r>
      <w:bookmarkEnd w:id="535"/>
    </w:p>
    <w:p w14:paraId="4A23B112">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建设单位应制定企业建设各阶段的环境管理工作计划及具体工作内容，评价建议见表8.1-2。</w:t>
      </w:r>
    </w:p>
    <w:p w14:paraId="594A27C3">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0" w:firstLineChars="0"/>
        <w:jc w:val="center"/>
        <w:textAlignment w:val="auto"/>
        <w:rPr>
          <w:rFonts w:hint="default" w:ascii="Times New Roman" w:hAnsi="Times New Roman" w:cs="Times New Roman" w:eastAsiaTheme="minorEastAsia"/>
          <w:b/>
          <w:color w:val="auto"/>
          <w:kern w:val="0"/>
          <w:sz w:val="24"/>
          <w:highlight w:val="none"/>
          <w:lang w:val="en-US" w:eastAsia="zh-CN"/>
        </w:rPr>
      </w:pPr>
      <w:r>
        <w:rPr>
          <w:rFonts w:hint="default" w:ascii="Times New Roman" w:hAnsi="Times New Roman" w:cs="Times New Roman" w:eastAsiaTheme="minorEastAsia"/>
          <w:b/>
          <w:color w:val="auto"/>
          <w:kern w:val="0"/>
          <w:sz w:val="24"/>
          <w:highlight w:val="none"/>
          <w:lang w:val="en-US" w:eastAsia="zh-CN"/>
        </w:rPr>
        <w:t>表8.1-2    环境管理工作计划表(建议)</w:t>
      </w:r>
    </w:p>
    <w:tbl>
      <w:tblPr>
        <w:tblStyle w:val="75"/>
        <w:tblW w:w="917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20"/>
        <w:gridCol w:w="7952"/>
      </w:tblGrid>
      <w:tr w14:paraId="4F1939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20" w:type="dxa"/>
            <w:tcBorders>
              <w:tl2br w:val="nil"/>
              <w:tr2bl w:val="nil"/>
            </w:tcBorders>
            <w:vAlign w:val="center"/>
          </w:tcPr>
          <w:p w14:paraId="44580FB1">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阶段</w:t>
            </w:r>
          </w:p>
        </w:tc>
        <w:tc>
          <w:tcPr>
            <w:tcW w:w="7952" w:type="dxa"/>
            <w:tcBorders>
              <w:tl2br w:val="nil"/>
              <w:tr2bl w:val="nil"/>
            </w:tcBorders>
            <w:vAlign w:val="center"/>
          </w:tcPr>
          <w:p w14:paraId="264A4048">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jc w:val="lef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环境管理主要任务内容</w:t>
            </w:r>
          </w:p>
        </w:tc>
      </w:tr>
      <w:tr w14:paraId="1FDEA5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20" w:type="dxa"/>
            <w:tcBorders>
              <w:tl2br w:val="nil"/>
              <w:tr2bl w:val="nil"/>
            </w:tcBorders>
            <w:vAlign w:val="center"/>
          </w:tcPr>
          <w:p w14:paraId="4E4CB2B8">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项目建设</w:t>
            </w:r>
          </w:p>
          <w:p w14:paraId="17C5E3FD">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前期</w:t>
            </w:r>
          </w:p>
        </w:tc>
        <w:tc>
          <w:tcPr>
            <w:tcW w:w="7952" w:type="dxa"/>
            <w:tcBorders>
              <w:tl2br w:val="nil"/>
              <w:tr2bl w:val="nil"/>
            </w:tcBorders>
            <w:vAlign w:val="center"/>
          </w:tcPr>
          <w:p w14:paraId="71969F97">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jc w:val="lef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1、参与项目建设前期各阶段环境保护和环保工程设计工作；</w:t>
            </w:r>
          </w:p>
          <w:p w14:paraId="31E9F1CE">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jc w:val="lef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 xml:space="preserve">2、制定企业环境保护工作计划； </w:t>
            </w:r>
          </w:p>
          <w:p w14:paraId="54DDE3B7">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jc w:val="lef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 xml:space="preserve">3、可研阶段，委托有资质单位开展项目环境影响评价、水土保持等工作； </w:t>
            </w:r>
          </w:p>
          <w:p w14:paraId="0602D027">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jc w:val="lef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4、设计阶段，委托设计单位编制初步设计及其环保篇章，具体落实环境影响报告书及其审批意见确定的各项环保工程措施和投资概算。</w:t>
            </w:r>
          </w:p>
        </w:tc>
      </w:tr>
      <w:tr w14:paraId="6D6A74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20" w:type="dxa"/>
            <w:tcBorders>
              <w:tl2br w:val="nil"/>
              <w:tr2bl w:val="nil"/>
            </w:tcBorders>
            <w:vAlign w:val="center"/>
          </w:tcPr>
          <w:p w14:paraId="29DE7B61">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施工期</w:t>
            </w:r>
          </w:p>
        </w:tc>
        <w:tc>
          <w:tcPr>
            <w:tcW w:w="7952" w:type="dxa"/>
            <w:tcBorders>
              <w:tl2br w:val="nil"/>
              <w:tr2bl w:val="nil"/>
            </w:tcBorders>
            <w:vAlign w:val="center"/>
          </w:tcPr>
          <w:p w14:paraId="20588BB3">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jc w:val="lef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1、配合生态环境主管部门对本项目环境保护设施及其他环保措施的落实情况进行现场核查；</w:t>
            </w:r>
          </w:p>
          <w:p w14:paraId="04DFCF38">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jc w:val="lef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2、项目运营前，检查与主体工程配套建设的环保设施同时投入试运行情况；</w:t>
            </w:r>
          </w:p>
          <w:p w14:paraId="06FF7DDF">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jc w:val="lef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3、建设单位开展自主验收工作，编制环保竣工调查报告，并做好环保验收前的各项工作；</w:t>
            </w:r>
          </w:p>
          <w:p w14:paraId="448BD9E2">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jc w:val="lef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4、总结试生产经验，针对存在及出现的问题进行整改，提出补救措施方案；</w:t>
            </w:r>
          </w:p>
          <w:p w14:paraId="4EC6AA3C">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jc w:val="lef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6、项目施工期加强对施工过程的监理工作，避免施工活动对水源地二级保护区、准保护区产生影响。</w:t>
            </w:r>
          </w:p>
        </w:tc>
      </w:tr>
      <w:tr w14:paraId="199108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20" w:type="dxa"/>
            <w:tcBorders>
              <w:tl2br w:val="nil"/>
              <w:tr2bl w:val="nil"/>
            </w:tcBorders>
            <w:vAlign w:val="center"/>
          </w:tcPr>
          <w:p w14:paraId="701506CD">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运营期</w:t>
            </w:r>
          </w:p>
        </w:tc>
        <w:tc>
          <w:tcPr>
            <w:tcW w:w="7952" w:type="dxa"/>
            <w:tcBorders>
              <w:tl2br w:val="nil"/>
              <w:tr2bl w:val="nil"/>
            </w:tcBorders>
            <w:vAlign w:val="center"/>
          </w:tcPr>
          <w:p w14:paraId="7CD32CA5">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jc w:val="lef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1、贯彻执行国家和地方环境保护法律法规和标准；</w:t>
            </w:r>
          </w:p>
          <w:p w14:paraId="53FE9502">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jc w:val="lef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2、严格执行环境管理规章制度，确保环保设施正常稳定运行；</w:t>
            </w:r>
          </w:p>
          <w:p w14:paraId="69327ABF">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jc w:val="lef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3、按照环境管理监测计划开展环境与污染源监测，发现问题及时处理；</w:t>
            </w:r>
          </w:p>
          <w:p w14:paraId="3B0A10B3">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jc w:val="lef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4、加强国家和地方环保法律法规和政策宣传，提高员工环保责任意识，提升企业环境管理水平。</w:t>
            </w:r>
          </w:p>
          <w:p w14:paraId="45877622">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jc w:val="lef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5</w:t>
            </w:r>
            <w:r>
              <w:rPr>
                <w:rFonts w:hint="default" w:ascii="Times New Roman" w:hAnsi="Times New Roman" w:cs="Times New Roman" w:eastAsiaTheme="minorEastAsia"/>
                <w:color w:val="auto"/>
                <w:sz w:val="21"/>
                <w:szCs w:val="21"/>
                <w:highlight w:val="none"/>
              </w:rPr>
              <w:t>、加强突发环境事件应急预案演练，尽量避免事故情况下对水源地二级保护区、准保护区产生影响。</w:t>
            </w:r>
          </w:p>
        </w:tc>
      </w:tr>
      <w:tr w14:paraId="1A337A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20" w:type="dxa"/>
            <w:tcBorders>
              <w:tl2br w:val="nil"/>
              <w:tr2bl w:val="nil"/>
            </w:tcBorders>
            <w:vAlign w:val="center"/>
          </w:tcPr>
          <w:p w14:paraId="07D2E3BA">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环境管理</w:t>
            </w:r>
          </w:p>
          <w:p w14:paraId="5907B05A">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工作重点</w:t>
            </w:r>
          </w:p>
        </w:tc>
        <w:tc>
          <w:tcPr>
            <w:tcW w:w="7952" w:type="dxa"/>
            <w:tcBorders>
              <w:tl2br w:val="nil"/>
              <w:tr2bl w:val="nil"/>
            </w:tcBorders>
            <w:vAlign w:val="center"/>
          </w:tcPr>
          <w:p w14:paraId="55B66F68">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jc w:val="lef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1、强化企业环境管理，重点应加强污染源及环境风险管理；</w:t>
            </w:r>
          </w:p>
          <w:p w14:paraId="718FF2F1">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jc w:val="lef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2、禁止对水源保护区产生影响；</w:t>
            </w:r>
          </w:p>
          <w:p w14:paraId="49684EC8">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jc w:val="lef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3、制定项目生态恢复实施细则，并组织实施。</w:t>
            </w:r>
          </w:p>
        </w:tc>
      </w:tr>
    </w:tbl>
    <w:p w14:paraId="482BF928">
      <w:pPr>
        <w:keepNext w:val="0"/>
        <w:keepLines w:val="0"/>
        <w:pageBreakBefore w:val="0"/>
        <w:widowControl w:val="0"/>
        <w:kinsoku/>
        <w:wordWrap/>
        <w:overflowPunct/>
        <w:topLinePunct w:val="0"/>
        <w:autoSpaceDE/>
        <w:autoSpaceDN/>
        <w:bidi w:val="0"/>
        <w:adjustRightInd/>
        <w:snapToGrid/>
        <w:spacing w:beforeLines="0" w:afterLines="0" w:line="360" w:lineRule="auto"/>
        <w:jc w:val="left"/>
        <w:textAlignment w:val="auto"/>
        <w:rPr>
          <w:rFonts w:hint="default" w:ascii="Times New Roman" w:hAnsi="Times New Roman" w:cs="Times New Roman" w:eastAsiaTheme="minorEastAsia"/>
          <w:color w:val="auto"/>
          <w:sz w:val="24"/>
          <w:highlight w:val="none"/>
        </w:rPr>
      </w:pPr>
    </w:p>
    <w:p w14:paraId="3FD5CE05">
      <w:pPr>
        <w:keepNext/>
        <w:keepLines/>
        <w:pageBreakBefore w:val="0"/>
        <w:widowControl w:val="0"/>
        <w:numPr>
          <w:ilvl w:val="2"/>
          <w:numId w:val="0"/>
        </w:numPr>
        <w:tabs>
          <w:tab w:val="left" w:pos="1050"/>
        </w:tabs>
        <w:kinsoku/>
        <w:wordWrap/>
        <w:overflowPunct/>
        <w:topLinePunct w:val="0"/>
        <w:autoSpaceDE/>
        <w:autoSpaceDN/>
        <w:bidi w:val="0"/>
        <w:adjustRightInd/>
        <w:snapToGrid/>
        <w:spacing w:before="0" w:beforeLines="0" w:beforeAutospacing="0" w:after="0" w:afterLines="0" w:afterAutospacing="0" w:line="360" w:lineRule="auto"/>
        <w:ind w:leftChars="0"/>
        <w:jc w:val="both"/>
        <w:outlineLvl w:val="9"/>
        <w:rPr>
          <w:rFonts w:hint="default" w:ascii="Times New Roman" w:hAnsi="Times New Roman" w:cs="Times New Roman" w:eastAsiaTheme="minorEastAsia"/>
          <w:b/>
          <w:color w:val="auto"/>
          <w:kern w:val="2"/>
          <w:sz w:val="28"/>
          <w:highlight w:val="none"/>
          <w:lang w:val="en-US" w:eastAsia="zh-CN"/>
        </w:rPr>
      </w:pPr>
      <w:bookmarkStart w:id="537" w:name="_Toc5102"/>
      <w:r>
        <w:rPr>
          <w:rFonts w:hint="default" w:ascii="Times New Roman" w:hAnsi="Times New Roman" w:cs="Times New Roman" w:eastAsiaTheme="minorEastAsia"/>
          <w:b/>
          <w:color w:val="auto"/>
          <w:kern w:val="2"/>
          <w:sz w:val="28"/>
          <w:highlight w:val="none"/>
          <w:lang w:val="en-US" w:eastAsia="zh-CN"/>
        </w:rPr>
        <w:t>8.1.4 排污口规范化管理</w:t>
      </w:r>
      <w:bookmarkEnd w:id="537"/>
    </w:p>
    <w:p w14:paraId="271EEF57">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按照原国家环保总局《排污口规范化整治技术要求》，对本项目排污口规范化管理要求见表8.1-3。</w:t>
      </w:r>
    </w:p>
    <w:p w14:paraId="7C380AF6">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0" w:firstLineChars="0"/>
        <w:jc w:val="center"/>
        <w:textAlignment w:val="auto"/>
        <w:rPr>
          <w:rFonts w:hint="default" w:ascii="Times New Roman" w:hAnsi="Times New Roman" w:cs="Times New Roman" w:eastAsiaTheme="minorEastAsia"/>
          <w:b/>
          <w:color w:val="auto"/>
          <w:kern w:val="0"/>
          <w:sz w:val="24"/>
          <w:highlight w:val="none"/>
          <w:lang w:val="en-US" w:eastAsia="zh-CN"/>
        </w:rPr>
      </w:pPr>
      <w:r>
        <w:rPr>
          <w:rFonts w:hint="default" w:ascii="Times New Roman" w:hAnsi="Times New Roman" w:cs="Times New Roman" w:eastAsiaTheme="minorEastAsia"/>
          <w:b/>
          <w:color w:val="auto"/>
          <w:kern w:val="0"/>
          <w:sz w:val="24"/>
          <w:highlight w:val="none"/>
          <w:lang w:val="en-US" w:eastAsia="zh-CN"/>
        </w:rPr>
        <w:t>表8.1-3    排污口规范化管理要求表</w:t>
      </w:r>
    </w:p>
    <w:tbl>
      <w:tblPr>
        <w:tblStyle w:val="75"/>
        <w:tblW w:w="917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70"/>
        <w:gridCol w:w="8002"/>
      </w:tblGrid>
      <w:tr w14:paraId="0A12E3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70" w:type="dxa"/>
            <w:tcBorders>
              <w:tl2br w:val="nil"/>
              <w:tr2bl w:val="nil"/>
            </w:tcBorders>
            <w:vAlign w:val="bottom"/>
          </w:tcPr>
          <w:p w14:paraId="3C5E360C">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项目</w:t>
            </w:r>
          </w:p>
        </w:tc>
        <w:tc>
          <w:tcPr>
            <w:tcW w:w="8002" w:type="dxa"/>
            <w:tcBorders>
              <w:tl2br w:val="nil"/>
              <w:tr2bl w:val="nil"/>
            </w:tcBorders>
            <w:vAlign w:val="bottom"/>
          </w:tcPr>
          <w:p w14:paraId="1F225D59">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要求内容</w:t>
            </w:r>
          </w:p>
        </w:tc>
      </w:tr>
      <w:tr w14:paraId="385107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70" w:type="dxa"/>
            <w:tcBorders>
              <w:tl2br w:val="nil"/>
              <w:tr2bl w:val="nil"/>
            </w:tcBorders>
            <w:vAlign w:val="center"/>
          </w:tcPr>
          <w:p w14:paraId="7123443E">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基本原则</w:t>
            </w:r>
          </w:p>
        </w:tc>
        <w:tc>
          <w:tcPr>
            <w:tcW w:w="8002" w:type="dxa"/>
            <w:tcBorders>
              <w:tl2br w:val="nil"/>
              <w:tr2bl w:val="nil"/>
            </w:tcBorders>
            <w:vAlign w:val="center"/>
          </w:tcPr>
          <w:p w14:paraId="532980E1">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jc w:val="lef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 xml:space="preserve">1、凡向环境排放污染物的排污口必须进行规范化管理； </w:t>
            </w:r>
          </w:p>
          <w:p w14:paraId="704D7867">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jc w:val="lef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 xml:space="preserve">2、排污口设置应便于采样和计量监测，便于日常现场监督与检查； </w:t>
            </w:r>
          </w:p>
          <w:p w14:paraId="66FACC11">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jc w:val="lef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3、如实向生态环境管理部门申报排污口数量、位置，排放主要污染物种类、数量和浓度与排放去向等方面情况。</w:t>
            </w:r>
          </w:p>
        </w:tc>
      </w:tr>
      <w:tr w14:paraId="50299D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70" w:type="dxa"/>
            <w:tcBorders>
              <w:tl2br w:val="nil"/>
              <w:tr2bl w:val="nil"/>
            </w:tcBorders>
            <w:vAlign w:val="center"/>
          </w:tcPr>
          <w:p w14:paraId="6F6F6AC8">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技术要求</w:t>
            </w:r>
          </w:p>
        </w:tc>
        <w:tc>
          <w:tcPr>
            <w:tcW w:w="8002" w:type="dxa"/>
            <w:tcBorders>
              <w:tl2br w:val="nil"/>
              <w:tr2bl w:val="nil"/>
            </w:tcBorders>
            <w:vAlign w:val="center"/>
          </w:tcPr>
          <w:p w14:paraId="0B2541DE">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jc w:val="lef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1、排污口设置必须按照环监</w:t>
            </w:r>
            <w:r>
              <w:rPr>
                <w:rFonts w:hint="default" w:ascii="Times New Roman" w:hAnsi="Times New Roman" w:cs="Times New Roman" w:eastAsiaTheme="minorEastAsia"/>
                <w:color w:val="auto"/>
                <w:sz w:val="21"/>
                <w:szCs w:val="21"/>
                <w:highlight w:val="none"/>
                <w:lang w:eastAsia="zh-CN"/>
              </w:rPr>
              <w:t>(</w:t>
            </w:r>
            <w:r>
              <w:rPr>
                <w:rFonts w:hint="default" w:ascii="Times New Roman" w:hAnsi="Times New Roman" w:cs="Times New Roman" w:eastAsiaTheme="minorEastAsia"/>
                <w:color w:val="auto"/>
                <w:sz w:val="21"/>
                <w:szCs w:val="21"/>
                <w:highlight w:val="none"/>
              </w:rPr>
              <w:t>1996</w:t>
            </w:r>
            <w:r>
              <w:rPr>
                <w:rFonts w:hint="default" w:ascii="Times New Roman" w:hAnsi="Times New Roman" w:cs="Times New Roman" w:eastAsiaTheme="minorEastAsia"/>
                <w:color w:val="auto"/>
                <w:sz w:val="21"/>
                <w:szCs w:val="21"/>
                <w:highlight w:val="none"/>
                <w:lang w:eastAsia="zh-CN"/>
              </w:rPr>
              <w:t>)</w:t>
            </w:r>
            <w:r>
              <w:rPr>
                <w:rFonts w:hint="default" w:ascii="Times New Roman" w:hAnsi="Times New Roman" w:cs="Times New Roman" w:eastAsiaTheme="minorEastAsia"/>
                <w:color w:val="auto"/>
                <w:sz w:val="21"/>
                <w:szCs w:val="21"/>
                <w:highlight w:val="none"/>
              </w:rPr>
              <w:t>470号文要求，实行规范化管理。</w:t>
            </w:r>
          </w:p>
        </w:tc>
      </w:tr>
      <w:tr w14:paraId="3B9584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70" w:type="dxa"/>
            <w:tcBorders>
              <w:tl2br w:val="nil"/>
              <w:tr2bl w:val="nil"/>
            </w:tcBorders>
            <w:vAlign w:val="center"/>
          </w:tcPr>
          <w:p w14:paraId="2DBF8E9E">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立标管理</w:t>
            </w:r>
          </w:p>
        </w:tc>
        <w:tc>
          <w:tcPr>
            <w:tcW w:w="8002" w:type="dxa"/>
            <w:tcBorders>
              <w:tl2br w:val="nil"/>
              <w:tr2bl w:val="nil"/>
            </w:tcBorders>
            <w:vAlign w:val="top"/>
          </w:tcPr>
          <w:p w14:paraId="74FCF3FA">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jc w:val="lef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1、污染物排放口</w:t>
            </w:r>
            <w:r>
              <w:rPr>
                <w:rFonts w:hint="default" w:ascii="Times New Roman" w:hAnsi="Times New Roman" w:cs="Times New Roman" w:eastAsiaTheme="minorEastAsia"/>
                <w:color w:val="auto"/>
                <w:sz w:val="21"/>
                <w:szCs w:val="21"/>
                <w:highlight w:val="none"/>
                <w:lang w:eastAsia="zh-CN"/>
              </w:rPr>
              <w:t>(</w:t>
            </w:r>
            <w:r>
              <w:rPr>
                <w:rFonts w:hint="default" w:ascii="Times New Roman" w:hAnsi="Times New Roman" w:cs="Times New Roman" w:eastAsiaTheme="minorEastAsia"/>
                <w:color w:val="auto"/>
                <w:sz w:val="21"/>
                <w:szCs w:val="21"/>
                <w:highlight w:val="none"/>
              </w:rPr>
              <w:t>源</w:t>
            </w:r>
            <w:r>
              <w:rPr>
                <w:rFonts w:hint="default" w:ascii="Times New Roman" w:hAnsi="Times New Roman" w:cs="Times New Roman" w:eastAsiaTheme="minorEastAsia"/>
                <w:color w:val="auto"/>
                <w:sz w:val="21"/>
                <w:szCs w:val="21"/>
                <w:highlight w:val="none"/>
                <w:lang w:eastAsia="zh-CN"/>
              </w:rPr>
              <w:t>)</w:t>
            </w:r>
            <w:r>
              <w:rPr>
                <w:rFonts w:hint="default" w:ascii="Times New Roman" w:hAnsi="Times New Roman" w:cs="Times New Roman" w:eastAsiaTheme="minorEastAsia"/>
                <w:color w:val="auto"/>
                <w:sz w:val="21"/>
                <w:szCs w:val="21"/>
                <w:highlight w:val="none"/>
              </w:rPr>
              <w:t>，必须实行规范化整治，应按照国家《环境保护图形标志》</w:t>
            </w:r>
            <w:r>
              <w:rPr>
                <w:rFonts w:hint="default" w:ascii="Times New Roman" w:hAnsi="Times New Roman" w:cs="Times New Roman" w:eastAsiaTheme="minorEastAsia"/>
                <w:color w:val="auto"/>
                <w:sz w:val="21"/>
                <w:szCs w:val="21"/>
                <w:highlight w:val="none"/>
                <w:lang w:eastAsia="zh-CN"/>
              </w:rPr>
              <w:t>(</w:t>
            </w:r>
            <w:r>
              <w:rPr>
                <w:rFonts w:hint="default" w:ascii="Times New Roman" w:hAnsi="Times New Roman" w:cs="Times New Roman" w:eastAsiaTheme="minorEastAsia"/>
                <w:color w:val="auto"/>
                <w:sz w:val="21"/>
                <w:szCs w:val="21"/>
                <w:highlight w:val="none"/>
              </w:rPr>
              <w:t>GB15562.1-1995</w:t>
            </w:r>
            <w:r>
              <w:rPr>
                <w:rFonts w:hint="default" w:ascii="Times New Roman" w:hAnsi="Times New Roman" w:cs="Times New Roman" w:eastAsiaTheme="minorEastAsia"/>
                <w:color w:val="auto"/>
                <w:sz w:val="21"/>
                <w:szCs w:val="21"/>
                <w:highlight w:val="none"/>
                <w:lang w:eastAsia="zh-CN"/>
              </w:rPr>
              <w:t>)</w:t>
            </w:r>
            <w:r>
              <w:rPr>
                <w:rFonts w:hint="default" w:ascii="Times New Roman" w:hAnsi="Times New Roman" w:cs="Times New Roman" w:eastAsiaTheme="minorEastAsia"/>
                <w:color w:val="auto"/>
                <w:sz w:val="21"/>
                <w:szCs w:val="21"/>
                <w:highlight w:val="none"/>
              </w:rPr>
              <w:t>与</w:t>
            </w:r>
            <w:r>
              <w:rPr>
                <w:rFonts w:hint="default" w:ascii="Times New Roman" w:hAnsi="Times New Roman" w:cs="Times New Roman" w:eastAsiaTheme="minorEastAsia"/>
                <w:color w:val="auto"/>
                <w:sz w:val="21"/>
                <w:szCs w:val="21"/>
                <w:highlight w:val="none"/>
                <w:lang w:val="en-US" w:eastAsia="zh-CN"/>
              </w:rPr>
              <w:t>《环境保护图形标志—固体废物贮存(处置)场》(GB15562.2-1995)及2023修改单及《危险废物识别标志设置技术规范》(HJ1276-2022)</w:t>
            </w:r>
            <w:r>
              <w:rPr>
                <w:rFonts w:hint="default" w:ascii="Times New Roman" w:hAnsi="Times New Roman" w:cs="Times New Roman" w:eastAsiaTheme="minorEastAsia"/>
                <w:color w:val="auto"/>
                <w:sz w:val="21"/>
                <w:szCs w:val="21"/>
                <w:highlight w:val="none"/>
              </w:rPr>
              <w:t xml:space="preserve">中相关规定，设置环保图形标志牌； </w:t>
            </w:r>
          </w:p>
          <w:p w14:paraId="6C236272">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jc w:val="lef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2、环保图形标志牌位置应距离污染物排放口</w:t>
            </w:r>
            <w:r>
              <w:rPr>
                <w:rFonts w:hint="default" w:ascii="Times New Roman" w:hAnsi="Times New Roman" w:cs="Times New Roman" w:eastAsiaTheme="minorEastAsia"/>
                <w:color w:val="auto"/>
                <w:sz w:val="21"/>
                <w:szCs w:val="21"/>
                <w:highlight w:val="none"/>
                <w:lang w:eastAsia="zh-CN"/>
              </w:rPr>
              <w:t>(</w:t>
            </w:r>
            <w:r>
              <w:rPr>
                <w:rFonts w:hint="default" w:ascii="Times New Roman" w:hAnsi="Times New Roman" w:cs="Times New Roman" w:eastAsiaTheme="minorEastAsia"/>
                <w:color w:val="auto"/>
                <w:sz w:val="21"/>
                <w:szCs w:val="21"/>
                <w:highlight w:val="none"/>
              </w:rPr>
              <w:t>源</w:t>
            </w:r>
            <w:r>
              <w:rPr>
                <w:rFonts w:hint="default" w:ascii="Times New Roman" w:hAnsi="Times New Roman" w:cs="Times New Roman" w:eastAsiaTheme="minorEastAsia"/>
                <w:color w:val="auto"/>
                <w:sz w:val="21"/>
                <w:szCs w:val="21"/>
                <w:highlight w:val="none"/>
                <w:lang w:eastAsia="zh-CN"/>
              </w:rPr>
              <w:t>)</w:t>
            </w:r>
            <w:r>
              <w:rPr>
                <w:rFonts w:hint="default" w:ascii="Times New Roman" w:hAnsi="Times New Roman" w:cs="Times New Roman" w:eastAsiaTheme="minorEastAsia"/>
                <w:color w:val="auto"/>
                <w:sz w:val="21"/>
                <w:szCs w:val="21"/>
                <w:highlight w:val="none"/>
              </w:rPr>
              <w:t>等较近且醒目处，设置高度一般为标志牌上缘距离地面2m处；</w:t>
            </w:r>
          </w:p>
          <w:p w14:paraId="31A7E2FF">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jc w:val="lef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3、重点排污单位污染物排放口</w:t>
            </w:r>
            <w:r>
              <w:rPr>
                <w:rFonts w:hint="default" w:ascii="Times New Roman" w:hAnsi="Times New Roman" w:cs="Times New Roman" w:eastAsiaTheme="minorEastAsia"/>
                <w:color w:val="auto"/>
                <w:sz w:val="21"/>
                <w:szCs w:val="21"/>
                <w:highlight w:val="none"/>
                <w:lang w:eastAsia="zh-CN"/>
              </w:rPr>
              <w:t>(</w:t>
            </w:r>
            <w:r>
              <w:rPr>
                <w:rFonts w:hint="default" w:ascii="Times New Roman" w:hAnsi="Times New Roman" w:cs="Times New Roman" w:eastAsiaTheme="minorEastAsia"/>
                <w:color w:val="auto"/>
                <w:sz w:val="21"/>
                <w:szCs w:val="21"/>
                <w:highlight w:val="none"/>
              </w:rPr>
              <w:t>源</w:t>
            </w:r>
            <w:r>
              <w:rPr>
                <w:rFonts w:hint="default" w:ascii="Times New Roman" w:hAnsi="Times New Roman" w:cs="Times New Roman" w:eastAsiaTheme="minorEastAsia"/>
                <w:color w:val="auto"/>
                <w:sz w:val="21"/>
                <w:szCs w:val="21"/>
                <w:highlight w:val="none"/>
                <w:lang w:eastAsia="zh-CN"/>
              </w:rPr>
              <w:t>)</w:t>
            </w:r>
            <w:r>
              <w:rPr>
                <w:rFonts w:hint="default" w:ascii="Times New Roman" w:hAnsi="Times New Roman" w:cs="Times New Roman" w:eastAsiaTheme="minorEastAsia"/>
                <w:color w:val="auto"/>
                <w:sz w:val="21"/>
                <w:szCs w:val="21"/>
                <w:highlight w:val="none"/>
              </w:rPr>
              <w:t>以设置立式标志牌为主；</w:t>
            </w:r>
          </w:p>
          <w:p w14:paraId="06B46928">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jc w:val="lef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4、必须设置警告性环保图形标志牌；</w:t>
            </w:r>
          </w:p>
        </w:tc>
      </w:tr>
      <w:tr w14:paraId="3772EF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70" w:type="dxa"/>
            <w:tcBorders>
              <w:tl2br w:val="nil"/>
              <w:tr2bl w:val="nil"/>
            </w:tcBorders>
            <w:vAlign w:val="center"/>
          </w:tcPr>
          <w:p w14:paraId="1A557441">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建档管理</w:t>
            </w:r>
          </w:p>
        </w:tc>
        <w:tc>
          <w:tcPr>
            <w:tcW w:w="8002" w:type="dxa"/>
            <w:tcBorders>
              <w:tl2br w:val="nil"/>
              <w:tr2bl w:val="nil"/>
            </w:tcBorders>
            <w:vAlign w:val="top"/>
          </w:tcPr>
          <w:p w14:paraId="68DDEB6F">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jc w:val="lef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1、使用《中华人民共和国规范化排污口标志登记证》，按要求填写有关内容；</w:t>
            </w:r>
          </w:p>
          <w:p w14:paraId="4817A2F2">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jc w:val="lef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2、严格按照制定环境管理计划，根据排污口管理内容、要求，在工程建成后将主要污染物种类、数量、浓度、排放去向，立标情况及设施运行情况记录于档案。</w:t>
            </w:r>
          </w:p>
        </w:tc>
      </w:tr>
    </w:tbl>
    <w:p w14:paraId="08A2ECAF">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auto"/>
          <w:sz w:val="24"/>
          <w:highlight w:val="none"/>
          <w:lang w:val="en-US" w:eastAsia="zh-CN"/>
        </w:rPr>
      </w:pPr>
    </w:p>
    <w:p w14:paraId="23B13C8F">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FF0000"/>
          <w:sz w:val="24"/>
          <w:highlight w:val="none"/>
          <w:lang w:val="en-US" w:eastAsia="zh-CN"/>
        </w:rPr>
      </w:pPr>
      <w:r>
        <w:rPr>
          <w:rFonts w:hint="default" w:ascii="Times New Roman" w:hAnsi="Times New Roman" w:cs="Times New Roman" w:eastAsiaTheme="minorEastAsia"/>
          <w:color w:val="auto"/>
          <w:sz w:val="24"/>
          <w:highlight w:val="none"/>
          <w:lang w:val="en-US" w:eastAsia="zh-CN"/>
        </w:rPr>
        <w:t>排放口图形标志见图8.1-1所示。</w:t>
      </w:r>
    </w:p>
    <w:p w14:paraId="10637CA0">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FF0000"/>
          <w:sz w:val="24"/>
          <w:highlight w:val="none"/>
          <w:lang w:val="en-US" w:eastAsia="zh-CN"/>
        </w:rPr>
      </w:pPr>
    </w:p>
    <w:p w14:paraId="4AB741A4">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FF0000"/>
          <w:sz w:val="24"/>
          <w:highlight w:val="none"/>
          <w:lang w:val="en-US" w:eastAsia="zh-CN"/>
        </w:rPr>
      </w:pPr>
    </w:p>
    <w:p w14:paraId="2C2F052A">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FF0000"/>
          <w:sz w:val="24"/>
          <w:highlight w:val="none"/>
          <w:lang w:val="en-US" w:eastAsia="zh-CN"/>
        </w:rPr>
      </w:pPr>
    </w:p>
    <w:p w14:paraId="5DC60D2F">
      <w:pPr>
        <w:keepNext w:val="0"/>
        <w:keepLines w:val="0"/>
        <w:pageBreakBefore w:val="0"/>
        <w:widowControl w:val="0"/>
        <w:kinsoku/>
        <w:wordWrap/>
        <w:overflowPunct/>
        <w:topLinePunct w:val="0"/>
        <w:autoSpaceDE w:val="0"/>
        <w:autoSpaceDN w:val="0"/>
        <w:bidi w:val="0"/>
        <w:adjustRightInd/>
        <w:snapToGrid/>
        <w:ind w:left="0" w:leftChars="0" w:firstLine="0" w:firstLineChars="0"/>
        <w:jc w:val="both"/>
        <w:textAlignment w:val="auto"/>
        <w:rPr>
          <w:rFonts w:hint="default" w:ascii="Times New Roman" w:hAnsi="Times New Roman" w:cs="Times New Roman" w:eastAsiaTheme="minorEastAsia"/>
          <w:color w:val="FF0000"/>
          <w:highlight w:val="none"/>
        </w:rPr>
      </w:pPr>
      <w:r>
        <w:rPr>
          <w:rFonts w:hint="default" w:ascii="Times New Roman" w:hAnsi="Times New Roman" w:cs="Times New Roman" w:eastAsiaTheme="minorEastAsia"/>
          <w:color w:val="FF0000"/>
          <w:kern w:val="0"/>
          <w:sz w:val="24"/>
          <w:szCs w:val="24"/>
          <w:highlight w:val="none"/>
          <w:lang w:val="en-US" w:eastAsia="zh-CN" w:bidi="ar"/>
        </w:rPr>
        <w:drawing>
          <wp:anchor distT="0" distB="0" distL="114300" distR="114300" simplePos="0" relativeHeight="251665408" behindDoc="0" locked="0" layoutInCell="1" allowOverlap="1">
            <wp:simplePos x="0" y="0"/>
            <wp:positionH relativeFrom="column">
              <wp:posOffset>3540125</wp:posOffset>
            </wp:positionH>
            <wp:positionV relativeFrom="paragraph">
              <wp:posOffset>1410970</wp:posOffset>
            </wp:positionV>
            <wp:extent cx="832485" cy="570865"/>
            <wp:effectExtent l="0" t="0" r="5715" b="635"/>
            <wp:wrapNone/>
            <wp:docPr id="142"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2" descr="IMG_256"/>
                    <pic:cNvPicPr>
                      <a:picLocks noChangeAspect="1"/>
                    </pic:cNvPicPr>
                  </pic:nvPicPr>
                  <pic:blipFill>
                    <a:blip r:embed="rId51"/>
                    <a:stretch>
                      <a:fillRect/>
                    </a:stretch>
                  </pic:blipFill>
                  <pic:spPr>
                    <a:xfrm>
                      <a:off x="0" y="0"/>
                      <a:ext cx="832485" cy="570865"/>
                    </a:xfrm>
                    <a:prstGeom prst="rect">
                      <a:avLst/>
                    </a:prstGeom>
                    <a:noFill/>
                    <a:ln>
                      <a:noFill/>
                    </a:ln>
                  </pic:spPr>
                </pic:pic>
              </a:graphicData>
            </a:graphic>
          </wp:anchor>
        </w:drawing>
      </w:r>
      <w:r>
        <w:rPr>
          <w:rFonts w:hint="default" w:ascii="Times New Roman" w:hAnsi="Times New Roman" w:cs="Times New Roman" w:eastAsiaTheme="minorEastAsia"/>
          <w:color w:val="FF0000"/>
          <w:highlight w:val="none"/>
        </w:rPr>
        <w:drawing>
          <wp:inline distT="0" distB="0" distL="114300" distR="114300">
            <wp:extent cx="5701030" cy="2386330"/>
            <wp:effectExtent l="9525" t="9525" r="23495" b="23495"/>
            <wp:docPr id="14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3"/>
                    <pic:cNvPicPr>
                      <a:picLocks noChangeAspect="1"/>
                    </pic:cNvPicPr>
                  </pic:nvPicPr>
                  <pic:blipFill>
                    <a:blip r:embed="rId52"/>
                    <a:stretch>
                      <a:fillRect/>
                    </a:stretch>
                  </pic:blipFill>
                  <pic:spPr>
                    <a:xfrm>
                      <a:off x="0" y="0"/>
                      <a:ext cx="5701030" cy="2386330"/>
                    </a:xfrm>
                    <a:prstGeom prst="rect">
                      <a:avLst/>
                    </a:prstGeom>
                    <a:noFill/>
                    <a:ln w="9525" cap="flat" cmpd="sng">
                      <a:solidFill>
                        <a:srgbClr val="000000"/>
                      </a:solidFill>
                      <a:prstDash val="solid"/>
                      <a:miter/>
                      <a:headEnd type="none" w="med" len="med"/>
                      <a:tailEnd type="none" w="med" len="med"/>
                    </a:ln>
                  </pic:spPr>
                </pic:pic>
              </a:graphicData>
            </a:graphic>
          </wp:inline>
        </w:drawing>
      </w:r>
    </w:p>
    <w:p w14:paraId="44BE1768">
      <w:pPr>
        <w:keepNext w:val="0"/>
        <w:keepLines w:val="0"/>
        <w:pageBreakBefore w:val="0"/>
        <w:widowControl w:val="0"/>
        <w:kinsoku/>
        <w:wordWrap/>
        <w:overflowPunct/>
        <w:topLinePunct w:val="0"/>
        <w:autoSpaceDE/>
        <w:autoSpaceDN/>
        <w:bidi w:val="0"/>
        <w:adjustRightInd/>
        <w:snapToGrid/>
        <w:spacing w:before="0" w:beforeLines="0" w:after="0" w:afterLines="0" w:afterAutospacing="0" w:line="240" w:lineRule="auto"/>
        <w:ind w:left="0" w:leftChars="0" w:firstLine="0" w:firstLineChars="0"/>
        <w:jc w:val="center"/>
        <w:textAlignment w:val="auto"/>
        <w:rPr>
          <w:rFonts w:hint="default" w:ascii="Times New Roman" w:hAnsi="Times New Roman" w:cs="Times New Roman" w:eastAsiaTheme="minorEastAsia"/>
          <w:b/>
          <w:color w:val="auto"/>
          <w:kern w:val="0"/>
          <w:sz w:val="24"/>
          <w:highlight w:val="none"/>
          <w:lang w:val="en-US" w:eastAsia="zh-CN"/>
        </w:rPr>
      </w:pPr>
      <w:r>
        <w:rPr>
          <w:rFonts w:hint="default" w:ascii="Times New Roman" w:hAnsi="Times New Roman" w:cs="Times New Roman" w:eastAsiaTheme="minorEastAsia"/>
          <w:b/>
          <w:color w:val="auto"/>
          <w:kern w:val="0"/>
          <w:sz w:val="24"/>
          <w:highlight w:val="none"/>
          <w:lang w:val="en-US" w:eastAsia="zh-CN"/>
        </w:rPr>
        <w:t>图8.1-1     环境保护图形标志</w:t>
      </w:r>
    </w:p>
    <w:p w14:paraId="0A3FF8B6">
      <w:pPr>
        <w:pStyle w:val="4"/>
        <w:keepNext/>
        <w:keepLines/>
        <w:pageBreakBefore w:val="0"/>
        <w:widowControl w:val="0"/>
        <w:numPr>
          <w:ilvl w:val="0"/>
          <w:numId w:val="0"/>
        </w:numPr>
        <w:tabs>
          <w:tab w:val="left" w:pos="630"/>
          <w:tab w:val="left" w:pos="3403"/>
        </w:tabs>
        <w:kinsoku/>
        <w:wordWrap w:val="0"/>
        <w:overflowPunct/>
        <w:topLinePunct w:val="0"/>
        <w:autoSpaceDE/>
        <w:autoSpaceDN/>
        <w:bidi w:val="0"/>
        <w:adjustRightInd/>
        <w:snapToGrid/>
        <w:spacing w:before="0" w:beforeLines="0" w:after="0" w:afterLines="0" w:line="360" w:lineRule="auto"/>
        <w:ind w:left="0" w:leftChars="0"/>
        <w:textAlignment w:val="auto"/>
        <w:outlineLvl w:val="1"/>
        <w:rPr>
          <w:rFonts w:hint="default" w:ascii="Times New Roman" w:hAnsi="Times New Roman" w:cs="Times New Roman" w:eastAsiaTheme="minorEastAsia"/>
          <w:color w:val="auto"/>
          <w:sz w:val="30"/>
          <w:highlight w:val="none"/>
          <w:lang w:val="en-US" w:eastAsia="zh-CN"/>
        </w:rPr>
      </w:pPr>
      <w:bookmarkStart w:id="538" w:name="_Toc21115"/>
      <w:bookmarkStart w:id="539" w:name="_Toc1695"/>
      <w:r>
        <w:rPr>
          <w:rFonts w:hint="default" w:ascii="Times New Roman" w:hAnsi="Times New Roman" w:cs="Times New Roman" w:eastAsiaTheme="minorEastAsia"/>
          <w:color w:val="auto"/>
          <w:sz w:val="30"/>
          <w:highlight w:val="none"/>
          <w:lang w:val="en-US" w:eastAsia="zh-CN"/>
        </w:rPr>
        <w:t>8.2 环境</w:t>
      </w:r>
      <w:bookmarkEnd w:id="536"/>
      <w:bookmarkEnd w:id="538"/>
      <w:r>
        <w:rPr>
          <w:rFonts w:hint="default" w:ascii="Times New Roman" w:hAnsi="Times New Roman" w:cs="Times New Roman" w:eastAsiaTheme="minorEastAsia"/>
          <w:color w:val="auto"/>
          <w:sz w:val="30"/>
          <w:highlight w:val="none"/>
          <w:lang w:val="en-US" w:eastAsia="zh-CN"/>
        </w:rPr>
        <w:t>监理</w:t>
      </w:r>
      <w:bookmarkEnd w:id="539"/>
    </w:p>
    <w:p w14:paraId="15643354">
      <w:pPr>
        <w:pStyle w:val="11"/>
        <w:keepNext/>
        <w:keepLines/>
        <w:pageBreakBefore w:val="0"/>
        <w:widowControl w:val="0"/>
        <w:kinsoku/>
        <w:wordWrap/>
        <w:overflowPunct/>
        <w:topLinePunct w:val="0"/>
        <w:autoSpaceDE/>
        <w:autoSpaceDN/>
        <w:bidi w:val="0"/>
        <w:adjustRightInd/>
        <w:snapToGrid/>
        <w:ind w:left="0"/>
        <w:textAlignment w:val="auto"/>
        <w:outlineLvl w:val="2"/>
        <w:rPr>
          <w:rFonts w:hint="default" w:ascii="Times New Roman" w:hAnsi="Times New Roman" w:cs="Times New Roman" w:eastAsiaTheme="minorEastAsia"/>
          <w:color w:val="auto"/>
          <w:highlight w:val="none"/>
          <w:lang w:val="en-US" w:eastAsia="zh-CN"/>
        </w:rPr>
      </w:pPr>
      <w:bookmarkStart w:id="540" w:name="_Toc12472"/>
      <w:bookmarkStart w:id="541" w:name="_Toc14962"/>
      <w:bookmarkStart w:id="542" w:name="_Toc14591"/>
      <w:bookmarkStart w:id="543" w:name="_Toc12745"/>
      <w:bookmarkStart w:id="544" w:name="_Toc20229"/>
      <w:bookmarkStart w:id="545" w:name="_Toc2091"/>
      <w:r>
        <w:rPr>
          <w:rFonts w:hint="default" w:ascii="Times New Roman" w:hAnsi="Times New Roman" w:cs="Times New Roman" w:eastAsiaTheme="minorEastAsia"/>
          <w:color w:val="auto"/>
          <w:highlight w:val="none"/>
          <w:lang w:val="en-US" w:eastAsia="zh-CN"/>
        </w:rPr>
        <w:t>8.2.1 施工期</w:t>
      </w:r>
      <w:r>
        <w:rPr>
          <w:rFonts w:hint="eastAsia" w:cs="Times New Roman" w:eastAsiaTheme="minorEastAsia"/>
          <w:color w:val="auto"/>
          <w:highlight w:val="none"/>
          <w:lang w:val="en-US" w:eastAsia="zh-CN"/>
        </w:rPr>
        <w:t>环境</w:t>
      </w:r>
      <w:r>
        <w:rPr>
          <w:rFonts w:hint="default" w:ascii="Times New Roman" w:hAnsi="Times New Roman" w:cs="Times New Roman" w:eastAsiaTheme="minorEastAsia"/>
          <w:color w:val="auto"/>
          <w:highlight w:val="none"/>
          <w:lang w:val="en-US" w:eastAsia="zh-CN"/>
        </w:rPr>
        <w:t>监理</w:t>
      </w:r>
    </w:p>
    <w:p w14:paraId="4FE66A45">
      <w:pPr>
        <w:keepNext w:val="0"/>
        <w:keepLines w:val="0"/>
        <w:pageBreakBefore w:val="0"/>
        <w:widowControl w:val="0"/>
        <w:numPr>
          <w:ilvl w:val="0"/>
          <w:numId w:val="0"/>
        </w:numPr>
        <w:tabs>
          <w:tab w:val="left" w:pos="1260"/>
        </w:tabs>
        <w:kinsoku/>
        <w:wordWrap/>
        <w:overflowPunct/>
        <w:topLinePunct w:val="0"/>
        <w:autoSpaceDE/>
        <w:autoSpaceDN/>
        <w:bidi w:val="0"/>
        <w:adjustRightInd/>
        <w:snapToGrid/>
        <w:spacing w:line="360" w:lineRule="auto"/>
        <w:ind w:left="0"/>
        <w:textAlignment w:val="auto"/>
        <w:outlineLvl w:val="3"/>
        <w:rPr>
          <w:rFonts w:hint="default" w:ascii="Times New Roman" w:hAnsi="Times New Roman" w:cs="Times New Roman" w:eastAsiaTheme="minorEastAsia"/>
          <w:b/>
          <w:bCs/>
          <w:snapToGrid w:val="0"/>
          <w:color w:val="auto"/>
          <w:sz w:val="24"/>
          <w:highlight w:val="none"/>
          <w:lang w:val="en-US" w:eastAsia="zh-CN"/>
        </w:rPr>
      </w:pPr>
      <w:r>
        <w:rPr>
          <w:rFonts w:hint="default" w:ascii="Times New Roman" w:hAnsi="Times New Roman" w:cs="Times New Roman" w:eastAsiaTheme="minorEastAsia"/>
          <w:b/>
          <w:bCs/>
          <w:snapToGrid w:val="0"/>
          <w:color w:val="auto"/>
          <w:sz w:val="24"/>
          <w:highlight w:val="none"/>
          <w:lang w:val="en-US" w:eastAsia="zh-CN"/>
        </w:rPr>
        <w:t>8.2.1.1 监理内容</w:t>
      </w:r>
      <w:bookmarkEnd w:id="540"/>
      <w:bookmarkEnd w:id="541"/>
      <w:bookmarkEnd w:id="542"/>
      <w:bookmarkEnd w:id="543"/>
      <w:bookmarkEnd w:id="544"/>
    </w:p>
    <w:p w14:paraId="615FEC2C">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本项目工程环境监理的工作内容包括环保达标监理和环保工程监理。</w:t>
      </w:r>
    </w:p>
    <w:p w14:paraId="11C01CBB">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环保达标监理指对主体工程的施工过程是否符合环境保护的要求进行监理，如噪声、废气、污水等排放应达到有关的标准等，施工是否造成水土流失和生态环境破坏，是否符合有关环境保护法律、法规规定等进行监理。</w:t>
      </w:r>
    </w:p>
    <w:p w14:paraId="4BE8687B">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环保工程监理是指对为保护施工期的环境而建设的各项环境保护设施(包括临时工程)进行监理，如事故油池、危废舱、施工废水和生活污水、施工期固体废物、施工期生态防护措施、水土保持措施、施工临时场地的清理与恢复措施等。</w:t>
      </w:r>
    </w:p>
    <w:p w14:paraId="0830D26C">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按照建设项目环保法律法规及项目招标文件的要求，环境监理具体工作内容应包括：</w:t>
      </w:r>
    </w:p>
    <w:p w14:paraId="5E3B04B2">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（1）审查工程设计方案、施工图设计中环境保护措施是否正确落实了经批准的环境影响文件及环评报告书中提出的环保措施；</w:t>
      </w:r>
    </w:p>
    <w:p w14:paraId="4894864F">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（2）协助建设单位组织工程施工和管理人员的环保培训；</w:t>
      </w:r>
    </w:p>
    <w:p w14:paraId="1B55FDB0">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（3）施工过程中，对生态、水环境、声环境、大气环境，特别是水源地二级保护区和准保护区影响的防护措施是否做到，是否按照有关环境标准进行阶段验收；</w:t>
      </w:r>
    </w:p>
    <w:p w14:paraId="2959842C">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（4）审核工程合同中有关环境保护的条款；</w:t>
      </w:r>
    </w:p>
    <w:p w14:paraId="0D4B1BED">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（5）系统记录工程施工环境影响、环保措施落实效果及环保工程建设情况；</w:t>
      </w:r>
    </w:p>
    <w:p w14:paraId="3F9DD283">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（6）及时向工程监理组反映施工中出现的环境问题，并提出解决方案与建议；</w:t>
      </w:r>
    </w:p>
    <w:p w14:paraId="3197F8AE">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（7）负责工程环境监理工作计划和总结的编制。</w:t>
      </w:r>
    </w:p>
    <w:p w14:paraId="53A4B868">
      <w:pPr>
        <w:keepNext w:val="0"/>
        <w:keepLines w:val="0"/>
        <w:pageBreakBefore w:val="0"/>
        <w:widowControl w:val="0"/>
        <w:numPr>
          <w:ilvl w:val="0"/>
          <w:numId w:val="0"/>
        </w:numPr>
        <w:tabs>
          <w:tab w:val="left" w:pos="1260"/>
        </w:tabs>
        <w:kinsoku/>
        <w:wordWrap/>
        <w:overflowPunct/>
        <w:topLinePunct w:val="0"/>
        <w:autoSpaceDE/>
        <w:autoSpaceDN/>
        <w:bidi w:val="0"/>
        <w:adjustRightInd/>
        <w:snapToGrid/>
        <w:spacing w:line="360" w:lineRule="auto"/>
        <w:ind w:left="0"/>
        <w:textAlignment w:val="auto"/>
        <w:outlineLvl w:val="3"/>
        <w:rPr>
          <w:rFonts w:hint="default" w:ascii="Times New Roman" w:hAnsi="Times New Roman" w:cs="Times New Roman" w:eastAsiaTheme="minorEastAsia"/>
          <w:b/>
          <w:bCs/>
          <w:snapToGrid w:val="0"/>
          <w:color w:val="auto"/>
          <w:sz w:val="24"/>
          <w:highlight w:val="none"/>
          <w:lang w:val="en-US" w:eastAsia="zh-CN"/>
        </w:rPr>
      </w:pPr>
      <w:bookmarkStart w:id="546" w:name="_Toc12695"/>
      <w:bookmarkStart w:id="547" w:name="_Toc28142"/>
      <w:bookmarkStart w:id="548" w:name="_Toc25912"/>
      <w:r>
        <w:rPr>
          <w:rFonts w:hint="default" w:ascii="Times New Roman" w:hAnsi="Times New Roman" w:cs="Times New Roman" w:eastAsiaTheme="minorEastAsia"/>
          <w:b/>
          <w:bCs/>
          <w:snapToGrid w:val="0"/>
          <w:color w:val="auto"/>
          <w:sz w:val="24"/>
          <w:highlight w:val="none"/>
          <w:lang w:val="en-US" w:eastAsia="zh-CN"/>
        </w:rPr>
        <w:t>8.2.1.2 环境监理组织机构及工作制度</w:t>
      </w:r>
      <w:bookmarkEnd w:id="546"/>
      <w:bookmarkEnd w:id="547"/>
      <w:bookmarkEnd w:id="548"/>
    </w:p>
    <w:p w14:paraId="50C1EE03">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建设单位应按照环境影响评价文件的要求，制定施工期工程环境监理实施方案，在施工招标文件、合同中明确施工单位和监理单位的环境保护责任，将工程环境监理纳入工程监理。</w:t>
      </w:r>
    </w:p>
    <w:p w14:paraId="34AECDC2">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拟建项目设立环保总监，主管工程环境监理工作；环监办负责组织实施，各环监代表处和环监驻地办具体承担监理任务。现场环境监理工程师由驻地办的环保专业监理工程师兼任。</w:t>
      </w:r>
    </w:p>
    <w:p w14:paraId="2B535485">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工程环境监理的工作制度主要包括：环境监理例会制度、环境监理记录与报告制度、人员培训制度、函件来往制度、环境监理奖惩制度以及环境监理资料归档制度。</w:t>
      </w:r>
    </w:p>
    <w:p w14:paraId="1BBD6A16">
      <w:pPr>
        <w:keepNext w:val="0"/>
        <w:keepLines w:val="0"/>
        <w:pageBreakBefore w:val="0"/>
        <w:widowControl w:val="0"/>
        <w:numPr>
          <w:ilvl w:val="0"/>
          <w:numId w:val="0"/>
        </w:numPr>
        <w:tabs>
          <w:tab w:val="left" w:pos="1260"/>
        </w:tabs>
        <w:kinsoku/>
        <w:wordWrap/>
        <w:overflowPunct/>
        <w:topLinePunct w:val="0"/>
        <w:autoSpaceDE/>
        <w:autoSpaceDN/>
        <w:bidi w:val="0"/>
        <w:adjustRightInd/>
        <w:snapToGrid/>
        <w:spacing w:line="360" w:lineRule="auto"/>
        <w:ind w:left="0"/>
        <w:textAlignment w:val="auto"/>
        <w:outlineLvl w:val="3"/>
        <w:rPr>
          <w:rFonts w:hint="default" w:ascii="Times New Roman" w:hAnsi="Times New Roman" w:cs="Times New Roman" w:eastAsiaTheme="minorEastAsia"/>
          <w:b/>
          <w:bCs/>
          <w:snapToGrid w:val="0"/>
          <w:color w:val="auto"/>
          <w:sz w:val="24"/>
          <w:highlight w:val="none"/>
          <w:lang w:val="en-US" w:eastAsia="zh-CN"/>
        </w:rPr>
      </w:pPr>
      <w:r>
        <w:rPr>
          <w:rFonts w:hint="default" w:ascii="Times New Roman" w:hAnsi="Times New Roman" w:cs="Times New Roman" w:eastAsiaTheme="minorEastAsia"/>
          <w:b/>
          <w:bCs/>
          <w:snapToGrid w:val="0"/>
          <w:color w:val="auto"/>
          <w:sz w:val="24"/>
          <w:highlight w:val="none"/>
          <w:lang w:val="en-US" w:eastAsia="zh-CN"/>
        </w:rPr>
        <w:t>8.2.1.3 施工期</w:t>
      </w:r>
      <w:r>
        <w:rPr>
          <w:rFonts w:hint="eastAsia" w:cs="Times New Roman" w:eastAsiaTheme="minorEastAsia"/>
          <w:b/>
          <w:bCs/>
          <w:snapToGrid w:val="0"/>
          <w:color w:val="auto"/>
          <w:sz w:val="24"/>
          <w:highlight w:val="none"/>
          <w:lang w:val="en-US" w:eastAsia="zh-CN"/>
        </w:rPr>
        <w:t>环境</w:t>
      </w:r>
      <w:r>
        <w:rPr>
          <w:rFonts w:hint="default" w:ascii="Times New Roman" w:hAnsi="Times New Roman" w:cs="Times New Roman" w:eastAsiaTheme="minorEastAsia"/>
          <w:b/>
          <w:bCs/>
          <w:snapToGrid w:val="0"/>
          <w:color w:val="auto"/>
          <w:sz w:val="24"/>
          <w:highlight w:val="none"/>
          <w:lang w:val="en-US" w:eastAsia="zh-CN"/>
        </w:rPr>
        <w:t>监理要点</w:t>
      </w:r>
      <w:bookmarkEnd w:id="545"/>
    </w:p>
    <w:p w14:paraId="593D27D2">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(1)建议开展建设期的环境监理，落实企业建设过程的污染防治措施，确保与主体工程配套建设的环保设施和生态保护措施同时建设。建议当地生态环境主管部门加强建设期的环境监督与管理，主要目标为施工期对水源地二级保护区、准保护区的环保措施落实情况。</w:t>
      </w:r>
    </w:p>
    <w:p w14:paraId="6655501A">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(2)严格控制企业开发建设用地，施工结束后临时占地、临时便道等必须及时并全部恢复，施工营地尽量远离水源保护区。</w:t>
      </w:r>
    </w:p>
    <w:p w14:paraId="4A6079B1">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(3)建筑材料需集中堆放，并采取一定的防雨淋措施，及时清扫施工运输过程中抛洒的上述建筑材料，以免这些物质随雨水冲刷污染周围环境。禁止在附近冲沟、水源保护区内设置施工营地、拌合站、物料堆场等，减少对附近冲沟、水源保护区的扰动。禁止在水源保护区内给车辆、设备加油，定期维护和保养施工机械，减少建设过程中滴漏的油污。机械设备若有漏油现象要及时处理，避免造成大的污染。运营期设备器件尽量带离保护区维修，确需在现场维修时做好防护，不得在水源保护区、附近冲沟等排放任何污染物。禁止水源保护区内清洗施工机械。</w:t>
      </w:r>
    </w:p>
    <w:p w14:paraId="6F306867">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(4)施工期产生的各类固体废物均妥善处置，不得向附近冲沟、水体和水源保护区、准保护区倾倒；不得向附近冲沟、水源保护区排放污染物，在水源保护区、准保护区内不得设置排污口，设立禁止排污范围标识牌。</w:t>
      </w:r>
    </w:p>
    <w:p w14:paraId="6C7ED32F">
      <w:pPr>
        <w:keepNext w:val="0"/>
        <w:keepLines w:val="0"/>
        <w:pageBreakBefore w:val="0"/>
        <w:widowControl w:val="0"/>
        <w:numPr>
          <w:ilvl w:val="0"/>
          <w:numId w:val="0"/>
        </w:numPr>
        <w:tabs>
          <w:tab w:val="left" w:pos="1260"/>
        </w:tabs>
        <w:kinsoku/>
        <w:wordWrap/>
        <w:overflowPunct/>
        <w:topLinePunct w:val="0"/>
        <w:autoSpaceDE/>
        <w:autoSpaceDN/>
        <w:bidi w:val="0"/>
        <w:adjustRightInd/>
        <w:snapToGrid/>
        <w:spacing w:line="360" w:lineRule="auto"/>
        <w:ind w:left="0"/>
        <w:textAlignment w:val="auto"/>
        <w:outlineLvl w:val="3"/>
        <w:rPr>
          <w:rFonts w:hint="default" w:ascii="Times New Roman" w:hAnsi="Times New Roman" w:cs="Times New Roman" w:eastAsiaTheme="minorEastAsia"/>
          <w:b/>
          <w:bCs/>
          <w:snapToGrid w:val="0"/>
          <w:color w:val="auto"/>
          <w:sz w:val="24"/>
          <w:highlight w:val="none"/>
          <w:lang w:val="en-US" w:eastAsia="zh-CN"/>
        </w:rPr>
        <w:sectPr>
          <w:pgSz w:w="11906" w:h="16838"/>
          <w:pgMar w:top="1418" w:right="1361" w:bottom="1418" w:left="1587" w:header="1077" w:footer="992" w:gutter="0"/>
          <w:pgBorders>
            <w:top w:val="none" w:sz="0" w:space="0"/>
            <w:left w:val="none" w:sz="0" w:space="0"/>
            <w:bottom w:val="none" w:sz="0" w:space="0"/>
            <w:right w:val="none" w:sz="0" w:space="0"/>
          </w:pgBorders>
          <w:pgNumType w:fmt="decimal"/>
          <w:cols w:space="720" w:num="1"/>
          <w:docGrid w:type="linesAndChars" w:linePitch="312" w:charSpace="0"/>
        </w:sectPr>
      </w:pPr>
      <w:r>
        <w:rPr>
          <w:rFonts w:hint="default" w:ascii="Times New Roman" w:hAnsi="Times New Roman" w:cs="Times New Roman" w:eastAsiaTheme="minorEastAsia"/>
          <w:b/>
          <w:bCs/>
          <w:snapToGrid w:val="0"/>
          <w:color w:val="auto"/>
          <w:sz w:val="24"/>
          <w:highlight w:val="none"/>
          <w:lang w:val="en-US" w:eastAsia="zh-CN"/>
        </w:rPr>
        <w:t>8.2.1.4 施工期环保监理方案</w:t>
      </w:r>
    </w:p>
    <w:p w14:paraId="5B82084E">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rPr>
        <w:t>表8.</w:t>
      </w:r>
      <w:r>
        <w:rPr>
          <w:rFonts w:hint="default"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rPr>
        <w:t>-</w:t>
      </w:r>
      <w:r>
        <w:rPr>
          <w:rFonts w:hint="default" w:ascii="Times New Roman" w:hAnsi="Times New Roman" w:eastAsia="宋体" w:cs="Times New Roman"/>
          <w:b/>
          <w:bCs/>
          <w:color w:val="auto"/>
          <w:sz w:val="24"/>
          <w:szCs w:val="24"/>
          <w:lang w:val="en-US" w:eastAsia="zh-CN"/>
        </w:rPr>
        <w:t xml:space="preserve">1 </w:t>
      </w:r>
      <w:r>
        <w:rPr>
          <w:rFonts w:hint="default" w:ascii="Times New Roman" w:hAnsi="Times New Roman" w:eastAsia="宋体" w:cs="Times New Roman"/>
          <w:b/>
          <w:bCs/>
          <w:color w:val="auto"/>
          <w:sz w:val="24"/>
          <w:szCs w:val="24"/>
        </w:rPr>
        <w:t xml:space="preserve">   </w:t>
      </w:r>
      <w:r>
        <w:rPr>
          <w:rFonts w:hint="default" w:ascii="Times New Roman" w:hAnsi="Times New Roman" w:eastAsia="宋体" w:cs="Times New Roman"/>
          <w:b/>
          <w:bCs/>
          <w:color w:val="auto"/>
          <w:sz w:val="24"/>
          <w:szCs w:val="24"/>
          <w:lang w:val="en-US" w:eastAsia="zh-CN"/>
        </w:rPr>
        <w:t>施工期</w:t>
      </w:r>
      <w:r>
        <w:rPr>
          <w:rFonts w:hint="default" w:ascii="Times New Roman" w:hAnsi="Times New Roman" w:eastAsia="宋体" w:cs="Times New Roman"/>
          <w:b/>
          <w:bCs/>
          <w:color w:val="auto"/>
          <w:sz w:val="24"/>
          <w:szCs w:val="24"/>
        </w:rPr>
        <w:t>环境监理</w:t>
      </w:r>
      <w:r>
        <w:rPr>
          <w:rFonts w:hint="default" w:ascii="Times New Roman" w:hAnsi="Times New Roman" w:eastAsia="宋体" w:cs="Times New Roman"/>
          <w:b/>
          <w:bCs/>
          <w:color w:val="auto"/>
          <w:sz w:val="24"/>
          <w:szCs w:val="24"/>
          <w:lang w:val="en-US" w:eastAsia="zh-CN"/>
        </w:rPr>
        <w:t>方案</w:t>
      </w:r>
    </w:p>
    <w:tbl>
      <w:tblPr>
        <w:tblStyle w:val="75"/>
        <w:tblW w:w="4996"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92"/>
        <w:gridCol w:w="4745"/>
        <w:gridCol w:w="1481"/>
        <w:gridCol w:w="1151"/>
        <w:gridCol w:w="1197"/>
        <w:gridCol w:w="1959"/>
        <w:gridCol w:w="2682"/>
      </w:tblGrid>
      <w:tr w14:paraId="380918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blHeader/>
          <w:jc w:val="center"/>
        </w:trPr>
        <w:tc>
          <w:tcPr>
            <w:tcW w:w="349" w:type="pct"/>
            <w:vAlign w:val="center"/>
          </w:tcPr>
          <w:p w14:paraId="0FB131D5">
            <w:pPr>
              <w:keepNext w:val="0"/>
              <w:keepLines w:val="0"/>
              <w:pageBreakBefore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color w:val="auto"/>
                <w:sz w:val="21"/>
                <w:szCs w:val="21"/>
                <w:lang w:eastAsia="zh-CN"/>
              </w:rPr>
            </w:pPr>
            <w:bookmarkStart w:id="549" w:name="_Toc12021"/>
            <w:r>
              <w:rPr>
                <w:rFonts w:hint="default" w:ascii="Times New Roman" w:hAnsi="Times New Roman" w:cs="Times New Roman" w:eastAsiaTheme="minorEastAsia"/>
                <w:color w:val="auto"/>
                <w:sz w:val="21"/>
                <w:szCs w:val="21"/>
                <w:lang w:val="en-US" w:eastAsia="zh-CN"/>
              </w:rPr>
              <w:t>序号</w:t>
            </w:r>
          </w:p>
        </w:tc>
        <w:tc>
          <w:tcPr>
            <w:tcW w:w="1669" w:type="pct"/>
            <w:vAlign w:val="center"/>
          </w:tcPr>
          <w:p w14:paraId="7DD055BC">
            <w:pPr>
              <w:keepNext w:val="0"/>
              <w:keepLines w:val="0"/>
              <w:pageBreakBefore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生态保护措施要求</w:t>
            </w:r>
          </w:p>
        </w:tc>
        <w:tc>
          <w:tcPr>
            <w:tcW w:w="521" w:type="pct"/>
            <w:vAlign w:val="center"/>
          </w:tcPr>
          <w:p w14:paraId="17E8CCC7">
            <w:pPr>
              <w:keepNext w:val="0"/>
              <w:keepLines w:val="0"/>
              <w:pageBreakBefore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实施部位</w:t>
            </w:r>
          </w:p>
        </w:tc>
        <w:tc>
          <w:tcPr>
            <w:tcW w:w="405" w:type="pct"/>
            <w:vAlign w:val="center"/>
          </w:tcPr>
          <w:p w14:paraId="3EC4E264">
            <w:pPr>
              <w:keepNext w:val="0"/>
              <w:keepLines w:val="0"/>
              <w:pageBreakBefore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实施时间</w:t>
            </w:r>
          </w:p>
        </w:tc>
        <w:tc>
          <w:tcPr>
            <w:tcW w:w="421" w:type="pct"/>
            <w:vAlign w:val="center"/>
          </w:tcPr>
          <w:p w14:paraId="0C1B1027">
            <w:pPr>
              <w:keepNext w:val="0"/>
              <w:keepLines w:val="0"/>
              <w:pageBreakBefore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责任主体</w:t>
            </w:r>
          </w:p>
        </w:tc>
        <w:tc>
          <w:tcPr>
            <w:tcW w:w="689" w:type="pct"/>
            <w:vAlign w:val="center"/>
          </w:tcPr>
          <w:p w14:paraId="1BB5B780">
            <w:pPr>
              <w:keepNext w:val="0"/>
              <w:keepLines w:val="0"/>
              <w:pageBreakBefore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实施保障</w:t>
            </w:r>
          </w:p>
        </w:tc>
        <w:tc>
          <w:tcPr>
            <w:tcW w:w="943" w:type="pct"/>
            <w:vAlign w:val="center"/>
          </w:tcPr>
          <w:p w14:paraId="72F13184">
            <w:pPr>
              <w:keepNext w:val="0"/>
              <w:keepLines w:val="0"/>
              <w:pageBreakBefore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实施效果</w:t>
            </w:r>
          </w:p>
        </w:tc>
      </w:tr>
      <w:tr w14:paraId="340C47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349" w:type="pct"/>
            <w:vAlign w:val="center"/>
          </w:tcPr>
          <w:p w14:paraId="4CEE8CA3">
            <w:pPr>
              <w:keepNext w:val="0"/>
              <w:keepLines w:val="0"/>
              <w:pageBreakBefore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w:t>
            </w:r>
          </w:p>
        </w:tc>
        <w:tc>
          <w:tcPr>
            <w:tcW w:w="1669" w:type="pct"/>
            <w:vAlign w:val="center"/>
          </w:tcPr>
          <w:p w14:paraId="186B9E80">
            <w:pPr>
              <w:keepNext w:val="0"/>
              <w:keepLines w:val="0"/>
              <w:pageBreakBefore w:val="0"/>
              <w:kinsoku/>
              <w:wordWrap/>
              <w:overflowPunct/>
              <w:topLinePunct w:val="0"/>
              <w:autoSpaceDE/>
              <w:autoSpaceDN/>
              <w:bidi w:val="0"/>
              <w:adjustRightInd w:val="0"/>
              <w:snapToGrid w:val="0"/>
              <w:spacing w:line="320" w:lineRule="exact"/>
              <w:ind w:left="0" w:leftChars="0"/>
              <w:jc w:val="left"/>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尽量减少占地、控制施工范围、减少扰动面积，作业区四周设置彩带控制作业范围</w:t>
            </w:r>
          </w:p>
        </w:tc>
        <w:tc>
          <w:tcPr>
            <w:tcW w:w="521" w:type="pct"/>
            <w:vMerge w:val="restart"/>
            <w:vAlign w:val="center"/>
          </w:tcPr>
          <w:p w14:paraId="231987E6">
            <w:pPr>
              <w:keepNext w:val="0"/>
              <w:keepLines w:val="0"/>
              <w:pageBreakBefore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rPr>
              <w:t>工程施工</w:t>
            </w:r>
            <w:r>
              <w:rPr>
                <w:rFonts w:hint="default" w:ascii="Times New Roman" w:hAnsi="Times New Roman" w:cs="Times New Roman" w:eastAsiaTheme="minorEastAsia"/>
                <w:color w:val="auto"/>
                <w:sz w:val="21"/>
                <w:szCs w:val="21"/>
                <w:lang w:val="en-US" w:eastAsia="zh-CN"/>
              </w:rPr>
              <w:t>区域</w:t>
            </w:r>
          </w:p>
        </w:tc>
        <w:tc>
          <w:tcPr>
            <w:tcW w:w="405" w:type="pct"/>
            <w:vMerge w:val="restart"/>
            <w:vAlign w:val="center"/>
          </w:tcPr>
          <w:p w14:paraId="0C526569">
            <w:pPr>
              <w:keepNext w:val="0"/>
              <w:keepLines w:val="0"/>
              <w:pageBreakBefore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全部施工期</w:t>
            </w:r>
          </w:p>
        </w:tc>
        <w:tc>
          <w:tcPr>
            <w:tcW w:w="421" w:type="pct"/>
            <w:vMerge w:val="restart"/>
            <w:vAlign w:val="center"/>
          </w:tcPr>
          <w:p w14:paraId="3B56CDA1">
            <w:pPr>
              <w:keepNext w:val="0"/>
              <w:keepLines w:val="0"/>
              <w:pageBreakBefore w:val="0"/>
              <w:widowControl/>
              <w:kinsoku/>
              <w:wordWrap/>
              <w:overflowPunct/>
              <w:topLinePunct w:val="0"/>
              <w:autoSpaceDE/>
              <w:autoSpaceDN/>
              <w:bidi w:val="0"/>
              <w:snapToGrid w:val="0"/>
              <w:spacing w:line="320" w:lineRule="exact"/>
              <w:ind w:left="0" w:leftChars="0"/>
              <w:jc w:val="left"/>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施工单位</w:t>
            </w:r>
          </w:p>
        </w:tc>
        <w:tc>
          <w:tcPr>
            <w:tcW w:w="689" w:type="pct"/>
            <w:vMerge w:val="restart"/>
            <w:vAlign w:val="center"/>
          </w:tcPr>
          <w:p w14:paraId="0AAC351B">
            <w:pPr>
              <w:keepNext w:val="0"/>
              <w:keepLines w:val="0"/>
              <w:pageBreakBefore w:val="0"/>
              <w:kinsoku/>
              <w:wordWrap/>
              <w:overflowPunct/>
              <w:topLinePunct w:val="0"/>
              <w:autoSpaceDE/>
              <w:autoSpaceDN/>
              <w:bidi w:val="0"/>
              <w:adjustRightInd w:val="0"/>
              <w:snapToGrid w:val="0"/>
              <w:spacing w:line="320" w:lineRule="exact"/>
              <w:ind w:left="0" w:leftChars="0"/>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①</w:t>
            </w:r>
            <w:r>
              <w:rPr>
                <w:rFonts w:hint="default" w:ascii="Times New Roman" w:hAnsi="Times New Roman" w:cs="Times New Roman" w:eastAsiaTheme="minorEastAsia"/>
                <w:color w:val="auto"/>
                <w:sz w:val="21"/>
                <w:szCs w:val="21"/>
                <w:lang w:val="en-US" w:eastAsia="zh-CN"/>
              </w:rPr>
              <w:t>建设单位</w:t>
            </w:r>
            <w:r>
              <w:rPr>
                <w:rFonts w:hint="default" w:ascii="Times New Roman" w:hAnsi="Times New Roman" w:cs="Times New Roman" w:eastAsiaTheme="minorEastAsia"/>
                <w:color w:val="auto"/>
                <w:sz w:val="21"/>
                <w:szCs w:val="21"/>
              </w:rPr>
              <w:t>建立环境管理机构，配备专职或兼职环保管理人员；</w:t>
            </w:r>
          </w:p>
          <w:p w14:paraId="4AB239B3">
            <w:pPr>
              <w:keepNext w:val="0"/>
              <w:keepLines w:val="0"/>
              <w:pageBreakBefore w:val="0"/>
              <w:kinsoku/>
              <w:wordWrap/>
              <w:overflowPunct/>
              <w:topLinePunct w:val="0"/>
              <w:autoSpaceDE/>
              <w:autoSpaceDN/>
              <w:bidi w:val="0"/>
              <w:adjustRightInd w:val="0"/>
              <w:snapToGrid w:val="0"/>
              <w:spacing w:line="320" w:lineRule="exact"/>
              <w:ind w:left="0" w:leftChars="0"/>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②制定相关方环境管理条例、质量管理规定；</w:t>
            </w:r>
          </w:p>
          <w:p w14:paraId="19D2B56C">
            <w:pPr>
              <w:keepNext w:val="0"/>
              <w:keepLines w:val="0"/>
              <w:pageBreakBefore w:val="0"/>
              <w:kinsoku/>
              <w:wordWrap/>
              <w:overflowPunct/>
              <w:topLinePunct w:val="0"/>
              <w:autoSpaceDE/>
              <w:autoSpaceDN/>
              <w:bidi w:val="0"/>
              <w:adjustRightInd w:val="0"/>
              <w:snapToGrid w:val="0"/>
              <w:spacing w:line="320" w:lineRule="exact"/>
              <w:ind w:left="0" w:leftChars="0"/>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③</w:t>
            </w:r>
            <w:r>
              <w:rPr>
                <w:rFonts w:hint="default" w:ascii="Times New Roman" w:hAnsi="Times New Roman" w:cs="Times New Roman" w:eastAsiaTheme="minorEastAsia"/>
                <w:color w:val="auto"/>
                <w:sz w:val="21"/>
                <w:szCs w:val="21"/>
                <w:lang w:val="en-US" w:eastAsia="zh-CN"/>
              </w:rPr>
              <w:t>委托环保监理单位开展施工期环境监理。</w:t>
            </w:r>
          </w:p>
          <w:p w14:paraId="3E578047">
            <w:pPr>
              <w:keepNext w:val="0"/>
              <w:keepLines w:val="0"/>
              <w:pageBreakBefore w:val="0"/>
              <w:kinsoku/>
              <w:wordWrap/>
              <w:overflowPunct/>
              <w:topLinePunct w:val="0"/>
              <w:autoSpaceDE/>
              <w:autoSpaceDN/>
              <w:bidi w:val="0"/>
              <w:adjustRightInd w:val="0"/>
              <w:snapToGrid w:val="0"/>
              <w:spacing w:line="320" w:lineRule="exact"/>
              <w:ind w:left="0" w:leftChars="0"/>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④</w:t>
            </w:r>
            <w:r>
              <w:rPr>
                <w:rFonts w:hint="default" w:ascii="Times New Roman" w:hAnsi="Times New Roman" w:cs="Times New Roman" w:eastAsiaTheme="minorEastAsia"/>
                <w:color w:val="auto"/>
                <w:sz w:val="21"/>
                <w:szCs w:val="21"/>
              </w:rPr>
              <w:t>开展经常性检查、监督，发现问题及时解决、纠正</w:t>
            </w:r>
          </w:p>
        </w:tc>
        <w:tc>
          <w:tcPr>
            <w:tcW w:w="943" w:type="pct"/>
            <w:vAlign w:val="center"/>
          </w:tcPr>
          <w:p w14:paraId="74E3EE50">
            <w:pPr>
              <w:keepNext w:val="0"/>
              <w:keepLines w:val="0"/>
              <w:pageBreakBefore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划定施工作业范围，将施工占地控制在最小范围</w:t>
            </w:r>
          </w:p>
        </w:tc>
      </w:tr>
      <w:tr w14:paraId="5378C7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349" w:type="pct"/>
            <w:vAlign w:val="center"/>
          </w:tcPr>
          <w:p w14:paraId="17741D6B">
            <w:pPr>
              <w:keepNext w:val="0"/>
              <w:keepLines w:val="0"/>
              <w:pageBreakBefore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w:t>
            </w:r>
          </w:p>
        </w:tc>
        <w:tc>
          <w:tcPr>
            <w:tcW w:w="1669" w:type="pct"/>
            <w:vAlign w:val="center"/>
          </w:tcPr>
          <w:p w14:paraId="0F069DF1">
            <w:pPr>
              <w:keepNext w:val="0"/>
              <w:keepLines w:val="0"/>
              <w:pageBreakBefore w:val="0"/>
              <w:kinsoku/>
              <w:wordWrap/>
              <w:overflowPunct/>
              <w:topLinePunct w:val="0"/>
              <w:autoSpaceDE/>
              <w:autoSpaceDN/>
              <w:bidi w:val="0"/>
              <w:adjustRightInd w:val="0"/>
              <w:snapToGrid w:val="0"/>
              <w:spacing w:line="320" w:lineRule="exact"/>
              <w:ind w:left="0" w:leftChars="0"/>
              <w:jc w:val="left"/>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减少地表开挖裸露时间、避开大风天气施工</w:t>
            </w:r>
          </w:p>
        </w:tc>
        <w:tc>
          <w:tcPr>
            <w:tcW w:w="521" w:type="pct"/>
            <w:vMerge w:val="continue"/>
            <w:vAlign w:val="center"/>
          </w:tcPr>
          <w:p w14:paraId="69613C8A">
            <w:pPr>
              <w:keepNext w:val="0"/>
              <w:keepLines w:val="0"/>
              <w:pageBreakBefore w:val="0"/>
              <w:widowControl/>
              <w:kinsoku/>
              <w:wordWrap/>
              <w:overflowPunct/>
              <w:topLinePunct w:val="0"/>
              <w:autoSpaceDE/>
              <w:autoSpaceDN/>
              <w:bidi w:val="0"/>
              <w:snapToGrid w:val="0"/>
              <w:spacing w:line="320" w:lineRule="exact"/>
              <w:ind w:left="0" w:leftChars="0"/>
              <w:jc w:val="center"/>
              <w:textAlignment w:val="auto"/>
              <w:rPr>
                <w:rFonts w:hint="default" w:ascii="Times New Roman" w:hAnsi="Times New Roman" w:cs="Times New Roman" w:eastAsiaTheme="minorEastAsia"/>
                <w:color w:val="auto"/>
                <w:sz w:val="21"/>
                <w:szCs w:val="21"/>
              </w:rPr>
            </w:pPr>
          </w:p>
        </w:tc>
        <w:tc>
          <w:tcPr>
            <w:tcW w:w="405" w:type="pct"/>
            <w:vMerge w:val="continue"/>
            <w:vAlign w:val="center"/>
          </w:tcPr>
          <w:p w14:paraId="790EBE98">
            <w:pPr>
              <w:keepNext w:val="0"/>
              <w:keepLines w:val="0"/>
              <w:pageBreakBefore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color w:val="auto"/>
                <w:sz w:val="21"/>
                <w:szCs w:val="21"/>
              </w:rPr>
            </w:pPr>
          </w:p>
        </w:tc>
        <w:tc>
          <w:tcPr>
            <w:tcW w:w="421" w:type="pct"/>
            <w:vMerge w:val="continue"/>
            <w:vAlign w:val="center"/>
          </w:tcPr>
          <w:p w14:paraId="29AA6DD9">
            <w:pPr>
              <w:keepNext w:val="0"/>
              <w:keepLines w:val="0"/>
              <w:pageBreakBefore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color w:val="auto"/>
                <w:sz w:val="21"/>
                <w:szCs w:val="21"/>
              </w:rPr>
            </w:pPr>
          </w:p>
        </w:tc>
        <w:tc>
          <w:tcPr>
            <w:tcW w:w="689" w:type="pct"/>
            <w:vMerge w:val="continue"/>
            <w:vAlign w:val="center"/>
          </w:tcPr>
          <w:p w14:paraId="2B26C4AC">
            <w:pPr>
              <w:keepNext w:val="0"/>
              <w:keepLines w:val="0"/>
              <w:pageBreakBefore w:val="0"/>
              <w:widowControl/>
              <w:kinsoku/>
              <w:wordWrap/>
              <w:overflowPunct/>
              <w:topLinePunct w:val="0"/>
              <w:autoSpaceDE/>
              <w:autoSpaceDN/>
              <w:bidi w:val="0"/>
              <w:snapToGrid w:val="0"/>
              <w:spacing w:line="320" w:lineRule="exact"/>
              <w:ind w:left="0" w:leftChars="0"/>
              <w:jc w:val="left"/>
              <w:textAlignment w:val="auto"/>
              <w:rPr>
                <w:rFonts w:hint="default" w:ascii="Times New Roman" w:hAnsi="Times New Roman" w:cs="Times New Roman" w:eastAsiaTheme="minorEastAsia"/>
                <w:color w:val="auto"/>
                <w:sz w:val="21"/>
                <w:szCs w:val="21"/>
              </w:rPr>
            </w:pPr>
          </w:p>
        </w:tc>
        <w:tc>
          <w:tcPr>
            <w:tcW w:w="943" w:type="pct"/>
            <w:vMerge w:val="restart"/>
            <w:vAlign w:val="center"/>
          </w:tcPr>
          <w:p w14:paraId="38018ED1">
            <w:pPr>
              <w:keepNext w:val="0"/>
              <w:keepLines w:val="0"/>
              <w:pageBreakBefore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减少扬尘及水土流失</w:t>
            </w:r>
          </w:p>
        </w:tc>
      </w:tr>
      <w:tr w14:paraId="3F63BF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349" w:type="pct"/>
            <w:vAlign w:val="center"/>
          </w:tcPr>
          <w:p w14:paraId="2F23DB4D">
            <w:pPr>
              <w:keepNext w:val="0"/>
              <w:keepLines w:val="0"/>
              <w:pageBreakBefore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3</w:t>
            </w:r>
          </w:p>
        </w:tc>
        <w:tc>
          <w:tcPr>
            <w:tcW w:w="1669" w:type="pct"/>
            <w:vAlign w:val="center"/>
          </w:tcPr>
          <w:p w14:paraId="0D882EAB">
            <w:pPr>
              <w:keepNext w:val="0"/>
              <w:keepLines w:val="0"/>
              <w:pageBreakBefore w:val="0"/>
              <w:kinsoku/>
              <w:wordWrap/>
              <w:overflowPunct/>
              <w:topLinePunct w:val="0"/>
              <w:autoSpaceDE/>
              <w:autoSpaceDN/>
              <w:bidi w:val="0"/>
              <w:adjustRightInd w:val="0"/>
              <w:snapToGrid w:val="0"/>
              <w:spacing w:line="320" w:lineRule="exact"/>
              <w:ind w:left="0" w:leftChars="0"/>
              <w:jc w:val="left"/>
              <w:textAlignment w:val="auto"/>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rPr>
              <w:t>对本项目临时占用的场地进行平整夯实等，经常行驶路段铺设</w:t>
            </w:r>
            <w:r>
              <w:rPr>
                <w:rFonts w:hint="default" w:ascii="Times New Roman" w:hAnsi="Times New Roman" w:cs="Times New Roman" w:eastAsiaTheme="minorEastAsia"/>
                <w:color w:val="auto"/>
                <w:sz w:val="21"/>
                <w:szCs w:val="21"/>
                <w:lang w:val="en-US" w:eastAsia="zh-CN"/>
              </w:rPr>
              <w:t>碎石</w:t>
            </w:r>
          </w:p>
        </w:tc>
        <w:tc>
          <w:tcPr>
            <w:tcW w:w="521" w:type="pct"/>
            <w:vMerge w:val="continue"/>
            <w:vAlign w:val="center"/>
          </w:tcPr>
          <w:p w14:paraId="6393CAD6">
            <w:pPr>
              <w:keepNext w:val="0"/>
              <w:keepLines w:val="0"/>
              <w:pageBreakBefore w:val="0"/>
              <w:widowControl/>
              <w:kinsoku/>
              <w:wordWrap/>
              <w:overflowPunct/>
              <w:topLinePunct w:val="0"/>
              <w:autoSpaceDE/>
              <w:autoSpaceDN/>
              <w:bidi w:val="0"/>
              <w:snapToGrid w:val="0"/>
              <w:spacing w:line="320" w:lineRule="exact"/>
              <w:ind w:left="0" w:leftChars="0"/>
              <w:jc w:val="center"/>
              <w:textAlignment w:val="auto"/>
              <w:rPr>
                <w:rFonts w:hint="default" w:ascii="Times New Roman" w:hAnsi="Times New Roman" w:cs="Times New Roman" w:eastAsiaTheme="minorEastAsia"/>
                <w:color w:val="auto"/>
                <w:sz w:val="21"/>
                <w:szCs w:val="21"/>
              </w:rPr>
            </w:pPr>
          </w:p>
        </w:tc>
        <w:tc>
          <w:tcPr>
            <w:tcW w:w="405" w:type="pct"/>
            <w:vMerge w:val="continue"/>
            <w:vAlign w:val="center"/>
          </w:tcPr>
          <w:p w14:paraId="6139B8F3">
            <w:pPr>
              <w:keepNext w:val="0"/>
              <w:keepLines w:val="0"/>
              <w:pageBreakBefore w:val="0"/>
              <w:widowControl/>
              <w:kinsoku/>
              <w:wordWrap/>
              <w:overflowPunct/>
              <w:topLinePunct w:val="0"/>
              <w:autoSpaceDE/>
              <w:autoSpaceDN/>
              <w:bidi w:val="0"/>
              <w:snapToGrid w:val="0"/>
              <w:spacing w:line="320" w:lineRule="exact"/>
              <w:ind w:left="0" w:leftChars="0"/>
              <w:jc w:val="left"/>
              <w:textAlignment w:val="auto"/>
              <w:rPr>
                <w:rFonts w:hint="default" w:ascii="Times New Roman" w:hAnsi="Times New Roman" w:cs="Times New Roman" w:eastAsiaTheme="minorEastAsia"/>
                <w:color w:val="auto"/>
                <w:sz w:val="21"/>
                <w:szCs w:val="21"/>
              </w:rPr>
            </w:pPr>
          </w:p>
        </w:tc>
        <w:tc>
          <w:tcPr>
            <w:tcW w:w="421" w:type="pct"/>
            <w:vMerge w:val="continue"/>
            <w:vAlign w:val="center"/>
          </w:tcPr>
          <w:p w14:paraId="6905EF0E">
            <w:pPr>
              <w:keepNext w:val="0"/>
              <w:keepLines w:val="0"/>
              <w:pageBreakBefore w:val="0"/>
              <w:widowControl/>
              <w:kinsoku/>
              <w:wordWrap/>
              <w:overflowPunct/>
              <w:topLinePunct w:val="0"/>
              <w:autoSpaceDE/>
              <w:autoSpaceDN/>
              <w:bidi w:val="0"/>
              <w:snapToGrid w:val="0"/>
              <w:spacing w:line="320" w:lineRule="exact"/>
              <w:ind w:left="0" w:leftChars="0"/>
              <w:jc w:val="left"/>
              <w:textAlignment w:val="auto"/>
              <w:rPr>
                <w:rFonts w:hint="default" w:ascii="Times New Roman" w:hAnsi="Times New Roman" w:cs="Times New Roman" w:eastAsiaTheme="minorEastAsia"/>
                <w:color w:val="auto"/>
                <w:sz w:val="21"/>
                <w:szCs w:val="21"/>
              </w:rPr>
            </w:pPr>
          </w:p>
        </w:tc>
        <w:tc>
          <w:tcPr>
            <w:tcW w:w="689" w:type="pct"/>
            <w:vMerge w:val="continue"/>
            <w:vAlign w:val="center"/>
          </w:tcPr>
          <w:p w14:paraId="6E925311">
            <w:pPr>
              <w:keepNext w:val="0"/>
              <w:keepLines w:val="0"/>
              <w:pageBreakBefore w:val="0"/>
              <w:widowControl/>
              <w:kinsoku/>
              <w:wordWrap/>
              <w:overflowPunct/>
              <w:topLinePunct w:val="0"/>
              <w:autoSpaceDE/>
              <w:autoSpaceDN/>
              <w:bidi w:val="0"/>
              <w:snapToGrid w:val="0"/>
              <w:spacing w:line="320" w:lineRule="exact"/>
              <w:ind w:left="0" w:leftChars="0"/>
              <w:jc w:val="left"/>
              <w:textAlignment w:val="auto"/>
              <w:rPr>
                <w:rFonts w:hint="default" w:ascii="Times New Roman" w:hAnsi="Times New Roman" w:cs="Times New Roman" w:eastAsiaTheme="minorEastAsia"/>
                <w:color w:val="auto"/>
                <w:sz w:val="21"/>
                <w:szCs w:val="21"/>
              </w:rPr>
            </w:pPr>
          </w:p>
        </w:tc>
        <w:tc>
          <w:tcPr>
            <w:tcW w:w="943" w:type="pct"/>
            <w:vMerge w:val="continue"/>
            <w:tcBorders>
              <w:bottom w:val="single" w:color="auto" w:sz="4" w:space="0"/>
            </w:tcBorders>
            <w:vAlign w:val="center"/>
          </w:tcPr>
          <w:p w14:paraId="1677A4FD">
            <w:pPr>
              <w:keepNext w:val="0"/>
              <w:keepLines w:val="0"/>
              <w:pageBreakBefore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color w:val="auto"/>
                <w:sz w:val="21"/>
                <w:szCs w:val="21"/>
              </w:rPr>
            </w:pPr>
          </w:p>
        </w:tc>
      </w:tr>
      <w:tr w14:paraId="534EF7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349" w:type="pct"/>
            <w:vAlign w:val="center"/>
          </w:tcPr>
          <w:p w14:paraId="442CE4AE">
            <w:pPr>
              <w:keepNext w:val="0"/>
              <w:keepLines w:val="0"/>
              <w:pageBreakBefore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4</w:t>
            </w:r>
          </w:p>
        </w:tc>
        <w:tc>
          <w:tcPr>
            <w:tcW w:w="1669" w:type="pct"/>
            <w:vAlign w:val="center"/>
          </w:tcPr>
          <w:p w14:paraId="1C841DD7">
            <w:pPr>
              <w:keepNext w:val="0"/>
              <w:keepLines w:val="0"/>
              <w:pageBreakBefore w:val="0"/>
              <w:kinsoku/>
              <w:wordWrap/>
              <w:overflowPunct/>
              <w:topLinePunct w:val="0"/>
              <w:autoSpaceDE/>
              <w:autoSpaceDN/>
              <w:bidi w:val="0"/>
              <w:adjustRightInd w:val="0"/>
              <w:snapToGrid w:val="0"/>
              <w:spacing w:line="320" w:lineRule="exact"/>
              <w:ind w:left="0" w:leftChars="0"/>
              <w:jc w:val="left"/>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除施工铲除或碾压植被外，不允许以其它任何理由铲除植被</w:t>
            </w:r>
          </w:p>
        </w:tc>
        <w:tc>
          <w:tcPr>
            <w:tcW w:w="521" w:type="pct"/>
            <w:vMerge w:val="continue"/>
            <w:vAlign w:val="center"/>
          </w:tcPr>
          <w:p w14:paraId="25C9462B">
            <w:pPr>
              <w:keepNext w:val="0"/>
              <w:keepLines w:val="0"/>
              <w:pageBreakBefore w:val="0"/>
              <w:widowControl/>
              <w:kinsoku/>
              <w:wordWrap/>
              <w:overflowPunct/>
              <w:topLinePunct w:val="0"/>
              <w:autoSpaceDE/>
              <w:autoSpaceDN/>
              <w:bidi w:val="0"/>
              <w:snapToGrid w:val="0"/>
              <w:spacing w:line="320" w:lineRule="exact"/>
              <w:ind w:left="0" w:leftChars="0"/>
              <w:jc w:val="center"/>
              <w:textAlignment w:val="auto"/>
              <w:rPr>
                <w:rFonts w:hint="default" w:ascii="Times New Roman" w:hAnsi="Times New Roman" w:cs="Times New Roman" w:eastAsiaTheme="minorEastAsia"/>
                <w:color w:val="auto"/>
                <w:sz w:val="21"/>
                <w:szCs w:val="21"/>
              </w:rPr>
            </w:pPr>
          </w:p>
        </w:tc>
        <w:tc>
          <w:tcPr>
            <w:tcW w:w="405" w:type="pct"/>
            <w:vMerge w:val="continue"/>
            <w:vAlign w:val="center"/>
          </w:tcPr>
          <w:p w14:paraId="5F096FFB">
            <w:pPr>
              <w:keepNext w:val="0"/>
              <w:keepLines w:val="0"/>
              <w:pageBreakBefore w:val="0"/>
              <w:widowControl/>
              <w:kinsoku/>
              <w:wordWrap/>
              <w:overflowPunct/>
              <w:topLinePunct w:val="0"/>
              <w:autoSpaceDE/>
              <w:autoSpaceDN/>
              <w:bidi w:val="0"/>
              <w:snapToGrid w:val="0"/>
              <w:spacing w:line="320" w:lineRule="exact"/>
              <w:ind w:left="0" w:leftChars="0"/>
              <w:jc w:val="left"/>
              <w:textAlignment w:val="auto"/>
              <w:rPr>
                <w:rFonts w:hint="default" w:ascii="Times New Roman" w:hAnsi="Times New Roman" w:cs="Times New Roman" w:eastAsiaTheme="minorEastAsia"/>
                <w:color w:val="auto"/>
                <w:sz w:val="21"/>
                <w:szCs w:val="21"/>
              </w:rPr>
            </w:pPr>
          </w:p>
        </w:tc>
        <w:tc>
          <w:tcPr>
            <w:tcW w:w="421" w:type="pct"/>
            <w:vMerge w:val="continue"/>
            <w:vAlign w:val="center"/>
          </w:tcPr>
          <w:p w14:paraId="20E8980D">
            <w:pPr>
              <w:keepNext w:val="0"/>
              <w:keepLines w:val="0"/>
              <w:pageBreakBefore w:val="0"/>
              <w:widowControl/>
              <w:kinsoku/>
              <w:wordWrap/>
              <w:overflowPunct/>
              <w:topLinePunct w:val="0"/>
              <w:autoSpaceDE/>
              <w:autoSpaceDN/>
              <w:bidi w:val="0"/>
              <w:snapToGrid w:val="0"/>
              <w:spacing w:line="320" w:lineRule="exact"/>
              <w:ind w:left="0" w:leftChars="0"/>
              <w:jc w:val="left"/>
              <w:textAlignment w:val="auto"/>
              <w:rPr>
                <w:rFonts w:hint="default" w:ascii="Times New Roman" w:hAnsi="Times New Roman" w:cs="Times New Roman" w:eastAsiaTheme="minorEastAsia"/>
                <w:color w:val="auto"/>
                <w:sz w:val="21"/>
                <w:szCs w:val="21"/>
              </w:rPr>
            </w:pPr>
          </w:p>
        </w:tc>
        <w:tc>
          <w:tcPr>
            <w:tcW w:w="689" w:type="pct"/>
            <w:vMerge w:val="continue"/>
            <w:vAlign w:val="center"/>
          </w:tcPr>
          <w:p w14:paraId="7ABF1BA3">
            <w:pPr>
              <w:keepNext w:val="0"/>
              <w:keepLines w:val="0"/>
              <w:pageBreakBefore w:val="0"/>
              <w:widowControl/>
              <w:kinsoku/>
              <w:wordWrap/>
              <w:overflowPunct/>
              <w:topLinePunct w:val="0"/>
              <w:autoSpaceDE/>
              <w:autoSpaceDN/>
              <w:bidi w:val="0"/>
              <w:snapToGrid w:val="0"/>
              <w:spacing w:line="320" w:lineRule="exact"/>
              <w:ind w:left="0" w:leftChars="0"/>
              <w:jc w:val="left"/>
              <w:textAlignment w:val="auto"/>
              <w:rPr>
                <w:rFonts w:hint="default" w:ascii="Times New Roman" w:hAnsi="Times New Roman" w:cs="Times New Roman" w:eastAsiaTheme="minorEastAsia"/>
                <w:color w:val="auto"/>
                <w:sz w:val="21"/>
                <w:szCs w:val="21"/>
              </w:rPr>
            </w:pPr>
          </w:p>
        </w:tc>
        <w:tc>
          <w:tcPr>
            <w:tcW w:w="943" w:type="pct"/>
            <w:vMerge w:val="restart"/>
            <w:vAlign w:val="center"/>
          </w:tcPr>
          <w:p w14:paraId="335B1D2A">
            <w:pPr>
              <w:keepNext w:val="0"/>
              <w:keepLines w:val="0"/>
              <w:pageBreakBefore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减少植被破坏</w:t>
            </w:r>
          </w:p>
        </w:tc>
      </w:tr>
      <w:tr w14:paraId="09E569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349" w:type="pct"/>
            <w:shd w:val="clear" w:color="auto" w:fill="auto"/>
            <w:vAlign w:val="center"/>
          </w:tcPr>
          <w:p w14:paraId="29C015D4">
            <w:pPr>
              <w:keepNext w:val="0"/>
              <w:keepLines w:val="0"/>
              <w:pageBreakBefore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5</w:t>
            </w:r>
          </w:p>
        </w:tc>
        <w:tc>
          <w:tcPr>
            <w:tcW w:w="1669" w:type="pct"/>
            <w:vAlign w:val="center"/>
          </w:tcPr>
          <w:p w14:paraId="34FB55A3">
            <w:pPr>
              <w:keepNext w:val="0"/>
              <w:keepLines w:val="0"/>
              <w:pageBreakBefore w:val="0"/>
              <w:kinsoku/>
              <w:wordWrap/>
              <w:overflowPunct/>
              <w:topLinePunct w:val="0"/>
              <w:autoSpaceDE/>
              <w:autoSpaceDN/>
              <w:bidi w:val="0"/>
              <w:adjustRightInd w:val="0"/>
              <w:snapToGrid w:val="0"/>
              <w:spacing w:line="320" w:lineRule="exact"/>
              <w:ind w:left="0" w:leftChars="0"/>
              <w:jc w:val="left"/>
              <w:textAlignment w:val="auto"/>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rPr>
              <w:t>在施工便道</w:t>
            </w:r>
            <w:r>
              <w:rPr>
                <w:rFonts w:hint="default" w:ascii="Times New Roman" w:hAnsi="Times New Roman" w:cs="Times New Roman" w:eastAsiaTheme="minorEastAsia"/>
                <w:color w:val="auto"/>
                <w:sz w:val="21"/>
                <w:szCs w:val="21"/>
                <w:lang w:val="en-US" w:eastAsia="zh-CN"/>
              </w:rPr>
              <w:t>施工</w:t>
            </w:r>
            <w:r>
              <w:rPr>
                <w:rFonts w:hint="default" w:ascii="Times New Roman" w:hAnsi="Times New Roman" w:cs="Times New Roman" w:eastAsiaTheme="minorEastAsia"/>
                <w:color w:val="auto"/>
                <w:sz w:val="21"/>
                <w:szCs w:val="21"/>
              </w:rPr>
              <w:t>时，尽量选择避让</w:t>
            </w:r>
            <w:r>
              <w:rPr>
                <w:rFonts w:hint="default" w:ascii="Times New Roman" w:hAnsi="Times New Roman" w:cs="Times New Roman" w:eastAsiaTheme="minorEastAsia"/>
                <w:color w:val="auto"/>
                <w:sz w:val="21"/>
                <w:szCs w:val="21"/>
                <w:lang w:val="en-US" w:eastAsia="zh-CN"/>
              </w:rPr>
              <w:t>植被茂盛区</w:t>
            </w:r>
            <w:r>
              <w:rPr>
                <w:rFonts w:hint="default" w:ascii="Times New Roman" w:hAnsi="Times New Roman" w:cs="Times New Roman" w:eastAsiaTheme="minorEastAsia"/>
                <w:color w:val="auto"/>
                <w:sz w:val="21"/>
                <w:szCs w:val="21"/>
              </w:rPr>
              <w:t>，</w:t>
            </w:r>
            <w:r>
              <w:rPr>
                <w:rFonts w:hint="default" w:ascii="Times New Roman" w:hAnsi="Times New Roman" w:cs="Times New Roman" w:eastAsiaTheme="minorEastAsia"/>
                <w:color w:val="auto"/>
                <w:sz w:val="21"/>
                <w:szCs w:val="21"/>
                <w:lang w:val="en-US" w:eastAsia="zh-CN"/>
              </w:rPr>
              <w:t>按照规定临时占地红线行驶</w:t>
            </w:r>
            <w:r>
              <w:rPr>
                <w:rFonts w:hint="default" w:ascii="Times New Roman" w:hAnsi="Times New Roman" w:cs="Times New Roman" w:eastAsiaTheme="minorEastAsia"/>
                <w:color w:val="auto"/>
                <w:sz w:val="21"/>
                <w:szCs w:val="21"/>
                <w:lang w:eastAsia="zh-CN"/>
              </w:rPr>
              <w:t>。</w:t>
            </w:r>
          </w:p>
        </w:tc>
        <w:tc>
          <w:tcPr>
            <w:tcW w:w="521" w:type="pct"/>
            <w:vMerge w:val="continue"/>
            <w:tcBorders>
              <w:bottom w:val="single" w:color="auto" w:sz="4" w:space="0"/>
            </w:tcBorders>
            <w:vAlign w:val="center"/>
          </w:tcPr>
          <w:p w14:paraId="250550A7">
            <w:pPr>
              <w:keepNext w:val="0"/>
              <w:keepLines w:val="0"/>
              <w:pageBreakBefore w:val="0"/>
              <w:widowControl/>
              <w:kinsoku/>
              <w:wordWrap/>
              <w:overflowPunct/>
              <w:topLinePunct w:val="0"/>
              <w:autoSpaceDE/>
              <w:autoSpaceDN/>
              <w:bidi w:val="0"/>
              <w:snapToGrid w:val="0"/>
              <w:spacing w:line="320" w:lineRule="exact"/>
              <w:ind w:left="0" w:leftChars="0"/>
              <w:jc w:val="center"/>
              <w:textAlignment w:val="auto"/>
              <w:rPr>
                <w:rFonts w:hint="default" w:ascii="Times New Roman" w:hAnsi="Times New Roman" w:cs="Times New Roman" w:eastAsiaTheme="minorEastAsia"/>
                <w:color w:val="auto"/>
                <w:sz w:val="21"/>
                <w:szCs w:val="21"/>
              </w:rPr>
            </w:pPr>
          </w:p>
        </w:tc>
        <w:tc>
          <w:tcPr>
            <w:tcW w:w="405" w:type="pct"/>
            <w:vMerge w:val="continue"/>
            <w:vAlign w:val="center"/>
          </w:tcPr>
          <w:p w14:paraId="5EDEADC3">
            <w:pPr>
              <w:keepNext w:val="0"/>
              <w:keepLines w:val="0"/>
              <w:pageBreakBefore w:val="0"/>
              <w:widowControl/>
              <w:kinsoku/>
              <w:wordWrap/>
              <w:overflowPunct/>
              <w:topLinePunct w:val="0"/>
              <w:autoSpaceDE/>
              <w:autoSpaceDN/>
              <w:bidi w:val="0"/>
              <w:snapToGrid w:val="0"/>
              <w:spacing w:line="320" w:lineRule="exact"/>
              <w:ind w:left="0" w:leftChars="0"/>
              <w:jc w:val="left"/>
              <w:textAlignment w:val="auto"/>
              <w:rPr>
                <w:rFonts w:hint="default" w:ascii="Times New Roman" w:hAnsi="Times New Roman" w:cs="Times New Roman" w:eastAsiaTheme="minorEastAsia"/>
                <w:color w:val="auto"/>
                <w:sz w:val="21"/>
                <w:szCs w:val="21"/>
              </w:rPr>
            </w:pPr>
          </w:p>
        </w:tc>
        <w:tc>
          <w:tcPr>
            <w:tcW w:w="421" w:type="pct"/>
            <w:vMerge w:val="continue"/>
            <w:vAlign w:val="center"/>
          </w:tcPr>
          <w:p w14:paraId="752D8DE5">
            <w:pPr>
              <w:keepNext w:val="0"/>
              <w:keepLines w:val="0"/>
              <w:pageBreakBefore w:val="0"/>
              <w:widowControl/>
              <w:kinsoku/>
              <w:wordWrap/>
              <w:overflowPunct/>
              <w:topLinePunct w:val="0"/>
              <w:autoSpaceDE/>
              <w:autoSpaceDN/>
              <w:bidi w:val="0"/>
              <w:snapToGrid w:val="0"/>
              <w:spacing w:line="320" w:lineRule="exact"/>
              <w:ind w:left="0" w:leftChars="0"/>
              <w:jc w:val="left"/>
              <w:textAlignment w:val="auto"/>
              <w:rPr>
                <w:rFonts w:hint="default" w:ascii="Times New Roman" w:hAnsi="Times New Roman" w:cs="Times New Roman" w:eastAsiaTheme="minorEastAsia"/>
                <w:color w:val="auto"/>
                <w:sz w:val="21"/>
                <w:szCs w:val="21"/>
              </w:rPr>
            </w:pPr>
          </w:p>
        </w:tc>
        <w:tc>
          <w:tcPr>
            <w:tcW w:w="689" w:type="pct"/>
            <w:vMerge w:val="continue"/>
            <w:vAlign w:val="center"/>
          </w:tcPr>
          <w:p w14:paraId="559C53AA">
            <w:pPr>
              <w:keepNext w:val="0"/>
              <w:keepLines w:val="0"/>
              <w:pageBreakBefore w:val="0"/>
              <w:widowControl/>
              <w:kinsoku/>
              <w:wordWrap/>
              <w:overflowPunct/>
              <w:topLinePunct w:val="0"/>
              <w:autoSpaceDE/>
              <w:autoSpaceDN/>
              <w:bidi w:val="0"/>
              <w:snapToGrid w:val="0"/>
              <w:spacing w:line="320" w:lineRule="exact"/>
              <w:ind w:left="0" w:leftChars="0"/>
              <w:jc w:val="left"/>
              <w:textAlignment w:val="auto"/>
              <w:rPr>
                <w:rFonts w:hint="default" w:ascii="Times New Roman" w:hAnsi="Times New Roman" w:cs="Times New Roman" w:eastAsiaTheme="minorEastAsia"/>
                <w:color w:val="auto"/>
                <w:sz w:val="21"/>
                <w:szCs w:val="21"/>
              </w:rPr>
            </w:pPr>
          </w:p>
        </w:tc>
        <w:tc>
          <w:tcPr>
            <w:tcW w:w="943" w:type="pct"/>
            <w:vMerge w:val="continue"/>
            <w:tcBorders>
              <w:bottom w:val="single" w:color="auto" w:sz="4" w:space="0"/>
            </w:tcBorders>
            <w:vAlign w:val="center"/>
          </w:tcPr>
          <w:p w14:paraId="516C5FB3">
            <w:pPr>
              <w:keepNext w:val="0"/>
              <w:keepLines w:val="0"/>
              <w:pageBreakBefore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color w:val="auto"/>
                <w:sz w:val="21"/>
                <w:szCs w:val="21"/>
              </w:rPr>
            </w:pPr>
          </w:p>
        </w:tc>
      </w:tr>
      <w:tr w14:paraId="10BC69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349" w:type="pct"/>
            <w:shd w:val="clear" w:color="auto" w:fill="auto"/>
            <w:vAlign w:val="center"/>
          </w:tcPr>
          <w:p w14:paraId="32F2509D">
            <w:pPr>
              <w:keepNext w:val="0"/>
              <w:keepLines w:val="0"/>
              <w:pageBreakBefore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6</w:t>
            </w:r>
          </w:p>
        </w:tc>
        <w:tc>
          <w:tcPr>
            <w:tcW w:w="1669" w:type="pct"/>
            <w:vAlign w:val="center"/>
          </w:tcPr>
          <w:p w14:paraId="1211536F">
            <w:pPr>
              <w:keepNext w:val="0"/>
              <w:keepLines w:val="0"/>
              <w:pageBreakBefore w:val="0"/>
              <w:kinsoku/>
              <w:wordWrap/>
              <w:overflowPunct/>
              <w:topLinePunct w:val="0"/>
              <w:autoSpaceDE/>
              <w:autoSpaceDN/>
              <w:bidi w:val="0"/>
              <w:adjustRightInd w:val="0"/>
              <w:snapToGrid w:val="0"/>
              <w:spacing w:line="320" w:lineRule="exact"/>
              <w:ind w:left="0" w:leftChars="0"/>
              <w:jc w:val="left"/>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风电场区施工临建场地内的施工营地生活区各设置移动环保厕所、1座100m</w:t>
            </w:r>
            <w:r>
              <w:rPr>
                <w:rFonts w:hint="default" w:ascii="Times New Roman" w:hAnsi="Times New Roman" w:cs="Times New Roman" w:eastAsiaTheme="minorEastAsia"/>
                <w:color w:val="auto"/>
                <w:sz w:val="21"/>
                <w:szCs w:val="21"/>
                <w:vertAlign w:val="superscript"/>
              </w:rPr>
              <w:t>3</w:t>
            </w:r>
            <w:r>
              <w:rPr>
                <w:rFonts w:hint="default" w:ascii="Times New Roman" w:hAnsi="Times New Roman" w:cs="Times New Roman" w:eastAsiaTheme="minorEastAsia"/>
                <w:color w:val="auto"/>
                <w:sz w:val="21"/>
                <w:szCs w:val="21"/>
              </w:rPr>
              <w:t>防渗污水收集池及1座50m</w:t>
            </w:r>
            <w:r>
              <w:rPr>
                <w:rFonts w:hint="default" w:ascii="Times New Roman" w:hAnsi="Times New Roman" w:cs="Times New Roman" w:eastAsiaTheme="minorEastAsia"/>
                <w:color w:val="auto"/>
                <w:sz w:val="21"/>
                <w:szCs w:val="21"/>
                <w:vertAlign w:val="superscript"/>
              </w:rPr>
              <w:t>3</w:t>
            </w:r>
            <w:r>
              <w:rPr>
                <w:rFonts w:hint="default" w:ascii="Times New Roman" w:hAnsi="Times New Roman" w:cs="Times New Roman" w:eastAsiaTheme="minorEastAsia"/>
                <w:color w:val="auto"/>
                <w:sz w:val="21"/>
                <w:szCs w:val="21"/>
              </w:rPr>
              <w:t>沉淀池。车辆冲洗废水沉淀池处理后循环利用，不外排；营地食堂及洗漱废水排入防渗污水收集池；粪便污水排入环保厕所；生活污水及粪便污水定期拉运至污水处理厂处理。</w:t>
            </w:r>
          </w:p>
        </w:tc>
        <w:tc>
          <w:tcPr>
            <w:tcW w:w="521" w:type="pct"/>
            <w:vMerge w:val="restart"/>
            <w:tcBorders>
              <w:top w:val="single" w:color="auto" w:sz="4" w:space="0"/>
            </w:tcBorders>
            <w:vAlign w:val="center"/>
          </w:tcPr>
          <w:p w14:paraId="19A91E8F">
            <w:pPr>
              <w:keepNext w:val="0"/>
              <w:keepLines w:val="0"/>
              <w:pageBreakBefore w:val="0"/>
              <w:widowControl/>
              <w:kinsoku/>
              <w:wordWrap/>
              <w:overflowPunct/>
              <w:topLinePunct w:val="0"/>
              <w:autoSpaceDE/>
              <w:autoSpaceDN/>
              <w:bidi w:val="0"/>
              <w:snapToGrid w:val="0"/>
              <w:spacing w:line="320" w:lineRule="exact"/>
              <w:ind w:left="0" w:left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施工临建场地</w:t>
            </w:r>
          </w:p>
        </w:tc>
        <w:tc>
          <w:tcPr>
            <w:tcW w:w="405" w:type="pct"/>
            <w:vMerge w:val="continue"/>
            <w:vAlign w:val="center"/>
          </w:tcPr>
          <w:p w14:paraId="210044A8">
            <w:pPr>
              <w:keepNext w:val="0"/>
              <w:keepLines w:val="0"/>
              <w:pageBreakBefore w:val="0"/>
              <w:widowControl/>
              <w:kinsoku/>
              <w:wordWrap/>
              <w:overflowPunct/>
              <w:topLinePunct w:val="0"/>
              <w:autoSpaceDE/>
              <w:autoSpaceDN/>
              <w:bidi w:val="0"/>
              <w:snapToGrid w:val="0"/>
              <w:spacing w:line="320" w:lineRule="exact"/>
              <w:ind w:left="0" w:leftChars="0"/>
              <w:jc w:val="left"/>
              <w:textAlignment w:val="auto"/>
              <w:rPr>
                <w:rFonts w:hint="default" w:ascii="Times New Roman" w:hAnsi="Times New Roman" w:cs="Times New Roman" w:eastAsiaTheme="minorEastAsia"/>
                <w:color w:val="auto"/>
                <w:sz w:val="21"/>
                <w:szCs w:val="21"/>
              </w:rPr>
            </w:pPr>
          </w:p>
        </w:tc>
        <w:tc>
          <w:tcPr>
            <w:tcW w:w="421" w:type="pct"/>
            <w:vMerge w:val="continue"/>
            <w:vAlign w:val="center"/>
          </w:tcPr>
          <w:p w14:paraId="07A697CA">
            <w:pPr>
              <w:keepNext w:val="0"/>
              <w:keepLines w:val="0"/>
              <w:pageBreakBefore w:val="0"/>
              <w:widowControl/>
              <w:kinsoku/>
              <w:wordWrap/>
              <w:overflowPunct/>
              <w:topLinePunct w:val="0"/>
              <w:autoSpaceDE/>
              <w:autoSpaceDN/>
              <w:bidi w:val="0"/>
              <w:snapToGrid w:val="0"/>
              <w:spacing w:line="320" w:lineRule="exact"/>
              <w:ind w:left="0" w:leftChars="0"/>
              <w:jc w:val="left"/>
              <w:textAlignment w:val="auto"/>
              <w:rPr>
                <w:rFonts w:hint="default" w:ascii="Times New Roman" w:hAnsi="Times New Roman" w:cs="Times New Roman" w:eastAsiaTheme="minorEastAsia"/>
                <w:color w:val="auto"/>
                <w:sz w:val="21"/>
                <w:szCs w:val="21"/>
              </w:rPr>
            </w:pPr>
          </w:p>
        </w:tc>
        <w:tc>
          <w:tcPr>
            <w:tcW w:w="689" w:type="pct"/>
            <w:vMerge w:val="continue"/>
            <w:vAlign w:val="center"/>
          </w:tcPr>
          <w:p w14:paraId="1667CFE5">
            <w:pPr>
              <w:keepNext w:val="0"/>
              <w:keepLines w:val="0"/>
              <w:pageBreakBefore w:val="0"/>
              <w:widowControl/>
              <w:kinsoku/>
              <w:wordWrap/>
              <w:overflowPunct/>
              <w:topLinePunct w:val="0"/>
              <w:autoSpaceDE/>
              <w:autoSpaceDN/>
              <w:bidi w:val="0"/>
              <w:snapToGrid w:val="0"/>
              <w:spacing w:line="320" w:lineRule="exact"/>
              <w:ind w:left="0" w:leftChars="0"/>
              <w:jc w:val="left"/>
              <w:textAlignment w:val="auto"/>
              <w:rPr>
                <w:rFonts w:hint="default" w:ascii="Times New Roman" w:hAnsi="Times New Roman" w:cs="Times New Roman" w:eastAsiaTheme="minorEastAsia"/>
                <w:color w:val="auto"/>
                <w:sz w:val="21"/>
                <w:szCs w:val="21"/>
              </w:rPr>
            </w:pPr>
          </w:p>
        </w:tc>
        <w:tc>
          <w:tcPr>
            <w:tcW w:w="943" w:type="pct"/>
            <w:tcBorders>
              <w:top w:val="single" w:color="auto" w:sz="4" w:space="0"/>
              <w:bottom w:val="single" w:color="auto" w:sz="4" w:space="0"/>
            </w:tcBorders>
            <w:vAlign w:val="center"/>
          </w:tcPr>
          <w:p w14:paraId="25AD6CB0">
            <w:pPr>
              <w:keepNext w:val="0"/>
              <w:keepLines w:val="0"/>
              <w:pageBreakBefore w:val="0"/>
              <w:widowControl/>
              <w:kinsoku/>
              <w:wordWrap/>
              <w:overflowPunct/>
              <w:topLinePunct w:val="0"/>
              <w:autoSpaceDE/>
              <w:autoSpaceDN/>
              <w:bidi w:val="0"/>
              <w:snapToGrid w:val="0"/>
              <w:spacing w:line="320" w:lineRule="exact"/>
              <w:ind w:left="0" w:left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无废水外排</w:t>
            </w:r>
          </w:p>
        </w:tc>
      </w:tr>
      <w:tr w14:paraId="53E8BE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349" w:type="pct"/>
            <w:shd w:val="clear" w:color="auto" w:fill="auto"/>
            <w:vAlign w:val="center"/>
          </w:tcPr>
          <w:p w14:paraId="13294A8F">
            <w:pPr>
              <w:keepNext w:val="0"/>
              <w:keepLines w:val="0"/>
              <w:pageBreakBefore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7</w:t>
            </w:r>
          </w:p>
        </w:tc>
        <w:tc>
          <w:tcPr>
            <w:tcW w:w="1669" w:type="pct"/>
            <w:vAlign w:val="center"/>
          </w:tcPr>
          <w:p w14:paraId="6F221BC7">
            <w:pPr>
              <w:keepNext w:val="0"/>
              <w:keepLines w:val="0"/>
              <w:pageBreakBefore w:val="0"/>
              <w:kinsoku/>
              <w:wordWrap/>
              <w:overflowPunct/>
              <w:topLinePunct w:val="0"/>
              <w:autoSpaceDE/>
              <w:autoSpaceDN/>
              <w:bidi w:val="0"/>
              <w:adjustRightInd w:val="0"/>
              <w:snapToGrid w:val="0"/>
              <w:spacing w:line="320" w:lineRule="exact"/>
              <w:ind w:left="0" w:leftChars="0"/>
              <w:jc w:val="left"/>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eastAsiaTheme="minorEastAsia"/>
                <w:color w:val="auto"/>
                <w:sz w:val="21"/>
                <w:szCs w:val="21"/>
              </w:rPr>
              <w:t>生活垃圾</w:t>
            </w:r>
            <w:r>
              <w:rPr>
                <w:rFonts w:hint="default" w:ascii="Times New Roman" w:hAnsi="Times New Roman" w:cs="Times New Roman" w:eastAsiaTheme="minorEastAsia"/>
                <w:color w:val="auto"/>
                <w:sz w:val="21"/>
                <w:szCs w:val="21"/>
                <w:lang w:val="en-US" w:eastAsia="zh-CN"/>
              </w:rPr>
              <w:t>集中收集后拉运至附近生活垃圾转运站，由环卫部门统一清运处置。</w:t>
            </w:r>
          </w:p>
        </w:tc>
        <w:tc>
          <w:tcPr>
            <w:tcW w:w="521" w:type="pct"/>
            <w:vMerge w:val="continue"/>
            <w:vAlign w:val="center"/>
          </w:tcPr>
          <w:p w14:paraId="0DA763B9">
            <w:pPr>
              <w:keepNext w:val="0"/>
              <w:keepLines w:val="0"/>
              <w:pageBreakBefore w:val="0"/>
              <w:widowControl/>
              <w:kinsoku/>
              <w:wordWrap/>
              <w:overflowPunct/>
              <w:topLinePunct w:val="0"/>
              <w:autoSpaceDE/>
              <w:autoSpaceDN/>
              <w:bidi w:val="0"/>
              <w:snapToGrid w:val="0"/>
              <w:spacing w:line="320" w:lineRule="exact"/>
              <w:ind w:left="0" w:leftChars="0"/>
              <w:jc w:val="left"/>
              <w:textAlignment w:val="auto"/>
              <w:rPr>
                <w:rFonts w:hint="default" w:ascii="Times New Roman" w:hAnsi="Times New Roman" w:cs="Times New Roman" w:eastAsiaTheme="minorEastAsia"/>
                <w:color w:val="auto"/>
                <w:sz w:val="21"/>
                <w:szCs w:val="21"/>
                <w:lang w:val="en-US" w:eastAsia="zh-CN"/>
              </w:rPr>
            </w:pPr>
          </w:p>
        </w:tc>
        <w:tc>
          <w:tcPr>
            <w:tcW w:w="405" w:type="pct"/>
            <w:vMerge w:val="continue"/>
            <w:vAlign w:val="center"/>
          </w:tcPr>
          <w:p w14:paraId="67E47B04">
            <w:pPr>
              <w:keepNext w:val="0"/>
              <w:keepLines w:val="0"/>
              <w:pageBreakBefore w:val="0"/>
              <w:widowControl/>
              <w:kinsoku/>
              <w:wordWrap/>
              <w:overflowPunct/>
              <w:topLinePunct w:val="0"/>
              <w:autoSpaceDE/>
              <w:autoSpaceDN/>
              <w:bidi w:val="0"/>
              <w:snapToGrid w:val="0"/>
              <w:spacing w:line="320" w:lineRule="exact"/>
              <w:ind w:left="0" w:leftChars="0"/>
              <w:jc w:val="left"/>
              <w:textAlignment w:val="auto"/>
              <w:rPr>
                <w:rFonts w:hint="default" w:ascii="Times New Roman" w:hAnsi="Times New Roman" w:cs="Times New Roman" w:eastAsiaTheme="minorEastAsia"/>
                <w:color w:val="auto"/>
                <w:sz w:val="21"/>
                <w:szCs w:val="21"/>
              </w:rPr>
            </w:pPr>
          </w:p>
        </w:tc>
        <w:tc>
          <w:tcPr>
            <w:tcW w:w="421" w:type="pct"/>
            <w:vMerge w:val="continue"/>
            <w:vAlign w:val="center"/>
          </w:tcPr>
          <w:p w14:paraId="5F6D938A">
            <w:pPr>
              <w:keepNext w:val="0"/>
              <w:keepLines w:val="0"/>
              <w:pageBreakBefore w:val="0"/>
              <w:widowControl/>
              <w:kinsoku/>
              <w:wordWrap/>
              <w:overflowPunct/>
              <w:topLinePunct w:val="0"/>
              <w:autoSpaceDE/>
              <w:autoSpaceDN/>
              <w:bidi w:val="0"/>
              <w:snapToGrid w:val="0"/>
              <w:spacing w:line="320" w:lineRule="exact"/>
              <w:ind w:left="0" w:leftChars="0"/>
              <w:jc w:val="left"/>
              <w:textAlignment w:val="auto"/>
              <w:rPr>
                <w:rFonts w:hint="default" w:ascii="Times New Roman" w:hAnsi="Times New Roman" w:cs="Times New Roman" w:eastAsiaTheme="minorEastAsia"/>
                <w:color w:val="auto"/>
                <w:sz w:val="21"/>
                <w:szCs w:val="21"/>
              </w:rPr>
            </w:pPr>
          </w:p>
        </w:tc>
        <w:tc>
          <w:tcPr>
            <w:tcW w:w="689" w:type="pct"/>
            <w:vMerge w:val="continue"/>
            <w:vAlign w:val="center"/>
          </w:tcPr>
          <w:p w14:paraId="63F357DB">
            <w:pPr>
              <w:keepNext w:val="0"/>
              <w:keepLines w:val="0"/>
              <w:pageBreakBefore w:val="0"/>
              <w:widowControl/>
              <w:kinsoku/>
              <w:wordWrap/>
              <w:overflowPunct/>
              <w:topLinePunct w:val="0"/>
              <w:autoSpaceDE/>
              <w:autoSpaceDN/>
              <w:bidi w:val="0"/>
              <w:snapToGrid w:val="0"/>
              <w:spacing w:line="320" w:lineRule="exact"/>
              <w:ind w:left="0" w:leftChars="0"/>
              <w:jc w:val="left"/>
              <w:textAlignment w:val="auto"/>
              <w:rPr>
                <w:rFonts w:hint="default" w:ascii="Times New Roman" w:hAnsi="Times New Roman" w:cs="Times New Roman" w:eastAsiaTheme="minorEastAsia"/>
                <w:color w:val="auto"/>
                <w:sz w:val="21"/>
                <w:szCs w:val="21"/>
              </w:rPr>
            </w:pPr>
          </w:p>
        </w:tc>
        <w:tc>
          <w:tcPr>
            <w:tcW w:w="943" w:type="pct"/>
            <w:tcBorders>
              <w:top w:val="single" w:color="auto" w:sz="4" w:space="0"/>
              <w:bottom w:val="single" w:color="auto" w:sz="4" w:space="0"/>
            </w:tcBorders>
            <w:vAlign w:val="center"/>
          </w:tcPr>
          <w:p w14:paraId="0BFF51EC">
            <w:pPr>
              <w:keepNext w:val="0"/>
              <w:keepLines w:val="0"/>
              <w:pageBreakBefore w:val="0"/>
              <w:widowControl/>
              <w:kinsoku/>
              <w:wordWrap/>
              <w:overflowPunct/>
              <w:topLinePunct w:val="0"/>
              <w:autoSpaceDE/>
              <w:autoSpaceDN/>
              <w:bidi w:val="0"/>
              <w:snapToGrid w:val="0"/>
              <w:spacing w:line="320" w:lineRule="exact"/>
              <w:ind w:left="0" w:left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固废均得到</w:t>
            </w:r>
            <w:r>
              <w:rPr>
                <w:rFonts w:hint="default" w:ascii="Times New Roman" w:hAnsi="Times New Roman" w:cs="Times New Roman" w:eastAsiaTheme="minorEastAsia"/>
                <w:color w:val="auto"/>
                <w:sz w:val="21"/>
                <w:szCs w:val="21"/>
                <w:lang w:val="en-US" w:eastAsia="zh-CN"/>
              </w:rPr>
              <w:t>妥善</w:t>
            </w:r>
            <w:r>
              <w:rPr>
                <w:rFonts w:hint="default" w:ascii="Times New Roman" w:hAnsi="Times New Roman" w:cs="Times New Roman" w:eastAsiaTheme="minorEastAsia"/>
                <w:color w:val="auto"/>
                <w:sz w:val="21"/>
                <w:szCs w:val="21"/>
              </w:rPr>
              <w:t>处置</w:t>
            </w:r>
          </w:p>
        </w:tc>
      </w:tr>
      <w:tr w14:paraId="23CF0C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349" w:type="pct"/>
            <w:shd w:val="clear" w:color="auto" w:fill="auto"/>
            <w:vAlign w:val="center"/>
          </w:tcPr>
          <w:p w14:paraId="76CBA7AC">
            <w:pPr>
              <w:keepNext w:val="0"/>
              <w:keepLines w:val="0"/>
              <w:pageBreakBefore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8</w:t>
            </w:r>
          </w:p>
        </w:tc>
        <w:tc>
          <w:tcPr>
            <w:tcW w:w="1669" w:type="pct"/>
            <w:vAlign w:val="center"/>
          </w:tcPr>
          <w:p w14:paraId="1A11BE76">
            <w:pPr>
              <w:keepNext w:val="0"/>
              <w:keepLines w:val="0"/>
              <w:pageBreakBefore w:val="0"/>
              <w:kinsoku/>
              <w:wordWrap/>
              <w:overflowPunct/>
              <w:topLinePunct w:val="0"/>
              <w:autoSpaceDE/>
              <w:autoSpaceDN/>
              <w:bidi w:val="0"/>
              <w:adjustRightInd w:val="0"/>
              <w:snapToGrid w:val="0"/>
              <w:spacing w:line="320" w:lineRule="exact"/>
              <w:ind w:left="0" w:leftChars="0"/>
              <w:jc w:val="left"/>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料场采用</w:t>
            </w:r>
            <w:r>
              <w:rPr>
                <w:rFonts w:hint="default" w:ascii="Times New Roman" w:hAnsi="Times New Roman" w:cs="Times New Roman" w:eastAsiaTheme="minorEastAsia"/>
                <w:color w:val="auto"/>
                <w:sz w:val="21"/>
                <w:szCs w:val="21"/>
              </w:rPr>
              <w:t>防尘布(网)苫盖</w:t>
            </w:r>
            <w:r>
              <w:rPr>
                <w:rFonts w:hint="default" w:ascii="Times New Roman" w:hAnsi="Times New Roman" w:cs="Times New Roman" w:eastAsiaTheme="minorEastAsia"/>
                <w:color w:val="auto"/>
                <w:sz w:val="21"/>
                <w:szCs w:val="21"/>
                <w:lang w:eastAsia="zh-CN"/>
              </w:rPr>
              <w:t>。</w:t>
            </w:r>
          </w:p>
        </w:tc>
        <w:tc>
          <w:tcPr>
            <w:tcW w:w="521" w:type="pct"/>
            <w:vMerge w:val="continue"/>
            <w:vAlign w:val="center"/>
          </w:tcPr>
          <w:p w14:paraId="56300BC9">
            <w:pPr>
              <w:keepNext w:val="0"/>
              <w:keepLines w:val="0"/>
              <w:pageBreakBefore w:val="0"/>
              <w:widowControl/>
              <w:kinsoku/>
              <w:wordWrap/>
              <w:overflowPunct/>
              <w:topLinePunct w:val="0"/>
              <w:autoSpaceDE/>
              <w:autoSpaceDN/>
              <w:bidi w:val="0"/>
              <w:snapToGrid w:val="0"/>
              <w:spacing w:line="320" w:lineRule="exact"/>
              <w:ind w:left="0" w:leftChars="0"/>
              <w:jc w:val="left"/>
              <w:textAlignment w:val="auto"/>
              <w:rPr>
                <w:rFonts w:hint="default" w:ascii="Times New Roman" w:hAnsi="Times New Roman" w:cs="Times New Roman" w:eastAsiaTheme="minorEastAsia"/>
                <w:color w:val="auto"/>
                <w:sz w:val="21"/>
                <w:szCs w:val="21"/>
                <w:lang w:val="en-US" w:eastAsia="zh-CN"/>
              </w:rPr>
            </w:pPr>
          </w:p>
        </w:tc>
        <w:tc>
          <w:tcPr>
            <w:tcW w:w="405" w:type="pct"/>
            <w:vMerge w:val="continue"/>
            <w:vAlign w:val="center"/>
          </w:tcPr>
          <w:p w14:paraId="2606DFB6">
            <w:pPr>
              <w:keepNext w:val="0"/>
              <w:keepLines w:val="0"/>
              <w:pageBreakBefore w:val="0"/>
              <w:widowControl/>
              <w:kinsoku/>
              <w:wordWrap/>
              <w:overflowPunct/>
              <w:topLinePunct w:val="0"/>
              <w:autoSpaceDE/>
              <w:autoSpaceDN/>
              <w:bidi w:val="0"/>
              <w:snapToGrid w:val="0"/>
              <w:spacing w:line="320" w:lineRule="exact"/>
              <w:ind w:left="0" w:leftChars="0"/>
              <w:jc w:val="left"/>
              <w:textAlignment w:val="auto"/>
              <w:rPr>
                <w:rFonts w:hint="default" w:ascii="Times New Roman" w:hAnsi="Times New Roman" w:cs="Times New Roman" w:eastAsiaTheme="minorEastAsia"/>
                <w:color w:val="auto"/>
                <w:sz w:val="21"/>
                <w:szCs w:val="21"/>
              </w:rPr>
            </w:pPr>
          </w:p>
        </w:tc>
        <w:tc>
          <w:tcPr>
            <w:tcW w:w="421" w:type="pct"/>
            <w:vMerge w:val="continue"/>
            <w:vAlign w:val="center"/>
          </w:tcPr>
          <w:p w14:paraId="3786105C">
            <w:pPr>
              <w:keepNext w:val="0"/>
              <w:keepLines w:val="0"/>
              <w:pageBreakBefore w:val="0"/>
              <w:widowControl/>
              <w:kinsoku/>
              <w:wordWrap/>
              <w:overflowPunct/>
              <w:topLinePunct w:val="0"/>
              <w:autoSpaceDE/>
              <w:autoSpaceDN/>
              <w:bidi w:val="0"/>
              <w:snapToGrid w:val="0"/>
              <w:spacing w:line="320" w:lineRule="exact"/>
              <w:ind w:left="0" w:leftChars="0"/>
              <w:jc w:val="left"/>
              <w:textAlignment w:val="auto"/>
              <w:rPr>
                <w:rFonts w:hint="default" w:ascii="Times New Roman" w:hAnsi="Times New Roman" w:cs="Times New Roman" w:eastAsiaTheme="minorEastAsia"/>
                <w:color w:val="auto"/>
                <w:sz w:val="21"/>
                <w:szCs w:val="21"/>
              </w:rPr>
            </w:pPr>
          </w:p>
        </w:tc>
        <w:tc>
          <w:tcPr>
            <w:tcW w:w="689" w:type="pct"/>
            <w:vMerge w:val="continue"/>
            <w:vAlign w:val="center"/>
          </w:tcPr>
          <w:p w14:paraId="5B048B04">
            <w:pPr>
              <w:keepNext w:val="0"/>
              <w:keepLines w:val="0"/>
              <w:pageBreakBefore w:val="0"/>
              <w:widowControl/>
              <w:kinsoku/>
              <w:wordWrap/>
              <w:overflowPunct/>
              <w:topLinePunct w:val="0"/>
              <w:autoSpaceDE/>
              <w:autoSpaceDN/>
              <w:bidi w:val="0"/>
              <w:snapToGrid w:val="0"/>
              <w:spacing w:line="320" w:lineRule="exact"/>
              <w:ind w:left="0" w:leftChars="0"/>
              <w:jc w:val="left"/>
              <w:textAlignment w:val="auto"/>
              <w:rPr>
                <w:rFonts w:hint="default" w:ascii="Times New Roman" w:hAnsi="Times New Roman" w:cs="Times New Roman" w:eastAsiaTheme="minorEastAsia"/>
                <w:color w:val="auto"/>
                <w:sz w:val="21"/>
                <w:szCs w:val="21"/>
              </w:rPr>
            </w:pPr>
          </w:p>
        </w:tc>
        <w:tc>
          <w:tcPr>
            <w:tcW w:w="943" w:type="pct"/>
            <w:tcBorders>
              <w:top w:val="single" w:color="auto" w:sz="4" w:space="0"/>
              <w:bottom w:val="single" w:color="auto" w:sz="4" w:space="0"/>
            </w:tcBorders>
            <w:vAlign w:val="center"/>
          </w:tcPr>
          <w:p w14:paraId="67E7BB44">
            <w:pPr>
              <w:keepNext w:val="0"/>
              <w:keepLines w:val="0"/>
              <w:pageBreakBefore w:val="0"/>
              <w:widowControl/>
              <w:kinsoku/>
              <w:wordWrap/>
              <w:overflowPunct/>
              <w:topLinePunct w:val="0"/>
              <w:autoSpaceDE/>
              <w:autoSpaceDN/>
              <w:bidi w:val="0"/>
              <w:snapToGrid w:val="0"/>
              <w:spacing w:line="320" w:lineRule="exact"/>
              <w:ind w:left="0" w:left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对周边大气环境影响较小</w:t>
            </w:r>
          </w:p>
        </w:tc>
      </w:tr>
      <w:tr w14:paraId="7C7A47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349" w:type="pct"/>
            <w:shd w:val="clear" w:color="auto" w:fill="auto"/>
            <w:vAlign w:val="center"/>
          </w:tcPr>
          <w:p w14:paraId="63FE7C60">
            <w:pPr>
              <w:keepNext w:val="0"/>
              <w:keepLines w:val="0"/>
              <w:pageBreakBefore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9</w:t>
            </w:r>
          </w:p>
        </w:tc>
        <w:tc>
          <w:tcPr>
            <w:tcW w:w="1669" w:type="pct"/>
            <w:tcBorders>
              <w:bottom w:val="single" w:color="auto" w:sz="4" w:space="0"/>
            </w:tcBorders>
            <w:vAlign w:val="center"/>
          </w:tcPr>
          <w:p w14:paraId="786206A0">
            <w:pPr>
              <w:keepNext w:val="0"/>
              <w:keepLines w:val="0"/>
              <w:pageBreakBefore w:val="0"/>
              <w:kinsoku/>
              <w:wordWrap/>
              <w:overflowPunct/>
              <w:topLinePunct w:val="0"/>
              <w:autoSpaceDE/>
              <w:autoSpaceDN/>
              <w:bidi w:val="0"/>
              <w:adjustRightInd w:val="0"/>
              <w:snapToGrid w:val="0"/>
              <w:spacing w:line="320" w:lineRule="exact"/>
              <w:ind w:left="0" w:leftChars="0"/>
              <w:jc w:val="left"/>
              <w:textAlignment w:val="auto"/>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sz w:val="21"/>
                <w:szCs w:val="21"/>
              </w:rPr>
              <w:t>采用低噪声设备，加强维护保养，严格操作规程</w:t>
            </w:r>
          </w:p>
        </w:tc>
        <w:tc>
          <w:tcPr>
            <w:tcW w:w="521" w:type="pct"/>
            <w:vMerge w:val="continue"/>
            <w:tcBorders>
              <w:bottom w:val="single" w:color="auto" w:sz="4" w:space="0"/>
            </w:tcBorders>
            <w:vAlign w:val="center"/>
          </w:tcPr>
          <w:p w14:paraId="762B6A22">
            <w:pPr>
              <w:keepNext w:val="0"/>
              <w:keepLines w:val="0"/>
              <w:pageBreakBefore w:val="0"/>
              <w:widowControl/>
              <w:kinsoku/>
              <w:wordWrap/>
              <w:overflowPunct/>
              <w:topLinePunct w:val="0"/>
              <w:autoSpaceDE/>
              <w:autoSpaceDN/>
              <w:bidi w:val="0"/>
              <w:snapToGrid w:val="0"/>
              <w:spacing w:line="320" w:lineRule="exact"/>
              <w:ind w:left="0" w:leftChars="0"/>
              <w:jc w:val="left"/>
              <w:textAlignment w:val="auto"/>
              <w:rPr>
                <w:rFonts w:hint="default" w:ascii="Times New Roman" w:hAnsi="Times New Roman" w:cs="Times New Roman" w:eastAsiaTheme="minorEastAsia"/>
                <w:color w:val="auto"/>
                <w:sz w:val="21"/>
                <w:szCs w:val="21"/>
              </w:rPr>
            </w:pPr>
          </w:p>
        </w:tc>
        <w:tc>
          <w:tcPr>
            <w:tcW w:w="405" w:type="pct"/>
            <w:vMerge w:val="continue"/>
            <w:vAlign w:val="center"/>
          </w:tcPr>
          <w:p w14:paraId="0888E505">
            <w:pPr>
              <w:keepNext w:val="0"/>
              <w:keepLines w:val="0"/>
              <w:pageBreakBefore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color w:val="auto"/>
                <w:sz w:val="21"/>
                <w:szCs w:val="21"/>
              </w:rPr>
            </w:pPr>
          </w:p>
        </w:tc>
        <w:tc>
          <w:tcPr>
            <w:tcW w:w="421" w:type="pct"/>
            <w:vMerge w:val="continue"/>
            <w:vAlign w:val="center"/>
          </w:tcPr>
          <w:p w14:paraId="1CB0F8C2">
            <w:pPr>
              <w:keepNext w:val="0"/>
              <w:keepLines w:val="0"/>
              <w:pageBreakBefore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color w:val="auto"/>
                <w:sz w:val="21"/>
                <w:szCs w:val="21"/>
              </w:rPr>
            </w:pPr>
          </w:p>
        </w:tc>
        <w:tc>
          <w:tcPr>
            <w:tcW w:w="689" w:type="pct"/>
            <w:vMerge w:val="continue"/>
            <w:vAlign w:val="center"/>
          </w:tcPr>
          <w:p w14:paraId="00C9B7B3">
            <w:pPr>
              <w:keepNext w:val="0"/>
              <w:keepLines w:val="0"/>
              <w:pageBreakBefore w:val="0"/>
              <w:widowControl/>
              <w:kinsoku/>
              <w:wordWrap/>
              <w:overflowPunct/>
              <w:topLinePunct w:val="0"/>
              <w:autoSpaceDE/>
              <w:autoSpaceDN/>
              <w:bidi w:val="0"/>
              <w:snapToGrid w:val="0"/>
              <w:spacing w:line="320" w:lineRule="exact"/>
              <w:ind w:left="0" w:leftChars="0"/>
              <w:jc w:val="left"/>
              <w:textAlignment w:val="auto"/>
              <w:rPr>
                <w:rFonts w:hint="default" w:ascii="Times New Roman" w:hAnsi="Times New Roman" w:cs="Times New Roman" w:eastAsiaTheme="minorEastAsia"/>
                <w:color w:val="auto"/>
                <w:sz w:val="21"/>
                <w:szCs w:val="21"/>
              </w:rPr>
            </w:pPr>
          </w:p>
        </w:tc>
        <w:tc>
          <w:tcPr>
            <w:tcW w:w="943" w:type="pct"/>
            <w:tcBorders>
              <w:top w:val="single" w:color="auto" w:sz="4" w:space="0"/>
              <w:bottom w:val="single" w:color="auto" w:sz="4" w:space="0"/>
            </w:tcBorders>
            <w:vAlign w:val="center"/>
          </w:tcPr>
          <w:p w14:paraId="553A05EA">
            <w:pPr>
              <w:keepNext w:val="0"/>
              <w:keepLines w:val="0"/>
              <w:pageBreakBefore w:val="0"/>
              <w:widowControl/>
              <w:kinsoku/>
              <w:wordWrap/>
              <w:overflowPunct/>
              <w:topLinePunct w:val="0"/>
              <w:autoSpaceDE/>
              <w:autoSpaceDN/>
              <w:bidi w:val="0"/>
              <w:snapToGrid w:val="0"/>
              <w:spacing w:line="320" w:lineRule="exact"/>
              <w:ind w:left="0" w:left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对周边声环境无影响</w:t>
            </w:r>
          </w:p>
        </w:tc>
      </w:tr>
      <w:tr w14:paraId="2758FB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349" w:type="pct"/>
            <w:shd w:val="clear" w:color="auto" w:fill="auto"/>
            <w:vAlign w:val="center"/>
          </w:tcPr>
          <w:p w14:paraId="70FA9391">
            <w:pPr>
              <w:keepNext w:val="0"/>
              <w:keepLines w:val="0"/>
              <w:pageBreakBefore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10</w:t>
            </w:r>
          </w:p>
        </w:tc>
        <w:tc>
          <w:tcPr>
            <w:tcW w:w="1669" w:type="pct"/>
            <w:tcBorders>
              <w:top w:val="single" w:color="auto" w:sz="4" w:space="0"/>
            </w:tcBorders>
            <w:vAlign w:val="center"/>
          </w:tcPr>
          <w:p w14:paraId="1CC6A3D6">
            <w:pPr>
              <w:keepNext w:val="0"/>
              <w:keepLines w:val="0"/>
              <w:pageBreakBefore w:val="0"/>
              <w:kinsoku/>
              <w:wordWrap/>
              <w:overflowPunct/>
              <w:topLinePunct w:val="0"/>
              <w:autoSpaceDE/>
              <w:autoSpaceDN/>
              <w:bidi w:val="0"/>
              <w:adjustRightInd w:val="0"/>
              <w:snapToGrid w:val="0"/>
              <w:spacing w:line="320" w:lineRule="exact"/>
              <w:ind w:left="0" w:leftChars="0"/>
              <w:jc w:val="left"/>
              <w:textAlignment w:val="auto"/>
              <w:rPr>
                <w:rFonts w:hint="default" w:ascii="Times New Roman" w:hAnsi="Times New Roman" w:cs="Times New Roman" w:eastAsiaTheme="minorEastAsia"/>
                <w:color w:val="auto"/>
                <w:kern w:val="2"/>
                <w:sz w:val="21"/>
                <w:szCs w:val="21"/>
                <w:lang w:eastAsia="zh-CN"/>
              </w:rPr>
            </w:pPr>
            <w:r>
              <w:rPr>
                <w:rFonts w:hint="default" w:ascii="Times New Roman" w:hAnsi="Times New Roman" w:cs="Times New Roman" w:eastAsiaTheme="minorEastAsia"/>
                <w:color w:val="auto"/>
                <w:sz w:val="21"/>
                <w:szCs w:val="21"/>
              </w:rPr>
              <w:t>道路及施工面洒水降尘、物料运输篷布遮盖、土石方采用防尘布(网)苫盖</w:t>
            </w:r>
            <w:r>
              <w:rPr>
                <w:rFonts w:hint="default" w:ascii="Times New Roman" w:hAnsi="Times New Roman" w:cs="Times New Roman" w:eastAsiaTheme="minorEastAsia"/>
                <w:color w:val="auto"/>
                <w:sz w:val="21"/>
                <w:szCs w:val="21"/>
                <w:lang w:eastAsia="zh-CN"/>
              </w:rPr>
              <w:t>。</w:t>
            </w:r>
          </w:p>
        </w:tc>
        <w:tc>
          <w:tcPr>
            <w:tcW w:w="521" w:type="pct"/>
            <w:vMerge w:val="restart"/>
            <w:tcBorders>
              <w:top w:val="single" w:color="auto" w:sz="4" w:space="0"/>
            </w:tcBorders>
            <w:vAlign w:val="center"/>
          </w:tcPr>
          <w:p w14:paraId="1B9FA115">
            <w:pPr>
              <w:keepNext w:val="0"/>
              <w:keepLines w:val="0"/>
              <w:pageBreakBefore w:val="0"/>
              <w:widowControl/>
              <w:kinsoku/>
              <w:wordWrap/>
              <w:overflowPunct/>
              <w:topLinePunct w:val="0"/>
              <w:autoSpaceDE/>
              <w:autoSpaceDN/>
              <w:bidi w:val="0"/>
              <w:snapToGrid w:val="0"/>
              <w:spacing w:line="320" w:lineRule="exact"/>
              <w:ind w:left="0" w:left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工程施工</w:t>
            </w:r>
            <w:r>
              <w:rPr>
                <w:rFonts w:hint="default" w:ascii="Times New Roman" w:hAnsi="Times New Roman" w:cs="Times New Roman" w:eastAsiaTheme="minorEastAsia"/>
                <w:color w:val="auto"/>
                <w:sz w:val="21"/>
                <w:szCs w:val="21"/>
                <w:lang w:val="en-US" w:eastAsia="zh-CN"/>
              </w:rPr>
              <w:t>区域</w:t>
            </w:r>
          </w:p>
        </w:tc>
        <w:tc>
          <w:tcPr>
            <w:tcW w:w="405" w:type="pct"/>
            <w:vMerge w:val="continue"/>
            <w:vAlign w:val="center"/>
          </w:tcPr>
          <w:p w14:paraId="4B4641A5">
            <w:pPr>
              <w:keepNext w:val="0"/>
              <w:keepLines w:val="0"/>
              <w:pageBreakBefore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color w:val="auto"/>
                <w:sz w:val="21"/>
                <w:szCs w:val="21"/>
              </w:rPr>
            </w:pPr>
          </w:p>
        </w:tc>
        <w:tc>
          <w:tcPr>
            <w:tcW w:w="421" w:type="pct"/>
            <w:vMerge w:val="continue"/>
            <w:vAlign w:val="center"/>
          </w:tcPr>
          <w:p w14:paraId="088D0164">
            <w:pPr>
              <w:keepNext w:val="0"/>
              <w:keepLines w:val="0"/>
              <w:pageBreakBefore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color w:val="auto"/>
                <w:sz w:val="21"/>
                <w:szCs w:val="21"/>
              </w:rPr>
            </w:pPr>
          </w:p>
        </w:tc>
        <w:tc>
          <w:tcPr>
            <w:tcW w:w="689" w:type="pct"/>
            <w:vMerge w:val="continue"/>
            <w:vAlign w:val="center"/>
          </w:tcPr>
          <w:p w14:paraId="44DE79DB">
            <w:pPr>
              <w:keepNext w:val="0"/>
              <w:keepLines w:val="0"/>
              <w:pageBreakBefore w:val="0"/>
              <w:widowControl/>
              <w:kinsoku/>
              <w:wordWrap/>
              <w:overflowPunct/>
              <w:topLinePunct w:val="0"/>
              <w:autoSpaceDE/>
              <w:autoSpaceDN/>
              <w:bidi w:val="0"/>
              <w:snapToGrid w:val="0"/>
              <w:spacing w:line="320" w:lineRule="exact"/>
              <w:ind w:left="0" w:leftChars="0"/>
              <w:jc w:val="left"/>
              <w:textAlignment w:val="auto"/>
              <w:rPr>
                <w:rFonts w:hint="default" w:ascii="Times New Roman" w:hAnsi="Times New Roman" w:cs="Times New Roman" w:eastAsiaTheme="minorEastAsia"/>
                <w:color w:val="auto"/>
                <w:sz w:val="21"/>
                <w:szCs w:val="21"/>
              </w:rPr>
            </w:pPr>
          </w:p>
        </w:tc>
        <w:tc>
          <w:tcPr>
            <w:tcW w:w="943" w:type="pct"/>
            <w:tcBorders>
              <w:top w:val="single" w:color="auto" w:sz="4" w:space="0"/>
            </w:tcBorders>
            <w:vAlign w:val="center"/>
          </w:tcPr>
          <w:p w14:paraId="60AA7468">
            <w:pPr>
              <w:keepNext w:val="0"/>
              <w:keepLines w:val="0"/>
              <w:pageBreakBefore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对周边大气环境影响较小</w:t>
            </w:r>
          </w:p>
        </w:tc>
      </w:tr>
      <w:tr w14:paraId="0E191E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349" w:type="pct"/>
            <w:shd w:val="clear" w:color="auto" w:fill="auto"/>
            <w:vAlign w:val="center"/>
          </w:tcPr>
          <w:p w14:paraId="31C3D631">
            <w:pPr>
              <w:keepNext w:val="0"/>
              <w:keepLines w:val="0"/>
              <w:pageBreakBefore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11</w:t>
            </w:r>
          </w:p>
        </w:tc>
        <w:tc>
          <w:tcPr>
            <w:tcW w:w="1669" w:type="pct"/>
            <w:tcBorders>
              <w:top w:val="single" w:color="auto" w:sz="4" w:space="0"/>
            </w:tcBorders>
            <w:vAlign w:val="center"/>
          </w:tcPr>
          <w:p w14:paraId="2FD2F6DF">
            <w:pPr>
              <w:keepNext w:val="0"/>
              <w:keepLines w:val="0"/>
              <w:pageBreakBefore w:val="0"/>
              <w:kinsoku/>
              <w:wordWrap/>
              <w:overflowPunct/>
              <w:topLinePunct w:val="0"/>
              <w:autoSpaceDE/>
              <w:autoSpaceDN/>
              <w:bidi w:val="0"/>
              <w:adjustRightInd w:val="0"/>
              <w:snapToGrid w:val="0"/>
              <w:spacing w:line="320" w:lineRule="exact"/>
              <w:ind w:left="0" w:leftChars="0"/>
              <w:jc w:val="left"/>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施工机械修理维护依托</w:t>
            </w:r>
            <w:r>
              <w:rPr>
                <w:rFonts w:hint="eastAsia" w:cs="Times New Roman" w:eastAsiaTheme="minorEastAsia"/>
                <w:color w:val="auto"/>
                <w:sz w:val="21"/>
                <w:szCs w:val="21"/>
                <w:lang w:val="en-US" w:eastAsia="zh-CN"/>
              </w:rPr>
              <w:t>附近</w:t>
            </w:r>
            <w:r>
              <w:rPr>
                <w:rFonts w:hint="default" w:ascii="Times New Roman" w:hAnsi="Times New Roman" w:cs="Times New Roman" w:eastAsiaTheme="minorEastAsia"/>
                <w:color w:val="auto"/>
                <w:sz w:val="21"/>
                <w:szCs w:val="21"/>
                <w:lang w:val="en-US" w:eastAsia="zh-CN"/>
              </w:rPr>
              <w:t>商业机修站维修。混凝土将依托乌鲁木齐现有的商品混凝土，施工场地内不设置修理厂及混凝土拌合站。采用混凝土直接浇筑的方式施工，浇筑前基础底部铺设防渗膜，防止混凝土养护废水入渗。</w:t>
            </w:r>
          </w:p>
        </w:tc>
        <w:tc>
          <w:tcPr>
            <w:tcW w:w="521" w:type="pct"/>
            <w:vMerge w:val="continue"/>
            <w:vAlign w:val="center"/>
          </w:tcPr>
          <w:p w14:paraId="4D88159A">
            <w:pPr>
              <w:keepNext w:val="0"/>
              <w:keepLines w:val="0"/>
              <w:pageBreakBefore w:val="0"/>
              <w:widowControl/>
              <w:kinsoku/>
              <w:wordWrap/>
              <w:overflowPunct/>
              <w:topLinePunct w:val="0"/>
              <w:autoSpaceDE/>
              <w:autoSpaceDN/>
              <w:bidi w:val="0"/>
              <w:snapToGrid w:val="0"/>
              <w:spacing w:line="320" w:lineRule="exact"/>
              <w:ind w:left="0" w:leftChars="0"/>
              <w:jc w:val="left"/>
              <w:textAlignment w:val="auto"/>
              <w:rPr>
                <w:rFonts w:hint="default" w:ascii="Times New Roman" w:hAnsi="Times New Roman" w:cs="Times New Roman" w:eastAsiaTheme="minorEastAsia"/>
                <w:color w:val="auto"/>
                <w:sz w:val="21"/>
                <w:szCs w:val="21"/>
              </w:rPr>
            </w:pPr>
          </w:p>
        </w:tc>
        <w:tc>
          <w:tcPr>
            <w:tcW w:w="405" w:type="pct"/>
            <w:vMerge w:val="continue"/>
            <w:vAlign w:val="center"/>
          </w:tcPr>
          <w:p w14:paraId="37F558B4">
            <w:pPr>
              <w:keepNext w:val="0"/>
              <w:keepLines w:val="0"/>
              <w:pageBreakBefore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color w:val="auto"/>
                <w:sz w:val="21"/>
                <w:szCs w:val="21"/>
              </w:rPr>
            </w:pPr>
          </w:p>
        </w:tc>
        <w:tc>
          <w:tcPr>
            <w:tcW w:w="421" w:type="pct"/>
            <w:vMerge w:val="continue"/>
            <w:vAlign w:val="center"/>
          </w:tcPr>
          <w:p w14:paraId="1A8253A8">
            <w:pPr>
              <w:keepNext w:val="0"/>
              <w:keepLines w:val="0"/>
              <w:pageBreakBefore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color w:val="auto"/>
                <w:sz w:val="21"/>
                <w:szCs w:val="21"/>
              </w:rPr>
            </w:pPr>
          </w:p>
        </w:tc>
        <w:tc>
          <w:tcPr>
            <w:tcW w:w="689" w:type="pct"/>
            <w:vMerge w:val="continue"/>
            <w:vAlign w:val="center"/>
          </w:tcPr>
          <w:p w14:paraId="0171993F">
            <w:pPr>
              <w:keepNext w:val="0"/>
              <w:keepLines w:val="0"/>
              <w:pageBreakBefore w:val="0"/>
              <w:widowControl/>
              <w:kinsoku/>
              <w:wordWrap/>
              <w:overflowPunct/>
              <w:topLinePunct w:val="0"/>
              <w:autoSpaceDE/>
              <w:autoSpaceDN/>
              <w:bidi w:val="0"/>
              <w:snapToGrid w:val="0"/>
              <w:spacing w:line="320" w:lineRule="exact"/>
              <w:ind w:left="0" w:leftChars="0"/>
              <w:jc w:val="left"/>
              <w:textAlignment w:val="auto"/>
              <w:rPr>
                <w:rFonts w:hint="default" w:ascii="Times New Roman" w:hAnsi="Times New Roman" w:cs="Times New Roman" w:eastAsiaTheme="minorEastAsia"/>
                <w:color w:val="auto"/>
                <w:sz w:val="21"/>
                <w:szCs w:val="21"/>
              </w:rPr>
            </w:pPr>
          </w:p>
        </w:tc>
        <w:tc>
          <w:tcPr>
            <w:tcW w:w="943" w:type="pct"/>
            <w:tcBorders>
              <w:top w:val="single" w:color="auto" w:sz="4" w:space="0"/>
            </w:tcBorders>
            <w:vAlign w:val="center"/>
          </w:tcPr>
          <w:p w14:paraId="2787CD67">
            <w:pPr>
              <w:keepNext w:val="0"/>
              <w:keepLines w:val="0"/>
              <w:pageBreakBefore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无废水外排</w:t>
            </w:r>
          </w:p>
        </w:tc>
      </w:tr>
      <w:tr w14:paraId="0A5D09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349" w:type="pct"/>
            <w:shd w:val="clear" w:color="auto" w:fill="auto"/>
            <w:vAlign w:val="center"/>
          </w:tcPr>
          <w:p w14:paraId="6B623E7E">
            <w:pPr>
              <w:keepNext w:val="0"/>
              <w:keepLines w:val="0"/>
              <w:pageBreakBefore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12</w:t>
            </w:r>
          </w:p>
        </w:tc>
        <w:tc>
          <w:tcPr>
            <w:tcW w:w="1669" w:type="pct"/>
            <w:tcBorders>
              <w:top w:val="single" w:color="auto" w:sz="4" w:space="0"/>
            </w:tcBorders>
            <w:vAlign w:val="center"/>
          </w:tcPr>
          <w:p w14:paraId="35DD637D">
            <w:pPr>
              <w:keepNext w:val="0"/>
              <w:keepLines w:val="0"/>
              <w:pageBreakBefore w:val="0"/>
              <w:kinsoku/>
              <w:wordWrap/>
              <w:overflowPunct/>
              <w:topLinePunct w:val="0"/>
              <w:autoSpaceDE/>
              <w:autoSpaceDN/>
              <w:bidi w:val="0"/>
              <w:adjustRightInd w:val="0"/>
              <w:snapToGrid w:val="0"/>
              <w:spacing w:line="320" w:lineRule="exact"/>
              <w:ind w:left="0" w:leftChars="0"/>
              <w:jc w:val="left"/>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采用低噪声设备，加强维护保养，严格操作规程</w:t>
            </w:r>
          </w:p>
        </w:tc>
        <w:tc>
          <w:tcPr>
            <w:tcW w:w="521" w:type="pct"/>
            <w:vMerge w:val="continue"/>
            <w:vAlign w:val="center"/>
          </w:tcPr>
          <w:p w14:paraId="233AE748">
            <w:pPr>
              <w:keepNext w:val="0"/>
              <w:keepLines w:val="0"/>
              <w:pageBreakBefore w:val="0"/>
              <w:widowControl/>
              <w:kinsoku/>
              <w:wordWrap/>
              <w:overflowPunct/>
              <w:topLinePunct w:val="0"/>
              <w:autoSpaceDE/>
              <w:autoSpaceDN/>
              <w:bidi w:val="0"/>
              <w:snapToGrid w:val="0"/>
              <w:spacing w:line="320" w:lineRule="exact"/>
              <w:ind w:left="0" w:leftChars="0"/>
              <w:jc w:val="left"/>
              <w:textAlignment w:val="auto"/>
              <w:rPr>
                <w:rFonts w:hint="default" w:ascii="Times New Roman" w:hAnsi="Times New Roman" w:cs="Times New Roman" w:eastAsiaTheme="minorEastAsia"/>
                <w:color w:val="auto"/>
                <w:sz w:val="21"/>
                <w:szCs w:val="21"/>
              </w:rPr>
            </w:pPr>
          </w:p>
        </w:tc>
        <w:tc>
          <w:tcPr>
            <w:tcW w:w="405" w:type="pct"/>
            <w:vMerge w:val="continue"/>
            <w:vAlign w:val="center"/>
          </w:tcPr>
          <w:p w14:paraId="73A20231">
            <w:pPr>
              <w:keepNext w:val="0"/>
              <w:keepLines w:val="0"/>
              <w:pageBreakBefore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color w:val="auto"/>
                <w:sz w:val="21"/>
                <w:szCs w:val="21"/>
              </w:rPr>
            </w:pPr>
          </w:p>
        </w:tc>
        <w:tc>
          <w:tcPr>
            <w:tcW w:w="421" w:type="pct"/>
            <w:vMerge w:val="continue"/>
            <w:vAlign w:val="center"/>
          </w:tcPr>
          <w:p w14:paraId="583B3FF3">
            <w:pPr>
              <w:keepNext w:val="0"/>
              <w:keepLines w:val="0"/>
              <w:pageBreakBefore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color w:val="auto"/>
                <w:sz w:val="21"/>
                <w:szCs w:val="21"/>
              </w:rPr>
            </w:pPr>
          </w:p>
        </w:tc>
        <w:tc>
          <w:tcPr>
            <w:tcW w:w="689" w:type="pct"/>
            <w:vMerge w:val="continue"/>
            <w:vAlign w:val="center"/>
          </w:tcPr>
          <w:p w14:paraId="440D04CF">
            <w:pPr>
              <w:keepNext w:val="0"/>
              <w:keepLines w:val="0"/>
              <w:pageBreakBefore w:val="0"/>
              <w:widowControl/>
              <w:kinsoku/>
              <w:wordWrap/>
              <w:overflowPunct/>
              <w:topLinePunct w:val="0"/>
              <w:autoSpaceDE/>
              <w:autoSpaceDN/>
              <w:bidi w:val="0"/>
              <w:snapToGrid w:val="0"/>
              <w:spacing w:line="320" w:lineRule="exact"/>
              <w:ind w:left="0" w:leftChars="0"/>
              <w:jc w:val="left"/>
              <w:textAlignment w:val="auto"/>
              <w:rPr>
                <w:rFonts w:hint="default" w:ascii="Times New Roman" w:hAnsi="Times New Roman" w:cs="Times New Roman" w:eastAsiaTheme="minorEastAsia"/>
                <w:color w:val="auto"/>
                <w:sz w:val="21"/>
                <w:szCs w:val="21"/>
              </w:rPr>
            </w:pPr>
          </w:p>
        </w:tc>
        <w:tc>
          <w:tcPr>
            <w:tcW w:w="943" w:type="pct"/>
            <w:tcBorders>
              <w:top w:val="single" w:color="auto" w:sz="4" w:space="0"/>
            </w:tcBorders>
            <w:vAlign w:val="center"/>
          </w:tcPr>
          <w:p w14:paraId="4EE9FC67">
            <w:pPr>
              <w:keepNext w:val="0"/>
              <w:keepLines w:val="0"/>
              <w:pageBreakBefore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无废水外排</w:t>
            </w:r>
          </w:p>
        </w:tc>
      </w:tr>
      <w:tr w14:paraId="51C96A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349" w:type="pct"/>
            <w:shd w:val="clear" w:color="auto" w:fill="auto"/>
            <w:vAlign w:val="center"/>
          </w:tcPr>
          <w:p w14:paraId="1E921D3F">
            <w:pPr>
              <w:keepNext w:val="0"/>
              <w:keepLines w:val="0"/>
              <w:pageBreakBefore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13</w:t>
            </w:r>
          </w:p>
        </w:tc>
        <w:tc>
          <w:tcPr>
            <w:tcW w:w="1669" w:type="pct"/>
            <w:vAlign w:val="center"/>
          </w:tcPr>
          <w:p w14:paraId="29CB3E7C">
            <w:pPr>
              <w:keepNext w:val="0"/>
              <w:keepLines w:val="0"/>
              <w:pageBreakBefore w:val="0"/>
              <w:kinsoku/>
              <w:wordWrap/>
              <w:overflowPunct/>
              <w:topLinePunct w:val="0"/>
              <w:autoSpaceDE/>
              <w:autoSpaceDN/>
              <w:bidi w:val="0"/>
              <w:adjustRightInd w:val="0"/>
              <w:snapToGrid w:val="0"/>
              <w:spacing w:line="320" w:lineRule="exact"/>
              <w:ind w:left="0" w:leftChars="0"/>
              <w:jc w:val="left"/>
              <w:textAlignment w:val="auto"/>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spacing w:val="-4"/>
                <w:sz w:val="21"/>
                <w:szCs w:val="21"/>
              </w:rPr>
              <w:t>施工</w:t>
            </w:r>
            <w:r>
              <w:rPr>
                <w:rFonts w:hint="default" w:ascii="Times New Roman" w:hAnsi="Times New Roman" w:cs="Times New Roman" w:eastAsiaTheme="minorEastAsia"/>
                <w:color w:val="auto"/>
                <w:sz w:val="21"/>
                <w:szCs w:val="21"/>
              </w:rPr>
              <w:t>土方回填、</w:t>
            </w:r>
            <w:r>
              <w:rPr>
                <w:rFonts w:hint="default" w:ascii="Times New Roman" w:hAnsi="Times New Roman" w:cs="Times New Roman" w:eastAsiaTheme="minorEastAsia"/>
                <w:color w:val="auto"/>
                <w:spacing w:val="-4"/>
                <w:sz w:val="21"/>
                <w:szCs w:val="21"/>
              </w:rPr>
              <w:t>护坡、</w:t>
            </w:r>
            <w:r>
              <w:rPr>
                <w:rFonts w:hint="default" w:ascii="Times New Roman" w:hAnsi="Times New Roman" w:cs="Times New Roman" w:eastAsiaTheme="minorEastAsia"/>
                <w:color w:val="auto"/>
                <w:sz w:val="21"/>
                <w:szCs w:val="21"/>
              </w:rPr>
              <w:t>平整及迹地恢复；</w:t>
            </w:r>
            <w:r>
              <w:rPr>
                <w:rFonts w:hint="default" w:ascii="Times New Roman" w:hAnsi="Times New Roman" w:cs="Times New Roman" w:eastAsiaTheme="minorEastAsia"/>
                <w:color w:val="auto"/>
                <w:sz w:val="21"/>
                <w:szCs w:val="21"/>
                <w:lang w:val="en-US" w:eastAsia="zh-CN"/>
              </w:rPr>
              <w:t>废包装材料集中收集，外售综合利用。</w:t>
            </w:r>
          </w:p>
        </w:tc>
        <w:tc>
          <w:tcPr>
            <w:tcW w:w="521" w:type="pct"/>
            <w:vMerge w:val="continue"/>
            <w:vAlign w:val="center"/>
          </w:tcPr>
          <w:p w14:paraId="6146A64E">
            <w:pPr>
              <w:keepNext w:val="0"/>
              <w:keepLines w:val="0"/>
              <w:pageBreakBefore w:val="0"/>
              <w:widowControl/>
              <w:kinsoku/>
              <w:wordWrap/>
              <w:overflowPunct/>
              <w:topLinePunct w:val="0"/>
              <w:autoSpaceDE/>
              <w:autoSpaceDN/>
              <w:bidi w:val="0"/>
              <w:snapToGrid w:val="0"/>
              <w:spacing w:line="320" w:lineRule="exact"/>
              <w:ind w:left="0" w:leftChars="0"/>
              <w:jc w:val="left"/>
              <w:textAlignment w:val="auto"/>
              <w:rPr>
                <w:rFonts w:hint="default" w:ascii="Times New Roman" w:hAnsi="Times New Roman" w:cs="Times New Roman" w:eastAsiaTheme="minorEastAsia"/>
                <w:color w:val="auto"/>
                <w:sz w:val="21"/>
                <w:szCs w:val="21"/>
              </w:rPr>
            </w:pPr>
          </w:p>
        </w:tc>
        <w:tc>
          <w:tcPr>
            <w:tcW w:w="405" w:type="pct"/>
            <w:vMerge w:val="continue"/>
            <w:vAlign w:val="center"/>
          </w:tcPr>
          <w:p w14:paraId="7E9E30B9">
            <w:pPr>
              <w:keepNext w:val="0"/>
              <w:keepLines w:val="0"/>
              <w:pageBreakBefore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color w:val="auto"/>
                <w:sz w:val="21"/>
                <w:szCs w:val="21"/>
              </w:rPr>
            </w:pPr>
          </w:p>
        </w:tc>
        <w:tc>
          <w:tcPr>
            <w:tcW w:w="421" w:type="pct"/>
            <w:vMerge w:val="continue"/>
            <w:vAlign w:val="center"/>
          </w:tcPr>
          <w:p w14:paraId="6BC186C6">
            <w:pPr>
              <w:keepNext w:val="0"/>
              <w:keepLines w:val="0"/>
              <w:pageBreakBefore w:val="0"/>
              <w:widowControl/>
              <w:kinsoku/>
              <w:wordWrap/>
              <w:overflowPunct/>
              <w:topLinePunct w:val="0"/>
              <w:autoSpaceDE/>
              <w:autoSpaceDN/>
              <w:bidi w:val="0"/>
              <w:snapToGrid w:val="0"/>
              <w:spacing w:line="320" w:lineRule="exact"/>
              <w:ind w:left="0" w:leftChars="0"/>
              <w:jc w:val="left"/>
              <w:textAlignment w:val="auto"/>
              <w:rPr>
                <w:rFonts w:hint="default" w:ascii="Times New Roman" w:hAnsi="Times New Roman" w:cs="Times New Roman" w:eastAsiaTheme="minorEastAsia"/>
                <w:color w:val="auto"/>
                <w:sz w:val="21"/>
                <w:szCs w:val="21"/>
              </w:rPr>
            </w:pPr>
          </w:p>
        </w:tc>
        <w:tc>
          <w:tcPr>
            <w:tcW w:w="689" w:type="pct"/>
            <w:vMerge w:val="continue"/>
            <w:vAlign w:val="center"/>
          </w:tcPr>
          <w:p w14:paraId="4B524C4C">
            <w:pPr>
              <w:keepNext w:val="0"/>
              <w:keepLines w:val="0"/>
              <w:pageBreakBefore w:val="0"/>
              <w:widowControl/>
              <w:kinsoku/>
              <w:wordWrap/>
              <w:overflowPunct/>
              <w:topLinePunct w:val="0"/>
              <w:autoSpaceDE/>
              <w:autoSpaceDN/>
              <w:bidi w:val="0"/>
              <w:snapToGrid w:val="0"/>
              <w:spacing w:line="320" w:lineRule="exact"/>
              <w:ind w:left="0" w:leftChars="0"/>
              <w:jc w:val="left"/>
              <w:textAlignment w:val="auto"/>
              <w:rPr>
                <w:rFonts w:hint="default" w:ascii="Times New Roman" w:hAnsi="Times New Roman" w:cs="Times New Roman" w:eastAsiaTheme="minorEastAsia"/>
                <w:color w:val="auto"/>
                <w:sz w:val="21"/>
                <w:szCs w:val="21"/>
              </w:rPr>
            </w:pPr>
          </w:p>
        </w:tc>
        <w:tc>
          <w:tcPr>
            <w:tcW w:w="943" w:type="pct"/>
            <w:vAlign w:val="center"/>
          </w:tcPr>
          <w:p w14:paraId="756EE72C">
            <w:pPr>
              <w:keepNext w:val="0"/>
              <w:keepLines w:val="0"/>
              <w:pageBreakBefore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固废均得到有效处置，施工迹地得以恢复</w:t>
            </w:r>
          </w:p>
        </w:tc>
      </w:tr>
      <w:tr w14:paraId="3EA07D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349" w:type="pct"/>
            <w:vAlign w:val="center"/>
          </w:tcPr>
          <w:p w14:paraId="082E153B">
            <w:pPr>
              <w:keepNext w:val="0"/>
              <w:keepLines w:val="0"/>
              <w:pageBreakBefore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14</w:t>
            </w:r>
          </w:p>
        </w:tc>
        <w:tc>
          <w:tcPr>
            <w:tcW w:w="1669" w:type="pct"/>
            <w:vAlign w:val="center"/>
          </w:tcPr>
          <w:p w14:paraId="70F0DAD0">
            <w:pPr>
              <w:keepNext w:val="0"/>
              <w:keepLines w:val="0"/>
              <w:pageBreakBefore w:val="0"/>
              <w:kinsoku/>
              <w:wordWrap/>
              <w:overflowPunct/>
              <w:topLinePunct w:val="0"/>
              <w:autoSpaceDE/>
              <w:autoSpaceDN/>
              <w:bidi w:val="0"/>
              <w:adjustRightInd w:val="0"/>
              <w:snapToGrid w:val="0"/>
              <w:spacing w:line="320" w:lineRule="exact"/>
              <w:ind w:left="0" w:leftChars="0"/>
              <w:jc w:val="left"/>
              <w:textAlignment w:val="auto"/>
              <w:rPr>
                <w:rFonts w:hint="default" w:ascii="Times New Roman" w:hAnsi="Times New Roman" w:cs="Times New Roman" w:eastAsiaTheme="minorEastAsia"/>
                <w:color w:val="auto"/>
                <w:kern w:val="2"/>
                <w:sz w:val="21"/>
                <w:szCs w:val="21"/>
                <w:lang w:eastAsia="zh-CN"/>
              </w:rPr>
            </w:pPr>
            <w:r>
              <w:rPr>
                <w:rFonts w:hint="default" w:ascii="Times New Roman" w:hAnsi="Times New Roman" w:cs="Times New Roman" w:eastAsiaTheme="minorEastAsia"/>
                <w:color w:val="auto"/>
                <w:sz w:val="21"/>
                <w:szCs w:val="21"/>
                <w:lang w:val="en-US" w:eastAsia="zh-CN"/>
              </w:rPr>
              <w:t>禁止向</w:t>
            </w:r>
            <w:r>
              <w:rPr>
                <w:rFonts w:hint="eastAsia" w:cs="Times New Roman" w:eastAsiaTheme="minorEastAsia"/>
                <w:color w:val="auto"/>
                <w:sz w:val="21"/>
                <w:szCs w:val="21"/>
                <w:lang w:val="en-US" w:eastAsia="zh-CN"/>
              </w:rPr>
              <w:t>附近</w:t>
            </w:r>
            <w:r>
              <w:rPr>
                <w:rFonts w:hint="default" w:ascii="Times New Roman" w:hAnsi="Times New Roman" w:cs="Times New Roman" w:eastAsiaTheme="minorEastAsia"/>
                <w:color w:val="auto"/>
                <w:sz w:val="21"/>
                <w:szCs w:val="21"/>
              </w:rPr>
              <w:t>水体倾倒</w:t>
            </w:r>
            <w:r>
              <w:rPr>
                <w:rFonts w:hint="default" w:ascii="Times New Roman" w:hAnsi="Times New Roman" w:cs="Times New Roman" w:eastAsiaTheme="minorEastAsia"/>
                <w:color w:val="auto"/>
                <w:sz w:val="21"/>
                <w:szCs w:val="21"/>
                <w:lang w:val="en-US" w:eastAsia="zh-CN"/>
              </w:rPr>
              <w:t>施工期固体废物</w:t>
            </w:r>
            <w:r>
              <w:rPr>
                <w:rFonts w:hint="default" w:ascii="Times New Roman" w:hAnsi="Times New Roman" w:cs="Times New Roman" w:eastAsiaTheme="minorEastAsia"/>
                <w:color w:val="auto"/>
                <w:sz w:val="21"/>
                <w:szCs w:val="21"/>
                <w:lang w:eastAsia="zh-CN"/>
              </w:rPr>
              <w:t>。</w:t>
            </w:r>
          </w:p>
        </w:tc>
        <w:tc>
          <w:tcPr>
            <w:tcW w:w="521" w:type="pct"/>
            <w:vAlign w:val="center"/>
          </w:tcPr>
          <w:p w14:paraId="176A0939">
            <w:pPr>
              <w:keepNext w:val="0"/>
              <w:keepLines w:val="0"/>
              <w:pageBreakBefore w:val="0"/>
              <w:widowControl/>
              <w:kinsoku/>
              <w:wordWrap/>
              <w:overflowPunct/>
              <w:topLinePunct w:val="0"/>
              <w:autoSpaceDE/>
              <w:autoSpaceDN/>
              <w:bidi w:val="0"/>
              <w:snapToGrid w:val="0"/>
              <w:spacing w:line="320" w:lineRule="exact"/>
              <w:ind w:left="0" w:leftChars="0"/>
              <w:jc w:val="center"/>
              <w:textAlignment w:val="auto"/>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乌鲁木齐河</w:t>
            </w:r>
          </w:p>
        </w:tc>
        <w:tc>
          <w:tcPr>
            <w:tcW w:w="405" w:type="pct"/>
            <w:vMerge w:val="continue"/>
            <w:vAlign w:val="center"/>
          </w:tcPr>
          <w:p w14:paraId="647E6354">
            <w:pPr>
              <w:keepNext w:val="0"/>
              <w:keepLines w:val="0"/>
              <w:pageBreakBefore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color w:val="auto"/>
                <w:sz w:val="21"/>
                <w:szCs w:val="21"/>
              </w:rPr>
            </w:pPr>
          </w:p>
        </w:tc>
        <w:tc>
          <w:tcPr>
            <w:tcW w:w="421" w:type="pct"/>
            <w:vMerge w:val="continue"/>
            <w:vAlign w:val="center"/>
          </w:tcPr>
          <w:p w14:paraId="79621047">
            <w:pPr>
              <w:keepNext w:val="0"/>
              <w:keepLines w:val="0"/>
              <w:pageBreakBefore w:val="0"/>
              <w:widowControl/>
              <w:kinsoku/>
              <w:wordWrap/>
              <w:overflowPunct/>
              <w:topLinePunct w:val="0"/>
              <w:autoSpaceDE/>
              <w:autoSpaceDN/>
              <w:bidi w:val="0"/>
              <w:snapToGrid w:val="0"/>
              <w:spacing w:line="320" w:lineRule="exact"/>
              <w:ind w:left="0" w:leftChars="0"/>
              <w:jc w:val="left"/>
              <w:textAlignment w:val="auto"/>
              <w:rPr>
                <w:rFonts w:hint="default" w:ascii="Times New Roman" w:hAnsi="Times New Roman" w:cs="Times New Roman" w:eastAsiaTheme="minorEastAsia"/>
                <w:color w:val="auto"/>
                <w:sz w:val="21"/>
                <w:szCs w:val="21"/>
              </w:rPr>
            </w:pPr>
          </w:p>
        </w:tc>
        <w:tc>
          <w:tcPr>
            <w:tcW w:w="689" w:type="pct"/>
            <w:vMerge w:val="continue"/>
            <w:vAlign w:val="center"/>
          </w:tcPr>
          <w:p w14:paraId="2A07FD6D">
            <w:pPr>
              <w:keepNext w:val="0"/>
              <w:keepLines w:val="0"/>
              <w:pageBreakBefore w:val="0"/>
              <w:widowControl/>
              <w:kinsoku/>
              <w:wordWrap/>
              <w:overflowPunct/>
              <w:topLinePunct w:val="0"/>
              <w:autoSpaceDE/>
              <w:autoSpaceDN/>
              <w:bidi w:val="0"/>
              <w:snapToGrid w:val="0"/>
              <w:spacing w:line="320" w:lineRule="exact"/>
              <w:ind w:left="0" w:leftChars="0"/>
              <w:jc w:val="left"/>
              <w:textAlignment w:val="auto"/>
              <w:rPr>
                <w:rFonts w:hint="default" w:ascii="Times New Roman" w:hAnsi="Times New Roman" w:cs="Times New Roman" w:eastAsiaTheme="minorEastAsia"/>
                <w:color w:val="auto"/>
                <w:sz w:val="21"/>
                <w:szCs w:val="21"/>
              </w:rPr>
            </w:pPr>
          </w:p>
        </w:tc>
        <w:tc>
          <w:tcPr>
            <w:tcW w:w="943" w:type="pct"/>
            <w:vAlign w:val="center"/>
          </w:tcPr>
          <w:p w14:paraId="2E7BB029">
            <w:pPr>
              <w:keepNext w:val="0"/>
              <w:keepLines w:val="0"/>
              <w:pageBreakBefore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不污染水环境质量</w:t>
            </w:r>
          </w:p>
        </w:tc>
      </w:tr>
      <w:tr w14:paraId="54CEF5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349" w:type="pct"/>
            <w:vAlign w:val="center"/>
          </w:tcPr>
          <w:p w14:paraId="72BD3FC9">
            <w:pPr>
              <w:keepNext w:val="0"/>
              <w:keepLines w:val="0"/>
              <w:pageBreakBefore w:val="0"/>
              <w:widowControl/>
              <w:kinsoku/>
              <w:wordWrap/>
              <w:overflowPunct/>
              <w:topLinePunct w:val="0"/>
              <w:autoSpaceDE/>
              <w:autoSpaceDN/>
              <w:bidi w:val="0"/>
              <w:snapToGrid w:val="0"/>
              <w:spacing w:line="320" w:lineRule="exact"/>
              <w:ind w:left="0" w:left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15</w:t>
            </w:r>
          </w:p>
        </w:tc>
        <w:tc>
          <w:tcPr>
            <w:tcW w:w="1669" w:type="pct"/>
            <w:vAlign w:val="center"/>
          </w:tcPr>
          <w:p w14:paraId="1F0ED543">
            <w:pPr>
              <w:keepNext w:val="0"/>
              <w:keepLines w:val="0"/>
              <w:pageBreakBefore w:val="0"/>
              <w:widowControl/>
              <w:kinsoku/>
              <w:wordWrap/>
              <w:overflowPunct/>
              <w:topLinePunct w:val="0"/>
              <w:autoSpaceDE/>
              <w:autoSpaceDN/>
              <w:bidi w:val="0"/>
              <w:snapToGrid w:val="0"/>
              <w:spacing w:line="320" w:lineRule="exact"/>
              <w:ind w:left="0" w:left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严禁损毁、涂改、覆盖或者擅自移动饮用水水源保护区的地理界标、警示标志和隔离防护设施</w:t>
            </w:r>
          </w:p>
        </w:tc>
        <w:tc>
          <w:tcPr>
            <w:tcW w:w="521" w:type="pct"/>
            <w:vMerge w:val="restart"/>
            <w:vAlign w:val="center"/>
          </w:tcPr>
          <w:p w14:paraId="5CE0A4D2">
            <w:pPr>
              <w:keepNext w:val="0"/>
              <w:keepLines w:val="0"/>
              <w:pageBreakBefore w:val="0"/>
              <w:widowControl/>
              <w:kinsoku/>
              <w:wordWrap/>
              <w:overflowPunct/>
              <w:topLinePunct w:val="0"/>
              <w:autoSpaceDE/>
              <w:autoSpaceDN/>
              <w:bidi w:val="0"/>
              <w:snapToGrid w:val="0"/>
              <w:spacing w:line="320" w:lineRule="exact"/>
              <w:ind w:left="0" w:left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水源地保护区范围</w:t>
            </w:r>
          </w:p>
        </w:tc>
        <w:tc>
          <w:tcPr>
            <w:tcW w:w="405" w:type="pct"/>
            <w:vMerge w:val="continue"/>
            <w:vAlign w:val="center"/>
          </w:tcPr>
          <w:p w14:paraId="0E3F6E4E">
            <w:pPr>
              <w:keepNext w:val="0"/>
              <w:keepLines w:val="0"/>
              <w:pageBreakBefore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color w:val="auto"/>
                <w:sz w:val="21"/>
                <w:szCs w:val="21"/>
              </w:rPr>
            </w:pPr>
          </w:p>
        </w:tc>
        <w:tc>
          <w:tcPr>
            <w:tcW w:w="421" w:type="pct"/>
            <w:vMerge w:val="continue"/>
            <w:vAlign w:val="center"/>
          </w:tcPr>
          <w:p w14:paraId="143CFBAD">
            <w:pPr>
              <w:keepNext w:val="0"/>
              <w:keepLines w:val="0"/>
              <w:pageBreakBefore w:val="0"/>
              <w:widowControl/>
              <w:kinsoku/>
              <w:wordWrap/>
              <w:overflowPunct/>
              <w:topLinePunct w:val="0"/>
              <w:autoSpaceDE/>
              <w:autoSpaceDN/>
              <w:bidi w:val="0"/>
              <w:snapToGrid w:val="0"/>
              <w:spacing w:line="320" w:lineRule="exact"/>
              <w:ind w:left="0" w:leftChars="0"/>
              <w:jc w:val="left"/>
              <w:textAlignment w:val="auto"/>
              <w:rPr>
                <w:rFonts w:hint="default" w:ascii="Times New Roman" w:hAnsi="Times New Roman" w:cs="Times New Roman" w:eastAsiaTheme="minorEastAsia"/>
                <w:color w:val="auto"/>
                <w:sz w:val="21"/>
                <w:szCs w:val="21"/>
              </w:rPr>
            </w:pPr>
          </w:p>
        </w:tc>
        <w:tc>
          <w:tcPr>
            <w:tcW w:w="689" w:type="pct"/>
            <w:vMerge w:val="continue"/>
            <w:vAlign w:val="center"/>
          </w:tcPr>
          <w:p w14:paraId="4321168F">
            <w:pPr>
              <w:keepNext w:val="0"/>
              <w:keepLines w:val="0"/>
              <w:pageBreakBefore w:val="0"/>
              <w:widowControl/>
              <w:kinsoku/>
              <w:wordWrap/>
              <w:overflowPunct/>
              <w:topLinePunct w:val="0"/>
              <w:autoSpaceDE/>
              <w:autoSpaceDN/>
              <w:bidi w:val="0"/>
              <w:snapToGrid w:val="0"/>
              <w:spacing w:line="320" w:lineRule="exact"/>
              <w:ind w:left="0" w:leftChars="0"/>
              <w:jc w:val="left"/>
              <w:textAlignment w:val="auto"/>
              <w:rPr>
                <w:rFonts w:hint="default" w:ascii="Times New Roman" w:hAnsi="Times New Roman" w:cs="Times New Roman" w:eastAsiaTheme="minorEastAsia"/>
                <w:color w:val="auto"/>
                <w:sz w:val="21"/>
                <w:szCs w:val="21"/>
              </w:rPr>
            </w:pPr>
          </w:p>
        </w:tc>
        <w:tc>
          <w:tcPr>
            <w:tcW w:w="943" w:type="pct"/>
            <w:vMerge w:val="restart"/>
            <w:vAlign w:val="center"/>
          </w:tcPr>
          <w:p w14:paraId="49C8D9DB">
            <w:pPr>
              <w:keepNext w:val="0"/>
              <w:keepLines w:val="0"/>
              <w:pageBreakBefore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加强水源地保护</w:t>
            </w:r>
          </w:p>
        </w:tc>
      </w:tr>
      <w:tr w14:paraId="46F990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349" w:type="pct"/>
            <w:shd w:val="clear" w:color="auto" w:fill="auto"/>
            <w:vAlign w:val="center"/>
          </w:tcPr>
          <w:p w14:paraId="2D4A1F7D">
            <w:pPr>
              <w:keepNext w:val="0"/>
              <w:keepLines w:val="0"/>
              <w:pageBreakBefore w:val="0"/>
              <w:widowControl/>
              <w:kinsoku/>
              <w:wordWrap/>
              <w:overflowPunct/>
              <w:topLinePunct w:val="0"/>
              <w:autoSpaceDE/>
              <w:autoSpaceDN/>
              <w:bidi w:val="0"/>
              <w:snapToGrid w:val="0"/>
              <w:spacing w:line="320" w:lineRule="exact"/>
              <w:ind w:left="0" w:left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16</w:t>
            </w:r>
          </w:p>
        </w:tc>
        <w:tc>
          <w:tcPr>
            <w:tcW w:w="1669" w:type="pct"/>
            <w:vAlign w:val="center"/>
          </w:tcPr>
          <w:p w14:paraId="7FF56ED1">
            <w:pPr>
              <w:keepNext w:val="0"/>
              <w:keepLines w:val="0"/>
              <w:pageBreakBefore w:val="0"/>
              <w:widowControl/>
              <w:kinsoku/>
              <w:wordWrap/>
              <w:overflowPunct/>
              <w:topLinePunct w:val="0"/>
              <w:autoSpaceDE/>
              <w:autoSpaceDN/>
              <w:bidi w:val="0"/>
              <w:snapToGrid w:val="0"/>
              <w:spacing w:line="320" w:lineRule="exact"/>
              <w:ind w:left="0" w:left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风电场风机采用永磁风机、箱变采用干式变压器</w:t>
            </w:r>
          </w:p>
        </w:tc>
        <w:tc>
          <w:tcPr>
            <w:tcW w:w="521" w:type="pct"/>
            <w:vMerge w:val="continue"/>
            <w:vAlign w:val="center"/>
          </w:tcPr>
          <w:p w14:paraId="0C25D630">
            <w:pPr>
              <w:keepNext w:val="0"/>
              <w:keepLines w:val="0"/>
              <w:pageBreakBefore w:val="0"/>
              <w:widowControl/>
              <w:kinsoku/>
              <w:wordWrap/>
              <w:overflowPunct/>
              <w:topLinePunct w:val="0"/>
              <w:autoSpaceDE/>
              <w:autoSpaceDN/>
              <w:bidi w:val="0"/>
              <w:snapToGrid w:val="0"/>
              <w:spacing w:line="320" w:lineRule="exact"/>
              <w:ind w:left="0" w:leftChars="0"/>
              <w:jc w:val="center"/>
              <w:textAlignment w:val="auto"/>
              <w:rPr>
                <w:rFonts w:hint="default" w:ascii="Times New Roman" w:hAnsi="Times New Roman" w:cs="Times New Roman" w:eastAsiaTheme="minorEastAsia"/>
                <w:color w:val="auto"/>
                <w:sz w:val="21"/>
                <w:szCs w:val="21"/>
                <w:lang w:val="en-US" w:eastAsia="zh-CN"/>
              </w:rPr>
            </w:pPr>
          </w:p>
        </w:tc>
        <w:tc>
          <w:tcPr>
            <w:tcW w:w="405" w:type="pct"/>
            <w:vMerge w:val="continue"/>
            <w:vAlign w:val="center"/>
          </w:tcPr>
          <w:p w14:paraId="65F337E7">
            <w:pPr>
              <w:keepNext w:val="0"/>
              <w:keepLines w:val="0"/>
              <w:pageBreakBefore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color w:val="auto"/>
                <w:sz w:val="21"/>
                <w:szCs w:val="21"/>
              </w:rPr>
            </w:pPr>
          </w:p>
        </w:tc>
        <w:tc>
          <w:tcPr>
            <w:tcW w:w="421" w:type="pct"/>
            <w:vMerge w:val="continue"/>
            <w:vAlign w:val="center"/>
          </w:tcPr>
          <w:p w14:paraId="6561EB19">
            <w:pPr>
              <w:keepNext w:val="0"/>
              <w:keepLines w:val="0"/>
              <w:pageBreakBefore w:val="0"/>
              <w:widowControl/>
              <w:kinsoku/>
              <w:wordWrap/>
              <w:overflowPunct/>
              <w:topLinePunct w:val="0"/>
              <w:autoSpaceDE/>
              <w:autoSpaceDN/>
              <w:bidi w:val="0"/>
              <w:snapToGrid w:val="0"/>
              <w:spacing w:line="320" w:lineRule="exact"/>
              <w:ind w:left="0" w:leftChars="0"/>
              <w:jc w:val="left"/>
              <w:textAlignment w:val="auto"/>
              <w:rPr>
                <w:rFonts w:hint="default" w:ascii="Times New Roman" w:hAnsi="Times New Roman" w:cs="Times New Roman" w:eastAsiaTheme="minorEastAsia"/>
                <w:color w:val="auto"/>
                <w:sz w:val="21"/>
                <w:szCs w:val="21"/>
              </w:rPr>
            </w:pPr>
          </w:p>
        </w:tc>
        <w:tc>
          <w:tcPr>
            <w:tcW w:w="689" w:type="pct"/>
            <w:vMerge w:val="continue"/>
            <w:vAlign w:val="center"/>
          </w:tcPr>
          <w:p w14:paraId="03F8A06B">
            <w:pPr>
              <w:keepNext w:val="0"/>
              <w:keepLines w:val="0"/>
              <w:pageBreakBefore w:val="0"/>
              <w:widowControl/>
              <w:kinsoku/>
              <w:wordWrap/>
              <w:overflowPunct/>
              <w:topLinePunct w:val="0"/>
              <w:autoSpaceDE/>
              <w:autoSpaceDN/>
              <w:bidi w:val="0"/>
              <w:snapToGrid w:val="0"/>
              <w:spacing w:line="320" w:lineRule="exact"/>
              <w:ind w:left="0" w:leftChars="0"/>
              <w:jc w:val="left"/>
              <w:textAlignment w:val="auto"/>
              <w:rPr>
                <w:rFonts w:hint="default" w:ascii="Times New Roman" w:hAnsi="Times New Roman" w:cs="Times New Roman" w:eastAsiaTheme="minorEastAsia"/>
                <w:color w:val="auto"/>
                <w:sz w:val="21"/>
                <w:szCs w:val="21"/>
              </w:rPr>
            </w:pPr>
          </w:p>
        </w:tc>
        <w:tc>
          <w:tcPr>
            <w:tcW w:w="943" w:type="pct"/>
            <w:vMerge w:val="continue"/>
            <w:vAlign w:val="center"/>
          </w:tcPr>
          <w:p w14:paraId="69307085">
            <w:pPr>
              <w:keepNext w:val="0"/>
              <w:keepLines w:val="0"/>
              <w:pageBreakBefore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color w:val="auto"/>
                <w:sz w:val="21"/>
                <w:szCs w:val="21"/>
                <w:lang w:val="en-US" w:eastAsia="zh-CN"/>
              </w:rPr>
            </w:pPr>
          </w:p>
        </w:tc>
      </w:tr>
      <w:tr w14:paraId="5F0BC3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349" w:type="pct"/>
            <w:shd w:val="clear" w:color="auto" w:fill="auto"/>
            <w:vAlign w:val="center"/>
          </w:tcPr>
          <w:p w14:paraId="136F5E33">
            <w:pPr>
              <w:keepNext w:val="0"/>
              <w:keepLines w:val="0"/>
              <w:pageBreakBefore w:val="0"/>
              <w:widowControl/>
              <w:kinsoku/>
              <w:wordWrap/>
              <w:overflowPunct/>
              <w:topLinePunct w:val="0"/>
              <w:autoSpaceDE/>
              <w:autoSpaceDN/>
              <w:bidi w:val="0"/>
              <w:snapToGrid w:val="0"/>
              <w:spacing w:line="320" w:lineRule="exact"/>
              <w:ind w:left="0" w:left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w:t>
            </w:r>
            <w:r>
              <w:rPr>
                <w:rFonts w:hint="eastAsia" w:cs="Times New Roman" w:eastAsiaTheme="minorEastAsia"/>
                <w:color w:val="auto"/>
                <w:sz w:val="21"/>
                <w:szCs w:val="21"/>
                <w:lang w:val="en-US" w:eastAsia="zh-CN"/>
              </w:rPr>
              <w:t>7</w:t>
            </w:r>
          </w:p>
        </w:tc>
        <w:tc>
          <w:tcPr>
            <w:tcW w:w="1669" w:type="pct"/>
            <w:vAlign w:val="center"/>
          </w:tcPr>
          <w:p w14:paraId="22D4DC5B">
            <w:pPr>
              <w:keepNext w:val="0"/>
              <w:keepLines w:val="0"/>
              <w:pageBreakBefore w:val="0"/>
              <w:kinsoku/>
              <w:wordWrap/>
              <w:overflowPunct/>
              <w:topLinePunct w:val="0"/>
              <w:autoSpaceDE/>
              <w:autoSpaceDN/>
              <w:bidi w:val="0"/>
              <w:snapToGrid w:val="0"/>
              <w:spacing w:line="320" w:lineRule="exact"/>
              <w:ind w:left="0" w:leftChars="0" w:firstLine="0" w:firstLineChars="0"/>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禁止在</w:t>
            </w:r>
            <w:r>
              <w:rPr>
                <w:rFonts w:hint="eastAsia" w:ascii="Times New Roman" w:hAnsi="Times New Roman" w:cs="Times New Roman" w:eastAsiaTheme="minorEastAsia"/>
                <w:b w:val="0"/>
                <w:bCs w:val="0"/>
                <w:color w:val="auto"/>
                <w:spacing w:val="5"/>
                <w:position w:val="1"/>
                <w:sz w:val="21"/>
                <w:szCs w:val="21"/>
                <w:highlight w:val="none"/>
                <w:lang w:val="en-US" w:eastAsia="zh-CN"/>
              </w:rPr>
              <w:t>西山地下饮用水源地二级保护区</w:t>
            </w:r>
            <w:r>
              <w:rPr>
                <w:rFonts w:hint="eastAsia" w:ascii="Times New Roman" w:hAnsi="Times New Roman" w:cs="Times New Roman"/>
                <w:b w:val="0"/>
                <w:bCs w:val="0"/>
                <w:color w:val="auto"/>
                <w:spacing w:val="5"/>
                <w:position w:val="1"/>
                <w:sz w:val="21"/>
                <w:szCs w:val="21"/>
                <w:highlight w:val="none"/>
                <w:lang w:val="en-US" w:eastAsia="zh-CN"/>
              </w:rPr>
              <w:t>、</w:t>
            </w:r>
            <w:r>
              <w:rPr>
                <w:rFonts w:hint="eastAsia" w:ascii="Times New Roman" w:hAnsi="Times New Roman" w:cs="Times New Roman" w:eastAsiaTheme="minorEastAsia"/>
                <w:b w:val="0"/>
                <w:bCs w:val="0"/>
                <w:color w:val="auto"/>
                <w:spacing w:val="5"/>
                <w:position w:val="1"/>
                <w:sz w:val="21"/>
                <w:szCs w:val="21"/>
                <w:highlight w:val="none"/>
                <w:lang w:val="en-US" w:eastAsia="zh-CN"/>
              </w:rPr>
              <w:t>甘河子（含铁路专供）地下饮用水源地二级保护区</w:t>
            </w:r>
            <w:r>
              <w:rPr>
                <w:rFonts w:hint="default" w:ascii="Times New Roman" w:hAnsi="Times New Roman" w:cs="Times New Roman" w:eastAsiaTheme="minorEastAsia"/>
                <w:color w:val="auto"/>
                <w:sz w:val="21"/>
                <w:szCs w:val="21"/>
                <w:lang w:val="en-US" w:eastAsia="zh-CN"/>
              </w:rPr>
              <w:t>设置排放口、禁止向水源地二级保护区和准保护区排放固体废物</w:t>
            </w:r>
          </w:p>
        </w:tc>
        <w:tc>
          <w:tcPr>
            <w:tcW w:w="521" w:type="pct"/>
            <w:vMerge w:val="continue"/>
            <w:vAlign w:val="center"/>
          </w:tcPr>
          <w:p w14:paraId="57009D86">
            <w:pPr>
              <w:keepNext w:val="0"/>
              <w:keepLines w:val="0"/>
              <w:pageBreakBefore w:val="0"/>
              <w:widowControl/>
              <w:kinsoku/>
              <w:wordWrap/>
              <w:overflowPunct/>
              <w:topLinePunct w:val="0"/>
              <w:autoSpaceDE/>
              <w:autoSpaceDN/>
              <w:bidi w:val="0"/>
              <w:snapToGrid w:val="0"/>
              <w:spacing w:line="320" w:lineRule="exact"/>
              <w:ind w:left="0" w:leftChars="0"/>
              <w:jc w:val="center"/>
              <w:textAlignment w:val="auto"/>
              <w:rPr>
                <w:rFonts w:hint="default" w:ascii="Times New Roman" w:hAnsi="Times New Roman" w:cs="Times New Roman" w:eastAsiaTheme="minorEastAsia"/>
                <w:color w:val="auto"/>
                <w:sz w:val="21"/>
                <w:szCs w:val="21"/>
                <w:lang w:val="en-US" w:eastAsia="zh-CN"/>
              </w:rPr>
            </w:pPr>
          </w:p>
        </w:tc>
        <w:tc>
          <w:tcPr>
            <w:tcW w:w="405" w:type="pct"/>
            <w:vMerge w:val="continue"/>
            <w:vAlign w:val="center"/>
          </w:tcPr>
          <w:p w14:paraId="4BF8793C">
            <w:pPr>
              <w:keepNext w:val="0"/>
              <w:keepLines w:val="0"/>
              <w:pageBreakBefore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color w:val="auto"/>
                <w:sz w:val="21"/>
                <w:szCs w:val="21"/>
              </w:rPr>
            </w:pPr>
          </w:p>
        </w:tc>
        <w:tc>
          <w:tcPr>
            <w:tcW w:w="421" w:type="pct"/>
            <w:vMerge w:val="continue"/>
            <w:vAlign w:val="center"/>
          </w:tcPr>
          <w:p w14:paraId="683063F7">
            <w:pPr>
              <w:keepNext w:val="0"/>
              <w:keepLines w:val="0"/>
              <w:pageBreakBefore w:val="0"/>
              <w:widowControl/>
              <w:kinsoku/>
              <w:wordWrap/>
              <w:overflowPunct/>
              <w:topLinePunct w:val="0"/>
              <w:autoSpaceDE/>
              <w:autoSpaceDN/>
              <w:bidi w:val="0"/>
              <w:snapToGrid w:val="0"/>
              <w:spacing w:line="320" w:lineRule="exact"/>
              <w:ind w:left="0" w:leftChars="0"/>
              <w:jc w:val="left"/>
              <w:textAlignment w:val="auto"/>
              <w:rPr>
                <w:rFonts w:hint="default" w:ascii="Times New Roman" w:hAnsi="Times New Roman" w:cs="Times New Roman" w:eastAsiaTheme="minorEastAsia"/>
                <w:color w:val="auto"/>
                <w:sz w:val="21"/>
                <w:szCs w:val="21"/>
              </w:rPr>
            </w:pPr>
          </w:p>
        </w:tc>
        <w:tc>
          <w:tcPr>
            <w:tcW w:w="689" w:type="pct"/>
            <w:vMerge w:val="continue"/>
            <w:vAlign w:val="center"/>
          </w:tcPr>
          <w:p w14:paraId="2B2EDEC1">
            <w:pPr>
              <w:keepNext w:val="0"/>
              <w:keepLines w:val="0"/>
              <w:pageBreakBefore w:val="0"/>
              <w:widowControl/>
              <w:kinsoku/>
              <w:wordWrap/>
              <w:overflowPunct/>
              <w:topLinePunct w:val="0"/>
              <w:autoSpaceDE/>
              <w:autoSpaceDN/>
              <w:bidi w:val="0"/>
              <w:snapToGrid w:val="0"/>
              <w:spacing w:line="320" w:lineRule="exact"/>
              <w:ind w:left="0" w:leftChars="0"/>
              <w:jc w:val="left"/>
              <w:textAlignment w:val="auto"/>
              <w:rPr>
                <w:rFonts w:hint="default" w:ascii="Times New Roman" w:hAnsi="Times New Roman" w:cs="Times New Roman" w:eastAsiaTheme="minorEastAsia"/>
                <w:color w:val="auto"/>
                <w:sz w:val="21"/>
                <w:szCs w:val="21"/>
              </w:rPr>
            </w:pPr>
          </w:p>
        </w:tc>
        <w:tc>
          <w:tcPr>
            <w:tcW w:w="943" w:type="pct"/>
            <w:vAlign w:val="center"/>
          </w:tcPr>
          <w:p w14:paraId="250FF44F">
            <w:pPr>
              <w:keepNext w:val="0"/>
              <w:keepLines w:val="0"/>
              <w:pageBreakBefore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无废水外排</w:t>
            </w: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lang w:val="en-US" w:eastAsia="zh-CN"/>
              </w:rPr>
              <w:t>固体废物妥善处置</w:t>
            </w:r>
          </w:p>
        </w:tc>
      </w:tr>
      <w:tr w14:paraId="3E05D4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349" w:type="pct"/>
            <w:shd w:val="clear" w:color="auto" w:fill="auto"/>
            <w:vAlign w:val="center"/>
          </w:tcPr>
          <w:p w14:paraId="1DB4E160">
            <w:pPr>
              <w:keepNext w:val="0"/>
              <w:keepLines w:val="0"/>
              <w:pageBreakBefore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18</w:t>
            </w:r>
          </w:p>
        </w:tc>
        <w:tc>
          <w:tcPr>
            <w:tcW w:w="1669" w:type="pct"/>
            <w:vAlign w:val="center"/>
          </w:tcPr>
          <w:p w14:paraId="2B6D3869">
            <w:pPr>
              <w:keepNext w:val="0"/>
              <w:keepLines w:val="0"/>
              <w:pageBreakBefore w:val="0"/>
              <w:kinsoku/>
              <w:wordWrap/>
              <w:overflowPunct/>
              <w:topLinePunct w:val="0"/>
              <w:autoSpaceDE/>
              <w:autoSpaceDN/>
              <w:bidi w:val="0"/>
              <w:adjustRightInd w:val="0"/>
              <w:snapToGrid w:val="0"/>
              <w:spacing w:line="320" w:lineRule="exact"/>
              <w:ind w:left="0" w:leftChars="0"/>
              <w:jc w:val="left"/>
              <w:textAlignment w:val="auto"/>
              <w:rPr>
                <w:rFonts w:hint="default" w:ascii="Times New Roman" w:hAnsi="Times New Roman" w:cs="Times New Roman" w:eastAsiaTheme="minorEastAsia"/>
                <w:color w:val="auto"/>
                <w:kern w:val="2"/>
                <w:sz w:val="21"/>
                <w:szCs w:val="21"/>
                <w:lang w:val="en-US" w:eastAsia="zh-CN"/>
              </w:rPr>
            </w:pPr>
            <w:r>
              <w:rPr>
                <w:rFonts w:hint="default" w:ascii="Times New Roman" w:hAnsi="Times New Roman" w:cs="Times New Roman" w:eastAsiaTheme="minorEastAsia"/>
                <w:color w:val="auto"/>
                <w:sz w:val="21"/>
                <w:szCs w:val="21"/>
              </w:rPr>
              <w:t>加强宣传教育，设置</w:t>
            </w:r>
            <w:r>
              <w:rPr>
                <w:rFonts w:hint="default" w:ascii="Times New Roman" w:hAnsi="Times New Roman" w:cs="Times New Roman" w:eastAsiaTheme="minorEastAsia"/>
                <w:color w:val="auto"/>
                <w:sz w:val="21"/>
                <w:szCs w:val="21"/>
                <w:lang w:val="en-US" w:eastAsia="zh-CN"/>
              </w:rPr>
              <w:t>水源地警示标牌、鹅喉羚、灰鹤等受保护野生动物</w:t>
            </w:r>
            <w:r>
              <w:rPr>
                <w:rFonts w:hint="default" w:ascii="Times New Roman" w:hAnsi="Times New Roman" w:cs="Times New Roman" w:eastAsiaTheme="minorEastAsia"/>
                <w:color w:val="auto"/>
                <w:sz w:val="21"/>
                <w:szCs w:val="21"/>
              </w:rPr>
              <w:t>宣传牌。</w:t>
            </w:r>
            <w:r>
              <w:rPr>
                <w:rFonts w:hint="default" w:ascii="Times New Roman" w:hAnsi="Times New Roman" w:cs="Times New Roman" w:eastAsiaTheme="minorEastAsia"/>
                <w:color w:val="auto"/>
                <w:sz w:val="21"/>
                <w:szCs w:val="21"/>
                <w:lang w:val="en-US" w:eastAsia="zh-CN"/>
              </w:rPr>
              <w:t>设置环保宣传标牌。</w:t>
            </w:r>
          </w:p>
        </w:tc>
        <w:tc>
          <w:tcPr>
            <w:tcW w:w="521" w:type="pct"/>
            <w:vAlign w:val="center"/>
          </w:tcPr>
          <w:p w14:paraId="6F82678B">
            <w:pPr>
              <w:keepNext w:val="0"/>
              <w:keepLines w:val="0"/>
              <w:pageBreakBefore w:val="0"/>
              <w:widowControl/>
              <w:kinsoku/>
              <w:wordWrap/>
              <w:overflowPunct/>
              <w:topLinePunct w:val="0"/>
              <w:autoSpaceDE/>
              <w:autoSpaceDN/>
              <w:bidi w:val="0"/>
              <w:snapToGrid w:val="0"/>
              <w:spacing w:line="320" w:lineRule="exact"/>
              <w:ind w:left="0" w:left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工程施工场所</w:t>
            </w:r>
          </w:p>
        </w:tc>
        <w:tc>
          <w:tcPr>
            <w:tcW w:w="405" w:type="pct"/>
            <w:vMerge w:val="continue"/>
            <w:vAlign w:val="center"/>
          </w:tcPr>
          <w:p w14:paraId="687FD41C">
            <w:pPr>
              <w:keepNext w:val="0"/>
              <w:keepLines w:val="0"/>
              <w:pageBreakBefore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color w:val="auto"/>
                <w:sz w:val="21"/>
                <w:szCs w:val="21"/>
              </w:rPr>
            </w:pPr>
          </w:p>
        </w:tc>
        <w:tc>
          <w:tcPr>
            <w:tcW w:w="421" w:type="pct"/>
            <w:vMerge w:val="continue"/>
            <w:vAlign w:val="center"/>
          </w:tcPr>
          <w:p w14:paraId="6DAD23DD">
            <w:pPr>
              <w:keepNext w:val="0"/>
              <w:keepLines w:val="0"/>
              <w:pageBreakBefore w:val="0"/>
              <w:widowControl/>
              <w:kinsoku/>
              <w:wordWrap/>
              <w:overflowPunct/>
              <w:topLinePunct w:val="0"/>
              <w:autoSpaceDE/>
              <w:autoSpaceDN/>
              <w:bidi w:val="0"/>
              <w:snapToGrid w:val="0"/>
              <w:spacing w:line="320" w:lineRule="exact"/>
              <w:ind w:left="0" w:leftChars="0"/>
              <w:jc w:val="left"/>
              <w:textAlignment w:val="auto"/>
              <w:rPr>
                <w:rFonts w:hint="default" w:ascii="Times New Roman" w:hAnsi="Times New Roman" w:cs="Times New Roman" w:eastAsiaTheme="minorEastAsia"/>
                <w:color w:val="auto"/>
                <w:sz w:val="21"/>
                <w:szCs w:val="21"/>
              </w:rPr>
            </w:pPr>
          </w:p>
        </w:tc>
        <w:tc>
          <w:tcPr>
            <w:tcW w:w="689" w:type="pct"/>
            <w:vMerge w:val="continue"/>
            <w:vAlign w:val="center"/>
          </w:tcPr>
          <w:p w14:paraId="25A7E0EC">
            <w:pPr>
              <w:keepNext w:val="0"/>
              <w:keepLines w:val="0"/>
              <w:pageBreakBefore w:val="0"/>
              <w:widowControl/>
              <w:kinsoku/>
              <w:wordWrap/>
              <w:overflowPunct/>
              <w:topLinePunct w:val="0"/>
              <w:autoSpaceDE/>
              <w:autoSpaceDN/>
              <w:bidi w:val="0"/>
              <w:snapToGrid w:val="0"/>
              <w:spacing w:line="320" w:lineRule="exact"/>
              <w:ind w:left="0" w:leftChars="0"/>
              <w:jc w:val="left"/>
              <w:textAlignment w:val="auto"/>
              <w:rPr>
                <w:rFonts w:hint="default" w:ascii="Times New Roman" w:hAnsi="Times New Roman" w:cs="Times New Roman" w:eastAsiaTheme="minorEastAsia"/>
                <w:color w:val="auto"/>
                <w:sz w:val="21"/>
                <w:szCs w:val="21"/>
              </w:rPr>
            </w:pPr>
          </w:p>
        </w:tc>
        <w:tc>
          <w:tcPr>
            <w:tcW w:w="943" w:type="pct"/>
            <w:vMerge w:val="restart"/>
            <w:vAlign w:val="center"/>
          </w:tcPr>
          <w:p w14:paraId="61A495F3">
            <w:pPr>
              <w:keepNext w:val="0"/>
              <w:keepLines w:val="0"/>
              <w:pageBreakBefore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强化文明施工效果</w:t>
            </w:r>
          </w:p>
        </w:tc>
      </w:tr>
      <w:tr w14:paraId="75E3BE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349" w:type="pct"/>
            <w:shd w:val="clear" w:color="auto" w:fill="auto"/>
            <w:vAlign w:val="center"/>
          </w:tcPr>
          <w:p w14:paraId="24C88D6C">
            <w:pPr>
              <w:keepNext w:val="0"/>
              <w:keepLines w:val="0"/>
              <w:pageBreakBefore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19</w:t>
            </w:r>
          </w:p>
        </w:tc>
        <w:tc>
          <w:tcPr>
            <w:tcW w:w="1669" w:type="pct"/>
            <w:vAlign w:val="center"/>
          </w:tcPr>
          <w:p w14:paraId="1DDE832B">
            <w:pPr>
              <w:keepNext w:val="0"/>
              <w:keepLines w:val="0"/>
              <w:pageBreakBefore w:val="0"/>
              <w:kinsoku/>
              <w:wordWrap/>
              <w:overflowPunct/>
              <w:topLinePunct w:val="0"/>
              <w:autoSpaceDE/>
              <w:autoSpaceDN/>
              <w:bidi w:val="0"/>
              <w:adjustRightInd w:val="0"/>
              <w:snapToGrid w:val="0"/>
              <w:spacing w:line="320" w:lineRule="exact"/>
              <w:ind w:left="0" w:leftChars="0"/>
              <w:jc w:val="left"/>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清理平整场地并覆盖砾石恢复砾幕层防止水土流失，自然恢复植被。</w:t>
            </w:r>
          </w:p>
        </w:tc>
        <w:tc>
          <w:tcPr>
            <w:tcW w:w="521" w:type="pct"/>
            <w:vAlign w:val="center"/>
          </w:tcPr>
          <w:p w14:paraId="6C9F0FD5">
            <w:pPr>
              <w:keepNext w:val="0"/>
              <w:keepLines w:val="0"/>
              <w:pageBreakBefore w:val="0"/>
              <w:widowControl/>
              <w:kinsoku/>
              <w:wordWrap/>
              <w:overflowPunct/>
              <w:topLinePunct w:val="0"/>
              <w:autoSpaceDE/>
              <w:autoSpaceDN/>
              <w:bidi w:val="0"/>
              <w:snapToGrid w:val="0"/>
              <w:spacing w:line="320" w:lineRule="exact"/>
              <w:ind w:left="0" w:left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工程施工</w:t>
            </w:r>
            <w:r>
              <w:rPr>
                <w:rFonts w:hint="default" w:ascii="Times New Roman" w:hAnsi="Times New Roman" w:cs="Times New Roman" w:eastAsiaTheme="minorEastAsia"/>
                <w:color w:val="auto"/>
                <w:sz w:val="21"/>
                <w:szCs w:val="21"/>
                <w:lang w:val="en-US" w:eastAsia="zh-CN"/>
              </w:rPr>
              <w:t>区域</w:t>
            </w:r>
          </w:p>
        </w:tc>
        <w:tc>
          <w:tcPr>
            <w:tcW w:w="405" w:type="pct"/>
            <w:vMerge w:val="restart"/>
            <w:vAlign w:val="center"/>
          </w:tcPr>
          <w:p w14:paraId="1296A3DA">
            <w:pPr>
              <w:keepNext w:val="0"/>
              <w:keepLines w:val="0"/>
              <w:pageBreakBefore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施工期结束后</w:t>
            </w:r>
          </w:p>
        </w:tc>
        <w:tc>
          <w:tcPr>
            <w:tcW w:w="421" w:type="pct"/>
            <w:vMerge w:val="restart"/>
            <w:vAlign w:val="center"/>
          </w:tcPr>
          <w:p w14:paraId="0B7B7277">
            <w:pPr>
              <w:keepNext w:val="0"/>
              <w:keepLines w:val="0"/>
              <w:pageBreakBefore w:val="0"/>
              <w:widowControl/>
              <w:kinsoku/>
              <w:wordWrap/>
              <w:overflowPunct/>
              <w:topLinePunct w:val="0"/>
              <w:autoSpaceDE/>
              <w:autoSpaceDN/>
              <w:bidi w:val="0"/>
              <w:snapToGrid w:val="0"/>
              <w:spacing w:line="320" w:lineRule="exact"/>
              <w:ind w:left="0" w:leftChars="0"/>
              <w:jc w:val="left"/>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施工单位</w:t>
            </w:r>
          </w:p>
        </w:tc>
        <w:tc>
          <w:tcPr>
            <w:tcW w:w="689" w:type="pct"/>
            <w:vMerge w:val="continue"/>
            <w:vAlign w:val="center"/>
          </w:tcPr>
          <w:p w14:paraId="0AE157BA">
            <w:pPr>
              <w:keepNext w:val="0"/>
              <w:keepLines w:val="0"/>
              <w:pageBreakBefore w:val="0"/>
              <w:widowControl/>
              <w:kinsoku/>
              <w:wordWrap/>
              <w:overflowPunct/>
              <w:topLinePunct w:val="0"/>
              <w:autoSpaceDE/>
              <w:autoSpaceDN/>
              <w:bidi w:val="0"/>
              <w:snapToGrid w:val="0"/>
              <w:spacing w:line="320" w:lineRule="exact"/>
              <w:ind w:left="0" w:leftChars="0"/>
              <w:jc w:val="left"/>
              <w:textAlignment w:val="auto"/>
              <w:rPr>
                <w:rFonts w:hint="default" w:ascii="Times New Roman" w:hAnsi="Times New Roman" w:cs="Times New Roman" w:eastAsiaTheme="minorEastAsia"/>
                <w:color w:val="auto"/>
                <w:sz w:val="21"/>
                <w:szCs w:val="21"/>
              </w:rPr>
            </w:pPr>
          </w:p>
        </w:tc>
        <w:tc>
          <w:tcPr>
            <w:tcW w:w="943" w:type="pct"/>
            <w:vMerge w:val="restart"/>
            <w:vAlign w:val="center"/>
          </w:tcPr>
          <w:p w14:paraId="3EF7C290">
            <w:pPr>
              <w:keepNext w:val="0"/>
              <w:keepLines w:val="0"/>
              <w:pageBreakBefore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临时施工用地恢复，防止水土流失，恢复植被及生态环境</w:t>
            </w:r>
          </w:p>
        </w:tc>
      </w:tr>
      <w:tr w14:paraId="33D24C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349" w:type="pct"/>
            <w:shd w:val="clear" w:color="auto" w:fill="auto"/>
            <w:vAlign w:val="center"/>
          </w:tcPr>
          <w:p w14:paraId="335D5FB2">
            <w:pPr>
              <w:keepNext w:val="0"/>
              <w:keepLines w:val="0"/>
              <w:pageBreakBefore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20</w:t>
            </w:r>
          </w:p>
        </w:tc>
        <w:tc>
          <w:tcPr>
            <w:tcW w:w="1669" w:type="pct"/>
            <w:vAlign w:val="center"/>
          </w:tcPr>
          <w:p w14:paraId="6F059493">
            <w:pPr>
              <w:keepNext w:val="0"/>
              <w:keepLines w:val="0"/>
              <w:pageBreakBefore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临时施工道路留作运营期检修道路。</w:t>
            </w:r>
          </w:p>
        </w:tc>
        <w:tc>
          <w:tcPr>
            <w:tcW w:w="521" w:type="pct"/>
            <w:vAlign w:val="center"/>
          </w:tcPr>
          <w:p w14:paraId="36942505">
            <w:pPr>
              <w:keepNext w:val="0"/>
              <w:keepLines w:val="0"/>
              <w:pageBreakBefore w:val="0"/>
              <w:widowControl/>
              <w:kinsoku/>
              <w:wordWrap/>
              <w:overflowPunct/>
              <w:topLinePunct w:val="0"/>
              <w:autoSpaceDE/>
              <w:autoSpaceDN/>
              <w:bidi w:val="0"/>
              <w:snapToGrid w:val="0"/>
              <w:spacing w:line="320" w:lineRule="exact"/>
              <w:ind w:left="0" w:left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临时施工道路区域</w:t>
            </w:r>
          </w:p>
        </w:tc>
        <w:tc>
          <w:tcPr>
            <w:tcW w:w="405" w:type="pct"/>
            <w:vMerge w:val="continue"/>
            <w:vAlign w:val="center"/>
          </w:tcPr>
          <w:p w14:paraId="08FC17BB">
            <w:pPr>
              <w:keepNext w:val="0"/>
              <w:keepLines w:val="0"/>
              <w:pageBreakBefore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color w:val="auto"/>
                <w:sz w:val="21"/>
                <w:szCs w:val="21"/>
                <w:lang w:val="en-US" w:eastAsia="zh-CN"/>
              </w:rPr>
            </w:pPr>
          </w:p>
        </w:tc>
        <w:tc>
          <w:tcPr>
            <w:tcW w:w="421" w:type="pct"/>
            <w:vMerge w:val="continue"/>
            <w:vAlign w:val="center"/>
          </w:tcPr>
          <w:p w14:paraId="23F5AD9D">
            <w:pPr>
              <w:keepNext w:val="0"/>
              <w:keepLines w:val="0"/>
              <w:pageBreakBefore w:val="0"/>
              <w:widowControl/>
              <w:kinsoku/>
              <w:wordWrap/>
              <w:overflowPunct/>
              <w:topLinePunct w:val="0"/>
              <w:autoSpaceDE/>
              <w:autoSpaceDN/>
              <w:bidi w:val="0"/>
              <w:snapToGrid w:val="0"/>
              <w:spacing w:line="320" w:lineRule="exact"/>
              <w:ind w:left="0" w:leftChars="0"/>
              <w:jc w:val="left"/>
              <w:textAlignment w:val="auto"/>
              <w:rPr>
                <w:rFonts w:hint="default" w:ascii="Times New Roman" w:hAnsi="Times New Roman" w:cs="Times New Roman" w:eastAsiaTheme="minorEastAsia"/>
                <w:color w:val="auto"/>
                <w:sz w:val="21"/>
                <w:szCs w:val="21"/>
              </w:rPr>
            </w:pPr>
          </w:p>
        </w:tc>
        <w:tc>
          <w:tcPr>
            <w:tcW w:w="689" w:type="pct"/>
            <w:vMerge w:val="continue"/>
            <w:vAlign w:val="center"/>
          </w:tcPr>
          <w:p w14:paraId="4894559A">
            <w:pPr>
              <w:keepNext w:val="0"/>
              <w:keepLines w:val="0"/>
              <w:pageBreakBefore w:val="0"/>
              <w:widowControl/>
              <w:kinsoku/>
              <w:wordWrap/>
              <w:overflowPunct/>
              <w:topLinePunct w:val="0"/>
              <w:autoSpaceDE/>
              <w:autoSpaceDN/>
              <w:bidi w:val="0"/>
              <w:snapToGrid w:val="0"/>
              <w:spacing w:line="320" w:lineRule="exact"/>
              <w:ind w:left="0" w:leftChars="0"/>
              <w:jc w:val="left"/>
              <w:textAlignment w:val="auto"/>
              <w:rPr>
                <w:rFonts w:hint="default" w:ascii="Times New Roman" w:hAnsi="Times New Roman" w:cs="Times New Roman" w:eastAsiaTheme="minorEastAsia"/>
                <w:color w:val="auto"/>
                <w:sz w:val="21"/>
                <w:szCs w:val="21"/>
              </w:rPr>
            </w:pPr>
          </w:p>
        </w:tc>
        <w:tc>
          <w:tcPr>
            <w:tcW w:w="943" w:type="pct"/>
            <w:vMerge w:val="continue"/>
            <w:vAlign w:val="center"/>
          </w:tcPr>
          <w:p w14:paraId="57DFAC32">
            <w:pPr>
              <w:keepNext w:val="0"/>
              <w:keepLines w:val="0"/>
              <w:pageBreakBefore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color w:val="auto"/>
                <w:sz w:val="21"/>
                <w:szCs w:val="21"/>
                <w:lang w:val="en-US" w:eastAsia="zh-CN"/>
              </w:rPr>
            </w:pPr>
          </w:p>
        </w:tc>
      </w:tr>
      <w:tr w14:paraId="72DFB6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349" w:type="pct"/>
            <w:vAlign w:val="center"/>
          </w:tcPr>
          <w:p w14:paraId="0160AA2B">
            <w:pPr>
              <w:keepNext w:val="0"/>
              <w:keepLines w:val="0"/>
              <w:pageBreakBefore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2</w:t>
            </w:r>
            <w:r>
              <w:rPr>
                <w:rFonts w:hint="eastAsia" w:cs="Times New Roman" w:eastAsiaTheme="minorEastAsia"/>
                <w:color w:val="auto"/>
                <w:sz w:val="21"/>
                <w:szCs w:val="21"/>
                <w:lang w:val="en-US" w:eastAsia="zh-CN"/>
              </w:rPr>
              <w:t>1</w:t>
            </w:r>
          </w:p>
        </w:tc>
        <w:tc>
          <w:tcPr>
            <w:tcW w:w="1669" w:type="pct"/>
            <w:vAlign w:val="center"/>
          </w:tcPr>
          <w:p w14:paraId="4038E5AA">
            <w:pPr>
              <w:keepNext w:val="0"/>
              <w:keepLines w:val="0"/>
              <w:pageBreakBefore w:val="0"/>
              <w:kinsoku/>
              <w:wordWrap/>
              <w:overflowPunct/>
              <w:topLinePunct w:val="0"/>
              <w:autoSpaceDE/>
              <w:autoSpaceDN/>
              <w:bidi w:val="0"/>
              <w:adjustRightInd w:val="0"/>
              <w:snapToGrid w:val="0"/>
              <w:spacing w:line="320" w:lineRule="exact"/>
              <w:ind w:left="0" w:leftChars="0"/>
              <w:jc w:val="left"/>
              <w:textAlignment w:val="auto"/>
              <w:rPr>
                <w:rFonts w:hint="default" w:ascii="Times New Roman" w:hAnsi="Times New Roman" w:cs="Times New Roman" w:eastAsiaTheme="minorEastAsia"/>
                <w:color w:val="FF0000"/>
                <w:sz w:val="21"/>
                <w:szCs w:val="21"/>
                <w:lang w:val="en-US" w:eastAsia="zh-CN"/>
              </w:rPr>
            </w:pPr>
            <w:r>
              <w:rPr>
                <w:rFonts w:hint="default" w:ascii="Times New Roman" w:hAnsi="Times New Roman" w:cs="Times New Roman" w:eastAsiaTheme="minorEastAsia"/>
                <w:color w:val="auto"/>
                <w:sz w:val="21"/>
                <w:szCs w:val="21"/>
                <w:lang w:val="en-US" w:eastAsia="zh-CN"/>
              </w:rPr>
              <w:t>施工临建场地区域施工结束后，生活污水全部委托环卫部门采用吸污车清运</w:t>
            </w:r>
            <w:r>
              <w:rPr>
                <w:rFonts w:hint="eastAsia" w:ascii="Times New Roman" w:hAnsi="Times New Roman" w:cs="Times New Roman" w:eastAsiaTheme="minorEastAsia"/>
                <w:color w:val="auto"/>
                <w:sz w:val="21"/>
                <w:szCs w:val="21"/>
                <w:lang w:val="en-US" w:eastAsia="zh-CN"/>
              </w:rPr>
              <w:t>至污水处理厂</w:t>
            </w:r>
            <w:r>
              <w:rPr>
                <w:rFonts w:hint="default" w:ascii="Times New Roman" w:hAnsi="Times New Roman" w:cs="Times New Roman" w:eastAsiaTheme="minorEastAsia"/>
                <w:color w:val="auto"/>
                <w:sz w:val="21"/>
                <w:szCs w:val="21"/>
                <w:lang w:val="en-US" w:eastAsia="zh-CN"/>
              </w:rPr>
              <w:t>。拆除临时建筑（彩钢板房）、水池</w:t>
            </w:r>
            <w:r>
              <w:rPr>
                <w:rFonts w:hint="eastAsia" w:ascii="Times New Roman" w:hAnsi="Times New Roman" w:cs="Times New Roman" w:eastAsiaTheme="minorEastAsia"/>
                <w:color w:val="auto"/>
                <w:sz w:val="21"/>
                <w:szCs w:val="21"/>
                <w:lang w:val="en-US" w:eastAsia="zh-CN"/>
              </w:rPr>
              <w:t>、沉淀池</w:t>
            </w:r>
            <w:r>
              <w:rPr>
                <w:rFonts w:hint="default" w:ascii="Times New Roman" w:hAnsi="Times New Roman" w:cs="Times New Roman" w:eastAsiaTheme="minorEastAsia"/>
                <w:color w:val="auto"/>
                <w:sz w:val="21"/>
                <w:szCs w:val="21"/>
                <w:lang w:val="en-US" w:eastAsia="zh-CN"/>
              </w:rPr>
              <w:t>和防渗污水收集池。清理建筑垃圾和生活垃圾，建筑垃圾可回收部分（彩钢板等）全部回收外售综合利用，建筑垃圾统一清运至</w:t>
            </w:r>
            <w:r>
              <w:rPr>
                <w:rFonts w:hint="eastAsia" w:ascii="Times New Roman" w:hAnsi="Times New Roman" w:cs="Times New Roman" w:eastAsiaTheme="minorEastAsia"/>
                <w:color w:val="auto"/>
                <w:sz w:val="21"/>
                <w:szCs w:val="21"/>
                <w:lang w:val="en-US" w:eastAsia="zh-CN"/>
              </w:rPr>
              <w:t>乌鲁木齐市</w:t>
            </w:r>
            <w:r>
              <w:rPr>
                <w:rFonts w:hint="default" w:ascii="Times New Roman" w:hAnsi="Times New Roman" w:cs="Times New Roman" w:eastAsiaTheme="minorEastAsia"/>
                <w:color w:val="auto"/>
                <w:sz w:val="21"/>
                <w:szCs w:val="21"/>
                <w:lang w:val="en-US" w:eastAsia="zh-CN"/>
              </w:rPr>
              <w:t>建筑垃圾填埋场处置，生活垃圾集中收集后清运至附近的乡镇生活垃圾转运站，由环卫部门统一处置。</w:t>
            </w:r>
          </w:p>
        </w:tc>
        <w:tc>
          <w:tcPr>
            <w:tcW w:w="521" w:type="pct"/>
            <w:vAlign w:val="center"/>
          </w:tcPr>
          <w:p w14:paraId="2145ED03">
            <w:pPr>
              <w:keepNext w:val="0"/>
              <w:keepLines w:val="0"/>
              <w:pageBreakBefore w:val="0"/>
              <w:widowControl/>
              <w:kinsoku/>
              <w:wordWrap/>
              <w:overflowPunct/>
              <w:topLinePunct w:val="0"/>
              <w:autoSpaceDE/>
              <w:autoSpaceDN/>
              <w:bidi w:val="0"/>
              <w:snapToGrid w:val="0"/>
              <w:spacing w:line="320" w:lineRule="exact"/>
              <w:ind w:left="0" w:left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施工临建场</w:t>
            </w:r>
          </w:p>
          <w:p w14:paraId="4C49F842">
            <w:pPr>
              <w:keepNext w:val="0"/>
              <w:keepLines w:val="0"/>
              <w:pageBreakBefore w:val="0"/>
              <w:widowControl/>
              <w:kinsoku/>
              <w:wordWrap/>
              <w:overflowPunct/>
              <w:topLinePunct w:val="0"/>
              <w:autoSpaceDE/>
              <w:autoSpaceDN/>
              <w:bidi w:val="0"/>
              <w:snapToGrid w:val="0"/>
              <w:spacing w:line="320" w:lineRule="exact"/>
              <w:ind w:left="0" w:left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地</w:t>
            </w:r>
          </w:p>
        </w:tc>
        <w:tc>
          <w:tcPr>
            <w:tcW w:w="405" w:type="pct"/>
            <w:vMerge w:val="continue"/>
            <w:vAlign w:val="center"/>
          </w:tcPr>
          <w:p w14:paraId="532BD5FC">
            <w:pPr>
              <w:keepNext w:val="0"/>
              <w:keepLines w:val="0"/>
              <w:pageBreakBefore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color w:val="auto"/>
                <w:sz w:val="21"/>
                <w:szCs w:val="21"/>
                <w:lang w:val="en-US" w:eastAsia="zh-CN"/>
              </w:rPr>
            </w:pPr>
          </w:p>
        </w:tc>
        <w:tc>
          <w:tcPr>
            <w:tcW w:w="421" w:type="pct"/>
            <w:vMerge w:val="continue"/>
            <w:vAlign w:val="center"/>
          </w:tcPr>
          <w:p w14:paraId="67D834D1">
            <w:pPr>
              <w:keepNext w:val="0"/>
              <w:keepLines w:val="0"/>
              <w:pageBreakBefore w:val="0"/>
              <w:widowControl/>
              <w:kinsoku/>
              <w:wordWrap/>
              <w:overflowPunct/>
              <w:topLinePunct w:val="0"/>
              <w:autoSpaceDE/>
              <w:autoSpaceDN/>
              <w:bidi w:val="0"/>
              <w:snapToGrid w:val="0"/>
              <w:spacing w:line="320" w:lineRule="exact"/>
              <w:ind w:left="0" w:leftChars="0"/>
              <w:jc w:val="left"/>
              <w:textAlignment w:val="auto"/>
              <w:rPr>
                <w:rFonts w:hint="default" w:ascii="Times New Roman" w:hAnsi="Times New Roman" w:cs="Times New Roman" w:eastAsiaTheme="minorEastAsia"/>
                <w:color w:val="auto"/>
                <w:sz w:val="21"/>
                <w:szCs w:val="21"/>
              </w:rPr>
            </w:pPr>
          </w:p>
        </w:tc>
        <w:tc>
          <w:tcPr>
            <w:tcW w:w="689" w:type="pct"/>
            <w:vMerge w:val="continue"/>
            <w:vAlign w:val="center"/>
          </w:tcPr>
          <w:p w14:paraId="77E6A986">
            <w:pPr>
              <w:keepNext w:val="0"/>
              <w:keepLines w:val="0"/>
              <w:pageBreakBefore w:val="0"/>
              <w:widowControl/>
              <w:kinsoku/>
              <w:wordWrap/>
              <w:overflowPunct/>
              <w:topLinePunct w:val="0"/>
              <w:autoSpaceDE/>
              <w:autoSpaceDN/>
              <w:bidi w:val="0"/>
              <w:snapToGrid w:val="0"/>
              <w:spacing w:line="320" w:lineRule="exact"/>
              <w:ind w:left="0" w:leftChars="0"/>
              <w:jc w:val="left"/>
              <w:textAlignment w:val="auto"/>
              <w:rPr>
                <w:rFonts w:hint="default" w:ascii="Times New Roman" w:hAnsi="Times New Roman" w:cs="Times New Roman" w:eastAsiaTheme="minorEastAsia"/>
                <w:color w:val="auto"/>
                <w:sz w:val="21"/>
                <w:szCs w:val="21"/>
              </w:rPr>
            </w:pPr>
          </w:p>
        </w:tc>
        <w:tc>
          <w:tcPr>
            <w:tcW w:w="943" w:type="pct"/>
            <w:vMerge w:val="continue"/>
            <w:vAlign w:val="center"/>
          </w:tcPr>
          <w:p w14:paraId="691BC966">
            <w:pPr>
              <w:keepNext w:val="0"/>
              <w:keepLines w:val="0"/>
              <w:pageBreakBefore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cs="Times New Roman" w:eastAsiaTheme="minorEastAsia"/>
                <w:color w:val="auto"/>
                <w:sz w:val="21"/>
                <w:szCs w:val="21"/>
                <w:lang w:val="en-US" w:eastAsia="zh-CN"/>
              </w:rPr>
            </w:pPr>
          </w:p>
        </w:tc>
      </w:tr>
    </w:tbl>
    <w:p w14:paraId="4473CB8F">
      <w:pPr>
        <w:rPr>
          <w:rFonts w:hint="default" w:ascii="Times New Roman" w:hAnsi="Times New Roman" w:cs="Times New Roman"/>
          <w:color w:val="FF0000"/>
          <w:lang w:val="en-US" w:eastAsia="zh-CN"/>
        </w:rPr>
        <w:sectPr>
          <w:pgSz w:w="16838" w:h="11906" w:orient="landscape"/>
          <w:pgMar w:top="1587" w:right="1418" w:bottom="1361" w:left="1418" w:header="1304" w:footer="992" w:gutter="0"/>
          <w:pgBorders>
            <w:top w:val="none" w:sz="0" w:space="0"/>
            <w:left w:val="none" w:sz="0" w:space="0"/>
            <w:bottom w:val="none" w:sz="0" w:space="0"/>
            <w:right w:val="none" w:sz="0" w:space="0"/>
          </w:pgBorders>
          <w:pgNumType w:fmt="decimal"/>
          <w:cols w:space="720" w:num="1"/>
          <w:docGrid w:type="linesAndChars" w:linePitch="312" w:charSpace="0"/>
        </w:sectPr>
      </w:pPr>
    </w:p>
    <w:p w14:paraId="2E6F6F0E">
      <w:pPr>
        <w:pStyle w:val="11"/>
        <w:keepNext/>
        <w:keepLines/>
        <w:pageBreakBefore w:val="0"/>
        <w:widowControl w:val="0"/>
        <w:kinsoku/>
        <w:wordWrap/>
        <w:overflowPunct/>
        <w:topLinePunct w:val="0"/>
        <w:autoSpaceDE/>
        <w:autoSpaceDN/>
        <w:bidi w:val="0"/>
        <w:adjustRightInd/>
        <w:snapToGrid/>
        <w:ind w:left="0"/>
        <w:textAlignment w:val="auto"/>
        <w:outlineLvl w:val="2"/>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lang w:val="en-US" w:eastAsia="zh-CN"/>
        </w:rPr>
        <w:t>8.2.2 运营期环保措施监控要点</w:t>
      </w:r>
      <w:bookmarkEnd w:id="549"/>
    </w:p>
    <w:p w14:paraId="20C99608">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(1)严格执行环境管理规章制度，确保环保设施正常稳定运行。</w:t>
      </w:r>
    </w:p>
    <w:p w14:paraId="7D516081">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(2)加强企业环境污染事故的风险管理，落实各环节防范措施，制定环境风险应急预案，强化应急处置机制，避免事故对水源地二级保护区及准保护区产生影响。</w:t>
      </w:r>
    </w:p>
    <w:p w14:paraId="0B025342">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(3)加强运营期环境监测，发现问题及时处理。</w:t>
      </w:r>
    </w:p>
    <w:p w14:paraId="586E992B">
      <w:pPr>
        <w:pStyle w:val="11"/>
        <w:keepNext/>
        <w:keepLines/>
        <w:pageBreakBefore w:val="0"/>
        <w:widowControl w:val="0"/>
        <w:kinsoku/>
        <w:wordWrap/>
        <w:overflowPunct/>
        <w:topLinePunct w:val="0"/>
        <w:autoSpaceDE/>
        <w:autoSpaceDN/>
        <w:bidi w:val="0"/>
        <w:adjustRightInd/>
        <w:snapToGrid/>
        <w:ind w:left="0"/>
        <w:textAlignment w:val="auto"/>
        <w:outlineLvl w:val="2"/>
        <w:rPr>
          <w:rFonts w:hint="default" w:ascii="Times New Roman" w:hAnsi="Times New Roman" w:cs="Times New Roman" w:eastAsiaTheme="minorEastAsia"/>
          <w:color w:val="auto"/>
          <w:highlight w:val="none"/>
          <w:lang w:val="en-US" w:eastAsia="zh-CN"/>
        </w:rPr>
      </w:pPr>
      <w:bookmarkStart w:id="550" w:name="_Toc20343"/>
      <w:r>
        <w:rPr>
          <w:rFonts w:hint="default" w:ascii="Times New Roman" w:hAnsi="Times New Roman" w:cs="Times New Roman" w:eastAsiaTheme="minorEastAsia"/>
          <w:color w:val="auto"/>
          <w:highlight w:val="none"/>
          <w:lang w:val="en-US" w:eastAsia="zh-CN"/>
        </w:rPr>
        <w:t>8.2.3 环境监测</w:t>
      </w:r>
      <w:bookmarkEnd w:id="550"/>
    </w:p>
    <w:p w14:paraId="6BAD297E">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(1)建设期、运营期污染源和环境监测可委托当地有资质的环境监测单位承担。同时，企业应建立健全污染源监控和环境监测技术档案，主动接受当地生态环境主管部门的工作指导、监督和检查。</w:t>
      </w:r>
    </w:p>
    <w:p w14:paraId="2399B414">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(2)环境监测应按国家和地方环保要求，采用国家规定标准监测方法进行；应按照规定，定期向有关生态环境主管部门上报监测结果。</w:t>
      </w:r>
    </w:p>
    <w:p w14:paraId="74795A55">
      <w:pPr>
        <w:pStyle w:val="11"/>
        <w:keepNext/>
        <w:keepLines/>
        <w:pageBreakBefore w:val="0"/>
        <w:widowControl w:val="0"/>
        <w:kinsoku/>
        <w:wordWrap/>
        <w:overflowPunct/>
        <w:topLinePunct w:val="0"/>
        <w:autoSpaceDE/>
        <w:autoSpaceDN/>
        <w:bidi w:val="0"/>
        <w:adjustRightInd/>
        <w:snapToGrid/>
        <w:ind w:left="0"/>
        <w:textAlignment w:val="auto"/>
        <w:outlineLvl w:val="2"/>
        <w:rPr>
          <w:rFonts w:hint="default" w:ascii="Times New Roman" w:hAnsi="Times New Roman" w:cs="Times New Roman" w:eastAsiaTheme="minorEastAsia"/>
          <w:color w:val="auto"/>
          <w:highlight w:val="none"/>
          <w:lang w:val="en-US" w:eastAsia="zh-CN"/>
        </w:rPr>
      </w:pPr>
      <w:bookmarkStart w:id="551" w:name="_Toc2753"/>
      <w:r>
        <w:rPr>
          <w:rFonts w:hint="default" w:ascii="Times New Roman" w:hAnsi="Times New Roman" w:cs="Times New Roman" w:eastAsiaTheme="minorEastAsia"/>
          <w:color w:val="auto"/>
          <w:highlight w:val="none"/>
          <w:lang w:val="en-US" w:eastAsia="zh-CN"/>
        </w:rPr>
        <w:t>8.2.4 环境监测计划</w:t>
      </w:r>
      <w:bookmarkEnd w:id="551"/>
    </w:p>
    <w:p w14:paraId="1B53F0D3">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运营期监测内容见表8.2-2。</w:t>
      </w:r>
    </w:p>
    <w:p w14:paraId="1CBD0ECC">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0" w:firstLineChars="0"/>
        <w:jc w:val="center"/>
        <w:textAlignment w:val="auto"/>
        <w:rPr>
          <w:rFonts w:hint="default" w:ascii="Times New Roman" w:hAnsi="Times New Roman" w:cs="Times New Roman" w:eastAsiaTheme="minorEastAsia"/>
          <w:b/>
          <w:color w:val="auto"/>
          <w:kern w:val="0"/>
          <w:sz w:val="24"/>
          <w:highlight w:val="none"/>
          <w:lang w:val="en-US" w:eastAsia="zh-CN"/>
        </w:rPr>
      </w:pPr>
      <w:r>
        <w:rPr>
          <w:rFonts w:hint="default" w:ascii="Times New Roman" w:hAnsi="Times New Roman" w:cs="Times New Roman" w:eastAsiaTheme="minorEastAsia"/>
          <w:b/>
          <w:color w:val="auto"/>
          <w:kern w:val="0"/>
          <w:sz w:val="24"/>
          <w:highlight w:val="none"/>
          <w:lang w:val="en-US" w:eastAsia="zh-CN"/>
        </w:rPr>
        <w:t>表8.2-2    运营期环境监测计划表</w:t>
      </w:r>
    </w:p>
    <w:tbl>
      <w:tblPr>
        <w:tblStyle w:val="75"/>
        <w:tblW w:w="906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538"/>
        <w:gridCol w:w="1401"/>
        <w:gridCol w:w="3177"/>
        <w:gridCol w:w="3951"/>
      </w:tblGrid>
      <w:tr w14:paraId="4EECE7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538" w:type="dxa"/>
            <w:tcBorders>
              <w:tl2br w:val="nil"/>
              <w:tr2bl w:val="nil"/>
            </w:tcBorders>
            <w:vAlign w:val="center"/>
          </w:tcPr>
          <w:p w14:paraId="360860E5">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序号</w:t>
            </w:r>
          </w:p>
        </w:tc>
        <w:tc>
          <w:tcPr>
            <w:tcW w:w="1401" w:type="dxa"/>
            <w:tcBorders>
              <w:tl2br w:val="nil"/>
              <w:tr2bl w:val="nil"/>
            </w:tcBorders>
            <w:vAlign w:val="center"/>
          </w:tcPr>
          <w:p w14:paraId="013261A2">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监测内容</w:t>
            </w:r>
          </w:p>
        </w:tc>
        <w:tc>
          <w:tcPr>
            <w:tcW w:w="3177" w:type="dxa"/>
            <w:tcBorders>
              <w:tl2br w:val="nil"/>
              <w:tr2bl w:val="nil"/>
            </w:tcBorders>
            <w:vAlign w:val="center"/>
          </w:tcPr>
          <w:p w14:paraId="602F70D8">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监测因子、频率</w:t>
            </w:r>
          </w:p>
        </w:tc>
        <w:tc>
          <w:tcPr>
            <w:tcW w:w="3951" w:type="dxa"/>
            <w:tcBorders>
              <w:tl2br w:val="nil"/>
              <w:tr2bl w:val="nil"/>
            </w:tcBorders>
            <w:vAlign w:val="center"/>
          </w:tcPr>
          <w:p w14:paraId="5A59E540">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监测位置</w:t>
            </w:r>
          </w:p>
        </w:tc>
      </w:tr>
      <w:tr w14:paraId="302A44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538" w:type="dxa"/>
            <w:tcBorders>
              <w:tl2br w:val="nil"/>
              <w:tr2bl w:val="nil"/>
            </w:tcBorders>
            <w:vAlign w:val="center"/>
          </w:tcPr>
          <w:p w14:paraId="735C7BB8">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jc w:val="center"/>
              <w:textAlignment w:val="auto"/>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eastAsiaTheme="minorEastAsia"/>
                <w:color w:val="auto"/>
                <w:sz w:val="21"/>
                <w:szCs w:val="21"/>
                <w:highlight w:val="none"/>
                <w:lang w:val="en-US" w:eastAsia="zh-CN"/>
              </w:rPr>
              <w:t>1</w:t>
            </w:r>
          </w:p>
        </w:tc>
        <w:tc>
          <w:tcPr>
            <w:tcW w:w="1401" w:type="dxa"/>
            <w:tcBorders>
              <w:tl2br w:val="nil"/>
              <w:tr2bl w:val="nil"/>
            </w:tcBorders>
            <w:vAlign w:val="center"/>
          </w:tcPr>
          <w:p w14:paraId="7B53E583">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噪声</w:t>
            </w:r>
            <w:r>
              <w:rPr>
                <w:rFonts w:hint="default" w:ascii="Times New Roman" w:hAnsi="Times New Roman" w:cs="Times New Roman" w:eastAsiaTheme="minorEastAsia"/>
                <w:color w:val="auto"/>
                <w:sz w:val="21"/>
                <w:szCs w:val="21"/>
                <w:highlight w:val="none"/>
              </w:rPr>
              <w:t>监测</w:t>
            </w:r>
          </w:p>
        </w:tc>
        <w:tc>
          <w:tcPr>
            <w:tcW w:w="3177" w:type="dxa"/>
            <w:tcBorders>
              <w:tl2br w:val="nil"/>
              <w:tr2bl w:val="nil"/>
            </w:tcBorders>
            <w:vAlign w:val="center"/>
          </w:tcPr>
          <w:p w14:paraId="63AD786A">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jc w:val="both"/>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rPr>
              <w:t>1.监测项目：风电场噪声</w:t>
            </w:r>
          </w:p>
          <w:p w14:paraId="08B91EDF">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jc w:val="both"/>
              <w:textAlignment w:val="auto"/>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eastAsiaTheme="minorEastAsia"/>
                <w:color w:val="auto"/>
                <w:sz w:val="21"/>
                <w:szCs w:val="21"/>
                <w:highlight w:val="none"/>
              </w:rPr>
              <w:t>2.监测频率：1次/季度，每次昼、夜各一次</w:t>
            </w:r>
            <w:r>
              <w:rPr>
                <w:rFonts w:hint="default" w:ascii="Times New Roman" w:hAnsi="Times New Roman" w:cs="Times New Roman" w:eastAsiaTheme="minorEastAsia"/>
                <w:color w:val="auto"/>
                <w:sz w:val="21"/>
                <w:szCs w:val="21"/>
                <w:highlight w:val="none"/>
                <w:lang w:eastAsia="zh-CN"/>
              </w:rPr>
              <w:t>（</w:t>
            </w:r>
            <w:r>
              <w:rPr>
                <w:rFonts w:hint="default" w:ascii="Times New Roman" w:hAnsi="Times New Roman" w:cs="Times New Roman" w:eastAsiaTheme="minorEastAsia"/>
                <w:color w:val="auto"/>
                <w:sz w:val="21"/>
                <w:szCs w:val="21"/>
                <w:highlight w:val="none"/>
                <w:lang w:val="en-US" w:eastAsia="zh-CN"/>
              </w:rPr>
              <w:t>根据《排污单位自行监测技术指南 总则》（HJ819-2017）确定</w:t>
            </w:r>
            <w:r>
              <w:rPr>
                <w:rFonts w:hint="default" w:ascii="Times New Roman" w:hAnsi="Times New Roman" w:cs="Times New Roman" w:eastAsiaTheme="minorEastAsia"/>
                <w:color w:val="auto"/>
                <w:sz w:val="21"/>
                <w:szCs w:val="21"/>
                <w:highlight w:val="none"/>
                <w:lang w:eastAsia="zh-CN"/>
              </w:rPr>
              <w:t>）。</w:t>
            </w:r>
          </w:p>
        </w:tc>
        <w:tc>
          <w:tcPr>
            <w:tcW w:w="3951" w:type="dxa"/>
            <w:tcBorders>
              <w:tl2br w:val="nil"/>
              <w:tr2bl w:val="nil"/>
            </w:tcBorders>
            <w:vAlign w:val="center"/>
          </w:tcPr>
          <w:p w14:paraId="3B15F120">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jc w:val="both"/>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噪声监测点布设在风电场四周</w:t>
            </w:r>
            <w:r>
              <w:rPr>
                <w:rFonts w:hint="default" w:ascii="Times New Roman" w:hAnsi="Times New Roman" w:cs="Times New Roman" w:eastAsiaTheme="minorEastAsia"/>
                <w:color w:val="auto"/>
                <w:sz w:val="21"/>
                <w:szCs w:val="21"/>
                <w:highlight w:val="none"/>
                <w:lang w:eastAsia="zh-CN"/>
              </w:rPr>
              <w:t>站界</w:t>
            </w:r>
            <w:r>
              <w:rPr>
                <w:rFonts w:hint="default" w:ascii="Times New Roman" w:hAnsi="Times New Roman" w:cs="Times New Roman" w:eastAsiaTheme="minorEastAsia"/>
                <w:color w:val="auto"/>
                <w:sz w:val="21"/>
                <w:szCs w:val="21"/>
                <w:highlight w:val="none"/>
              </w:rPr>
              <w:t>外1m、离地高1.2m处均匀布设监测点</w:t>
            </w:r>
            <w:r>
              <w:rPr>
                <w:rFonts w:hint="default" w:ascii="Times New Roman" w:hAnsi="Times New Roman"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rPr>
              <w:t>如新增声</w:t>
            </w:r>
            <w:r>
              <w:rPr>
                <w:rFonts w:hint="default" w:ascii="Times New Roman" w:hAnsi="Times New Roman" w:cs="Times New Roman" w:eastAsiaTheme="minorEastAsia"/>
                <w:color w:val="auto"/>
                <w:sz w:val="21"/>
                <w:szCs w:val="21"/>
                <w:highlight w:val="none"/>
                <w:lang w:eastAsia="zh-CN"/>
              </w:rPr>
              <w:t>环境保护目标</w:t>
            </w:r>
            <w:r>
              <w:rPr>
                <w:rFonts w:hint="default" w:ascii="Times New Roman" w:hAnsi="Times New Roman" w:cs="Times New Roman" w:eastAsiaTheme="minorEastAsia"/>
                <w:color w:val="auto"/>
                <w:sz w:val="21"/>
                <w:szCs w:val="21"/>
                <w:highlight w:val="none"/>
              </w:rPr>
              <w:t>，新增</w:t>
            </w:r>
            <w:r>
              <w:rPr>
                <w:rFonts w:hint="default" w:ascii="Times New Roman" w:hAnsi="Times New Roman" w:cs="Times New Roman" w:eastAsiaTheme="minorEastAsia"/>
                <w:color w:val="auto"/>
                <w:sz w:val="21"/>
                <w:szCs w:val="21"/>
                <w:highlight w:val="none"/>
                <w:lang w:eastAsia="zh-CN"/>
              </w:rPr>
              <w:t>环境保护目标</w:t>
            </w:r>
            <w:r>
              <w:rPr>
                <w:rFonts w:hint="default" w:ascii="Times New Roman" w:hAnsi="Times New Roman" w:cs="Times New Roman" w:eastAsiaTheme="minorEastAsia"/>
                <w:color w:val="auto"/>
                <w:sz w:val="21"/>
                <w:szCs w:val="21"/>
                <w:highlight w:val="none"/>
              </w:rPr>
              <w:t>处布点监测。</w:t>
            </w:r>
          </w:p>
        </w:tc>
      </w:tr>
    </w:tbl>
    <w:p w14:paraId="3ED85579">
      <w:pPr>
        <w:pStyle w:val="4"/>
        <w:keepNext/>
        <w:keepLines/>
        <w:pageBreakBefore w:val="0"/>
        <w:widowControl w:val="0"/>
        <w:numPr>
          <w:ilvl w:val="0"/>
          <w:numId w:val="0"/>
        </w:numPr>
        <w:tabs>
          <w:tab w:val="left" w:pos="630"/>
          <w:tab w:val="left" w:pos="3403"/>
        </w:tabs>
        <w:kinsoku/>
        <w:wordWrap w:val="0"/>
        <w:overflowPunct/>
        <w:topLinePunct w:val="0"/>
        <w:autoSpaceDE/>
        <w:autoSpaceDN/>
        <w:bidi w:val="0"/>
        <w:adjustRightInd/>
        <w:snapToGrid/>
        <w:spacing w:before="0" w:beforeLines="0" w:after="0" w:afterLines="0" w:line="360" w:lineRule="auto"/>
        <w:ind w:left="0" w:leftChars="0"/>
        <w:textAlignment w:val="auto"/>
        <w:outlineLvl w:val="1"/>
        <w:rPr>
          <w:rFonts w:hint="default" w:ascii="Times New Roman" w:hAnsi="Times New Roman" w:cs="Times New Roman" w:eastAsiaTheme="minorEastAsia"/>
          <w:color w:val="auto"/>
          <w:sz w:val="30"/>
          <w:highlight w:val="none"/>
          <w:lang w:val="en-US" w:eastAsia="zh-CN"/>
        </w:rPr>
      </w:pPr>
      <w:bookmarkStart w:id="552" w:name="_Toc12323"/>
      <w:bookmarkStart w:id="553" w:name="_Toc31260"/>
      <w:bookmarkStart w:id="554" w:name="_Toc26141"/>
      <w:r>
        <w:rPr>
          <w:rFonts w:hint="default" w:ascii="Times New Roman" w:hAnsi="Times New Roman" w:cs="Times New Roman" w:eastAsiaTheme="minorEastAsia"/>
          <w:color w:val="auto"/>
          <w:sz w:val="30"/>
          <w:highlight w:val="none"/>
          <w:lang w:val="en-US" w:eastAsia="zh-CN"/>
        </w:rPr>
        <w:t>8.3 污染源排放清单</w:t>
      </w:r>
      <w:bookmarkEnd w:id="552"/>
      <w:bookmarkEnd w:id="553"/>
      <w:bookmarkEnd w:id="554"/>
    </w:p>
    <w:p w14:paraId="2851816D">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本项目是以生态影响为主的建设项目，运营期污染物产生及排放主要为风电场检修、维护过程中产生的</w:t>
      </w:r>
      <w:r>
        <w:rPr>
          <w:rFonts w:hint="eastAsia" w:cs="Times New Roman" w:eastAsiaTheme="minorEastAsia"/>
          <w:color w:val="auto"/>
          <w:sz w:val="24"/>
          <w:highlight w:val="none"/>
          <w:lang w:val="en-US" w:eastAsia="zh-CN"/>
        </w:rPr>
        <w:t>固体</w:t>
      </w:r>
      <w:r>
        <w:rPr>
          <w:rFonts w:hint="default" w:ascii="Times New Roman" w:hAnsi="Times New Roman" w:cs="Times New Roman" w:eastAsiaTheme="minorEastAsia"/>
          <w:color w:val="auto"/>
          <w:sz w:val="24"/>
          <w:highlight w:val="none"/>
          <w:lang w:val="en-US" w:eastAsia="zh-CN"/>
        </w:rPr>
        <w:t>废物。本项目污染物排放清单见表8.3-1。</w:t>
      </w:r>
    </w:p>
    <w:p w14:paraId="093878E8">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0" w:firstLineChars="0"/>
        <w:jc w:val="center"/>
        <w:textAlignment w:val="auto"/>
        <w:rPr>
          <w:rFonts w:hint="default" w:ascii="Times New Roman" w:hAnsi="Times New Roman" w:cs="Times New Roman" w:eastAsiaTheme="minorEastAsia"/>
          <w:b/>
          <w:color w:val="auto"/>
          <w:kern w:val="0"/>
          <w:sz w:val="24"/>
          <w:highlight w:val="none"/>
          <w:lang w:val="en-US" w:eastAsia="zh-CN"/>
        </w:rPr>
      </w:pPr>
      <w:r>
        <w:rPr>
          <w:rFonts w:hint="default" w:ascii="Times New Roman" w:hAnsi="Times New Roman" w:cs="Times New Roman" w:eastAsiaTheme="minorEastAsia"/>
          <w:b/>
          <w:color w:val="auto"/>
          <w:kern w:val="0"/>
          <w:sz w:val="24"/>
          <w:highlight w:val="none"/>
          <w:lang w:val="en-US" w:eastAsia="zh-CN"/>
        </w:rPr>
        <w:t>表8.3-1    运营期污染源排放清单一览表</w:t>
      </w:r>
    </w:p>
    <w:tbl>
      <w:tblPr>
        <w:tblStyle w:val="75"/>
        <w:tblW w:w="906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484"/>
        <w:gridCol w:w="1835"/>
        <w:gridCol w:w="1766"/>
        <w:gridCol w:w="2259"/>
        <w:gridCol w:w="7"/>
        <w:gridCol w:w="2706"/>
        <w:gridCol w:w="11"/>
      </w:tblGrid>
      <w:tr w14:paraId="0A71E6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484" w:type="dxa"/>
            <w:tcBorders>
              <w:tl2br w:val="nil"/>
              <w:tr2bl w:val="nil"/>
            </w:tcBorders>
            <w:vAlign w:val="center"/>
          </w:tcPr>
          <w:p w14:paraId="0FD96E9D">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项目</w:t>
            </w:r>
          </w:p>
        </w:tc>
        <w:tc>
          <w:tcPr>
            <w:tcW w:w="1835" w:type="dxa"/>
            <w:tcBorders>
              <w:tl2br w:val="nil"/>
              <w:tr2bl w:val="nil"/>
            </w:tcBorders>
            <w:vAlign w:val="center"/>
          </w:tcPr>
          <w:p w14:paraId="03BBAAF9">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主要污</w:t>
            </w:r>
          </w:p>
          <w:p w14:paraId="63E173E4">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染物</w:t>
            </w:r>
          </w:p>
        </w:tc>
        <w:tc>
          <w:tcPr>
            <w:tcW w:w="1766" w:type="dxa"/>
            <w:tcBorders>
              <w:tl2br w:val="nil"/>
              <w:tr2bl w:val="nil"/>
            </w:tcBorders>
            <w:vAlign w:val="center"/>
          </w:tcPr>
          <w:p w14:paraId="09321624">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排放量</w:t>
            </w:r>
          </w:p>
        </w:tc>
        <w:tc>
          <w:tcPr>
            <w:tcW w:w="2266" w:type="dxa"/>
            <w:gridSpan w:val="2"/>
            <w:tcBorders>
              <w:tl2br w:val="nil"/>
              <w:tr2bl w:val="nil"/>
            </w:tcBorders>
            <w:vAlign w:val="center"/>
          </w:tcPr>
          <w:p w14:paraId="48BAC445">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环保措施</w:t>
            </w:r>
          </w:p>
        </w:tc>
        <w:tc>
          <w:tcPr>
            <w:tcW w:w="2717" w:type="dxa"/>
            <w:gridSpan w:val="2"/>
            <w:tcBorders>
              <w:tl2br w:val="nil"/>
              <w:tr2bl w:val="nil"/>
            </w:tcBorders>
            <w:vAlign w:val="center"/>
          </w:tcPr>
          <w:p w14:paraId="542B913F">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排放标准</w:t>
            </w:r>
          </w:p>
        </w:tc>
      </w:tr>
      <w:tr w14:paraId="7C235B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gridAfter w:val="1"/>
          <w:wAfter w:w="11" w:type="dxa"/>
          <w:trHeight w:val="689" w:hRule="atLeast"/>
        </w:trPr>
        <w:tc>
          <w:tcPr>
            <w:tcW w:w="484" w:type="dxa"/>
            <w:vMerge w:val="restart"/>
            <w:tcBorders>
              <w:tl2br w:val="nil"/>
              <w:tr2bl w:val="nil"/>
            </w:tcBorders>
            <w:vAlign w:val="center"/>
          </w:tcPr>
          <w:p w14:paraId="5C9570A4">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jc w:val="center"/>
              <w:textAlignment w:val="auto"/>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eastAsiaTheme="minorEastAsia"/>
                <w:color w:val="auto"/>
                <w:sz w:val="21"/>
                <w:szCs w:val="21"/>
                <w:highlight w:val="none"/>
              </w:rPr>
              <w:t>固废</w:t>
            </w:r>
          </w:p>
        </w:tc>
        <w:tc>
          <w:tcPr>
            <w:tcW w:w="1835" w:type="dxa"/>
            <w:tcBorders>
              <w:tl2br w:val="nil"/>
              <w:tr2bl w:val="nil"/>
            </w:tcBorders>
            <w:vAlign w:val="center"/>
          </w:tcPr>
          <w:p w14:paraId="6752500F">
            <w:pPr>
              <w:pStyle w:val="309"/>
              <w:keepNext w:val="0"/>
              <w:keepLines w:val="0"/>
              <w:pageBreakBefore w:val="0"/>
              <w:widowControl w:val="0"/>
              <w:kinsoku w:val="0"/>
              <w:wordWrap/>
              <w:overflowPunct w:val="0"/>
              <w:autoSpaceDE/>
              <w:autoSpaceDN/>
              <w:bidi w:val="0"/>
              <w:adjustRightInd w:val="0"/>
              <w:snapToGrid w:val="0"/>
              <w:spacing w:before="0" w:beforeAutospacing="0" w:line="240" w:lineRule="auto"/>
              <w:ind w:left="0" w:lef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snapToGrid w:val="0"/>
                <w:color w:val="auto"/>
                <w:sz w:val="21"/>
                <w:szCs w:val="21"/>
                <w:highlight w:val="none"/>
                <w:lang w:val="en-US" w:eastAsia="zh-CN"/>
              </w:rPr>
              <w:t>生活垃圾</w:t>
            </w:r>
          </w:p>
        </w:tc>
        <w:tc>
          <w:tcPr>
            <w:tcW w:w="1766" w:type="dxa"/>
            <w:tcBorders>
              <w:tl2br w:val="nil"/>
              <w:tr2bl w:val="nil"/>
            </w:tcBorders>
            <w:vAlign w:val="center"/>
          </w:tcPr>
          <w:p w14:paraId="664E9260">
            <w:pPr>
              <w:pStyle w:val="309"/>
              <w:keepNext w:val="0"/>
              <w:keepLines w:val="0"/>
              <w:pageBreakBefore w:val="0"/>
              <w:widowControl w:val="0"/>
              <w:kinsoku w:val="0"/>
              <w:wordWrap/>
              <w:overflowPunct w:val="0"/>
              <w:autoSpaceDE/>
              <w:autoSpaceDN/>
              <w:bidi w:val="0"/>
              <w:adjustRightInd w:val="0"/>
              <w:snapToGrid w:val="0"/>
              <w:spacing w:before="0" w:beforeAutospacing="0" w:line="240" w:lineRule="auto"/>
              <w:ind w:left="0" w:lef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snapToGrid w:val="0"/>
                <w:color w:val="auto"/>
                <w:sz w:val="21"/>
                <w:szCs w:val="21"/>
                <w:highlight w:val="none"/>
                <w:lang w:val="en-US" w:eastAsia="zh-CN"/>
              </w:rPr>
              <w:t>0.05t/a</w:t>
            </w:r>
          </w:p>
        </w:tc>
        <w:tc>
          <w:tcPr>
            <w:tcW w:w="2259" w:type="dxa"/>
            <w:tcBorders>
              <w:tl2br w:val="nil"/>
              <w:tr2bl w:val="nil"/>
            </w:tcBorders>
            <w:vAlign w:val="center"/>
          </w:tcPr>
          <w:p w14:paraId="32C57BC9">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定期运送到周边垃圾中转站转运，统一处置</w:t>
            </w:r>
          </w:p>
        </w:tc>
        <w:tc>
          <w:tcPr>
            <w:tcW w:w="2713" w:type="dxa"/>
            <w:gridSpan w:val="2"/>
            <w:vMerge w:val="restart"/>
            <w:tcBorders>
              <w:tl2br w:val="nil"/>
              <w:tr2bl w:val="nil"/>
            </w:tcBorders>
            <w:vAlign w:val="center"/>
          </w:tcPr>
          <w:p w14:paraId="29229465">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合理处置</w:t>
            </w:r>
          </w:p>
        </w:tc>
      </w:tr>
      <w:tr w14:paraId="645141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gridAfter w:val="1"/>
          <w:wAfter w:w="11" w:type="dxa"/>
          <w:trHeight w:val="397" w:hRule="atLeast"/>
        </w:trPr>
        <w:tc>
          <w:tcPr>
            <w:tcW w:w="484" w:type="dxa"/>
            <w:vMerge w:val="continue"/>
            <w:tcBorders>
              <w:tl2br w:val="nil"/>
              <w:tr2bl w:val="nil"/>
            </w:tcBorders>
            <w:vAlign w:val="center"/>
          </w:tcPr>
          <w:p w14:paraId="2EAA2DFD">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jc w:val="center"/>
              <w:textAlignment w:val="auto"/>
              <w:rPr>
                <w:rFonts w:hint="default" w:ascii="Times New Roman" w:hAnsi="Times New Roman" w:cs="Times New Roman" w:eastAsiaTheme="minorEastAsia"/>
                <w:color w:val="auto"/>
                <w:sz w:val="21"/>
                <w:szCs w:val="21"/>
                <w:highlight w:val="none"/>
                <w:lang w:eastAsia="zh-CN"/>
              </w:rPr>
            </w:pPr>
          </w:p>
        </w:tc>
        <w:tc>
          <w:tcPr>
            <w:tcW w:w="1835" w:type="dxa"/>
            <w:tcBorders>
              <w:tl2br w:val="nil"/>
              <w:tr2bl w:val="nil"/>
            </w:tcBorders>
            <w:vAlign w:val="center"/>
          </w:tcPr>
          <w:p w14:paraId="2A3EC297">
            <w:pPr>
              <w:pStyle w:val="309"/>
              <w:keepNext w:val="0"/>
              <w:keepLines w:val="0"/>
              <w:pageBreakBefore w:val="0"/>
              <w:widowControl w:val="0"/>
              <w:kinsoku w:val="0"/>
              <w:wordWrap/>
              <w:overflowPunct w:val="0"/>
              <w:autoSpaceDE/>
              <w:autoSpaceDN/>
              <w:bidi w:val="0"/>
              <w:adjustRightInd w:val="0"/>
              <w:snapToGrid w:val="0"/>
              <w:spacing w:before="0" w:beforeAutospacing="0" w:line="240" w:lineRule="auto"/>
              <w:ind w:left="0" w:lef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snapToGrid w:val="0"/>
                <w:color w:val="auto"/>
                <w:sz w:val="21"/>
                <w:szCs w:val="21"/>
                <w:highlight w:val="none"/>
                <w:lang w:val="en-US" w:eastAsia="zh-CN"/>
              </w:rPr>
              <w:t>风机报废零部件</w:t>
            </w:r>
          </w:p>
        </w:tc>
        <w:tc>
          <w:tcPr>
            <w:tcW w:w="1766" w:type="dxa"/>
            <w:tcBorders>
              <w:tl2br w:val="nil"/>
              <w:tr2bl w:val="nil"/>
            </w:tcBorders>
            <w:vAlign w:val="center"/>
          </w:tcPr>
          <w:p w14:paraId="4019E481">
            <w:pPr>
              <w:pStyle w:val="309"/>
              <w:keepNext w:val="0"/>
              <w:keepLines w:val="0"/>
              <w:pageBreakBefore w:val="0"/>
              <w:widowControl w:val="0"/>
              <w:kinsoku w:val="0"/>
              <w:wordWrap/>
              <w:overflowPunct w:val="0"/>
              <w:autoSpaceDE/>
              <w:autoSpaceDN/>
              <w:bidi w:val="0"/>
              <w:adjustRightInd w:val="0"/>
              <w:snapToGrid w:val="0"/>
              <w:spacing w:before="0" w:beforeAutospacing="0" w:line="240" w:lineRule="auto"/>
              <w:ind w:left="0" w:lef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snapToGrid w:val="0"/>
                <w:color w:val="auto"/>
                <w:sz w:val="21"/>
                <w:szCs w:val="21"/>
                <w:highlight w:val="none"/>
                <w:lang w:val="en-US" w:eastAsia="zh-CN"/>
              </w:rPr>
              <w:t>0.1t/a</w:t>
            </w:r>
          </w:p>
        </w:tc>
        <w:tc>
          <w:tcPr>
            <w:tcW w:w="2259" w:type="dxa"/>
            <w:vMerge w:val="restart"/>
            <w:tcBorders>
              <w:tl2br w:val="nil"/>
              <w:tr2bl w:val="nil"/>
            </w:tcBorders>
            <w:vAlign w:val="center"/>
          </w:tcPr>
          <w:p w14:paraId="7543A205">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厂家回收</w:t>
            </w:r>
          </w:p>
        </w:tc>
        <w:tc>
          <w:tcPr>
            <w:tcW w:w="2713" w:type="dxa"/>
            <w:gridSpan w:val="2"/>
            <w:vMerge w:val="continue"/>
            <w:tcBorders>
              <w:tl2br w:val="nil"/>
              <w:tr2bl w:val="nil"/>
            </w:tcBorders>
            <w:vAlign w:val="center"/>
          </w:tcPr>
          <w:p w14:paraId="36C2160B">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jc w:val="center"/>
              <w:textAlignment w:val="auto"/>
              <w:rPr>
                <w:rFonts w:hint="default" w:ascii="Times New Roman" w:hAnsi="Times New Roman" w:cs="Times New Roman" w:eastAsiaTheme="minorEastAsia"/>
                <w:color w:val="auto"/>
                <w:sz w:val="21"/>
                <w:szCs w:val="21"/>
                <w:highlight w:val="none"/>
              </w:rPr>
            </w:pPr>
          </w:p>
        </w:tc>
      </w:tr>
      <w:tr w14:paraId="6364DC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gridAfter w:val="1"/>
          <w:wAfter w:w="11" w:type="dxa"/>
          <w:trHeight w:val="397" w:hRule="atLeast"/>
        </w:trPr>
        <w:tc>
          <w:tcPr>
            <w:tcW w:w="484" w:type="dxa"/>
            <w:vMerge w:val="continue"/>
            <w:tcBorders>
              <w:tl2br w:val="nil"/>
              <w:tr2bl w:val="nil"/>
            </w:tcBorders>
            <w:vAlign w:val="center"/>
          </w:tcPr>
          <w:p w14:paraId="6361E9F9">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jc w:val="center"/>
              <w:textAlignment w:val="auto"/>
              <w:rPr>
                <w:rFonts w:hint="default" w:ascii="Times New Roman" w:hAnsi="Times New Roman" w:cs="Times New Roman" w:eastAsiaTheme="minorEastAsia"/>
                <w:color w:val="auto"/>
                <w:sz w:val="21"/>
                <w:szCs w:val="21"/>
                <w:highlight w:val="none"/>
                <w:lang w:eastAsia="zh-CN"/>
              </w:rPr>
            </w:pPr>
          </w:p>
        </w:tc>
        <w:tc>
          <w:tcPr>
            <w:tcW w:w="1835" w:type="dxa"/>
            <w:tcBorders>
              <w:tl2br w:val="nil"/>
              <w:tr2bl w:val="nil"/>
            </w:tcBorders>
            <w:vAlign w:val="top"/>
          </w:tcPr>
          <w:p w14:paraId="7AD3243C">
            <w:pPr>
              <w:pStyle w:val="620"/>
              <w:keepNext w:val="0"/>
              <w:keepLines w:val="0"/>
              <w:pageBreakBefore w:val="0"/>
              <w:widowControl/>
              <w:kinsoku/>
              <w:wordWrap/>
              <w:overflowPunct w:val="0"/>
              <w:topLinePunct w:val="0"/>
              <w:autoSpaceDE w:val="0"/>
              <w:autoSpaceDN w:val="0"/>
              <w:bidi w:val="0"/>
              <w:adjustRightInd w:val="0"/>
              <w:snapToGrid w:val="0"/>
              <w:spacing w:before="71" w:line="227" w:lineRule="auto"/>
              <w:ind w:left="560" w:leftChars="200"/>
              <w:textAlignment w:val="baseline"/>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snapToGrid w:val="0"/>
                <w:color w:val="auto"/>
                <w:sz w:val="21"/>
                <w:szCs w:val="21"/>
                <w:highlight w:val="none"/>
                <w:lang w:val="en-US" w:eastAsia="zh-CN"/>
              </w:rPr>
              <w:t>废风机叶片</w:t>
            </w:r>
          </w:p>
        </w:tc>
        <w:tc>
          <w:tcPr>
            <w:tcW w:w="1766" w:type="dxa"/>
            <w:tcBorders>
              <w:tl2br w:val="nil"/>
              <w:tr2bl w:val="nil"/>
            </w:tcBorders>
            <w:vAlign w:val="top"/>
          </w:tcPr>
          <w:p w14:paraId="1E5392AA">
            <w:pPr>
              <w:keepNext w:val="0"/>
              <w:keepLines w:val="0"/>
              <w:pageBreakBefore w:val="0"/>
              <w:widowControl/>
              <w:kinsoku/>
              <w:wordWrap/>
              <w:overflowPunct w:val="0"/>
              <w:topLinePunct w:val="0"/>
              <w:autoSpaceDE w:val="0"/>
              <w:autoSpaceDN w:val="0"/>
              <w:bidi w:val="0"/>
              <w:adjustRightInd w:val="0"/>
              <w:snapToGrid w:val="0"/>
              <w:spacing w:before="110" w:line="195" w:lineRule="auto"/>
              <w:ind w:left="560" w:leftChars="200"/>
              <w:textAlignment w:val="baseline"/>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snapToGrid w:val="0"/>
                <w:color w:val="auto"/>
                <w:sz w:val="21"/>
                <w:szCs w:val="21"/>
                <w:highlight w:val="none"/>
                <w:lang w:val="en-US" w:eastAsia="zh-CN"/>
              </w:rPr>
              <w:t>630</w:t>
            </w:r>
            <w:r>
              <w:rPr>
                <w:rFonts w:hint="default" w:ascii="Times New Roman" w:hAnsi="Times New Roman" w:cs="Times New Roman" w:eastAsiaTheme="minorEastAsia"/>
                <w:snapToGrid w:val="0"/>
                <w:color w:val="auto"/>
                <w:sz w:val="21"/>
                <w:szCs w:val="21"/>
                <w:highlight w:val="none"/>
                <w:lang w:val="en-US" w:eastAsia="zh-CN"/>
              </w:rPr>
              <w:t>t</w:t>
            </w:r>
          </w:p>
        </w:tc>
        <w:tc>
          <w:tcPr>
            <w:tcW w:w="2259" w:type="dxa"/>
            <w:vMerge w:val="continue"/>
            <w:tcBorders>
              <w:tl2br w:val="nil"/>
              <w:tr2bl w:val="nil"/>
            </w:tcBorders>
            <w:vAlign w:val="center"/>
          </w:tcPr>
          <w:p w14:paraId="161F0C00">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jc w:val="center"/>
              <w:textAlignment w:val="auto"/>
              <w:rPr>
                <w:rFonts w:hint="default" w:ascii="Times New Roman" w:hAnsi="Times New Roman" w:cs="Times New Roman" w:eastAsiaTheme="minorEastAsia"/>
                <w:color w:val="auto"/>
                <w:sz w:val="21"/>
                <w:szCs w:val="21"/>
                <w:highlight w:val="none"/>
                <w:lang w:val="en-US" w:eastAsia="zh-CN"/>
              </w:rPr>
            </w:pPr>
          </w:p>
        </w:tc>
        <w:tc>
          <w:tcPr>
            <w:tcW w:w="2713" w:type="dxa"/>
            <w:gridSpan w:val="2"/>
            <w:vMerge w:val="continue"/>
            <w:tcBorders>
              <w:tl2br w:val="nil"/>
              <w:tr2bl w:val="nil"/>
            </w:tcBorders>
            <w:vAlign w:val="center"/>
          </w:tcPr>
          <w:p w14:paraId="7C5DE727">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jc w:val="center"/>
              <w:textAlignment w:val="auto"/>
              <w:rPr>
                <w:rFonts w:hint="default" w:ascii="Times New Roman" w:hAnsi="Times New Roman" w:cs="Times New Roman" w:eastAsiaTheme="minorEastAsia"/>
                <w:color w:val="auto"/>
                <w:sz w:val="21"/>
                <w:szCs w:val="21"/>
                <w:highlight w:val="none"/>
              </w:rPr>
            </w:pPr>
          </w:p>
        </w:tc>
      </w:tr>
      <w:tr w14:paraId="65BF89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gridAfter w:val="1"/>
          <w:wAfter w:w="11" w:type="dxa"/>
          <w:trHeight w:val="397" w:hRule="atLeast"/>
        </w:trPr>
        <w:tc>
          <w:tcPr>
            <w:tcW w:w="484" w:type="dxa"/>
            <w:vMerge w:val="continue"/>
            <w:tcBorders>
              <w:tl2br w:val="nil"/>
              <w:tr2bl w:val="nil"/>
            </w:tcBorders>
            <w:vAlign w:val="center"/>
          </w:tcPr>
          <w:p w14:paraId="637FC4A4">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jc w:val="center"/>
              <w:textAlignment w:val="auto"/>
              <w:rPr>
                <w:rFonts w:hint="default" w:ascii="Times New Roman" w:hAnsi="Times New Roman" w:cs="Times New Roman" w:eastAsiaTheme="minorEastAsia"/>
                <w:color w:val="auto"/>
                <w:sz w:val="21"/>
                <w:szCs w:val="21"/>
                <w:highlight w:val="none"/>
                <w:lang w:eastAsia="zh-CN"/>
              </w:rPr>
            </w:pPr>
          </w:p>
        </w:tc>
        <w:tc>
          <w:tcPr>
            <w:tcW w:w="1835" w:type="dxa"/>
            <w:tcBorders>
              <w:tl2br w:val="nil"/>
              <w:tr2bl w:val="nil"/>
            </w:tcBorders>
            <w:vAlign w:val="center"/>
          </w:tcPr>
          <w:p w14:paraId="0AF19409">
            <w:pPr>
              <w:pStyle w:val="620"/>
              <w:keepNext w:val="0"/>
              <w:keepLines w:val="0"/>
              <w:pageBreakBefore w:val="0"/>
              <w:widowControl/>
              <w:kinsoku/>
              <w:wordWrap/>
              <w:overflowPunct w:val="0"/>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snapToGrid w:val="0"/>
                <w:color w:val="auto"/>
                <w:sz w:val="21"/>
                <w:szCs w:val="21"/>
                <w:highlight w:val="none"/>
                <w:lang w:val="en-US" w:eastAsia="zh-CN"/>
              </w:rPr>
              <w:t>含油抹布和废手套</w:t>
            </w:r>
          </w:p>
        </w:tc>
        <w:tc>
          <w:tcPr>
            <w:tcW w:w="1766" w:type="dxa"/>
            <w:tcBorders>
              <w:tl2br w:val="nil"/>
              <w:tr2bl w:val="nil"/>
            </w:tcBorders>
            <w:vAlign w:val="center"/>
          </w:tcPr>
          <w:p w14:paraId="38A70401">
            <w:pPr>
              <w:keepNext w:val="0"/>
              <w:keepLines w:val="0"/>
              <w:pageBreakBefore w:val="0"/>
              <w:widowControl/>
              <w:kinsoku/>
              <w:wordWrap/>
              <w:overflowPunct w:val="0"/>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snapToGrid w:val="0"/>
                <w:color w:val="auto"/>
                <w:sz w:val="21"/>
                <w:szCs w:val="21"/>
                <w:highlight w:val="none"/>
                <w:lang w:val="en-US" w:eastAsia="zh-CN"/>
              </w:rPr>
              <w:t>0.05t/a</w:t>
            </w:r>
          </w:p>
        </w:tc>
        <w:tc>
          <w:tcPr>
            <w:tcW w:w="2259" w:type="dxa"/>
            <w:tcBorders>
              <w:tl2br w:val="nil"/>
              <w:tr2bl w:val="nil"/>
            </w:tcBorders>
            <w:vAlign w:val="center"/>
          </w:tcPr>
          <w:p w14:paraId="605CB666">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snapToGrid w:val="0"/>
                <w:color w:val="auto"/>
                <w:sz w:val="21"/>
                <w:szCs w:val="21"/>
                <w:highlight w:val="none"/>
                <w:lang w:val="en-US" w:eastAsia="zh-CN"/>
              </w:rPr>
              <w:t>即产即清，交由有资质单位处置，不在场内暂存</w:t>
            </w:r>
          </w:p>
        </w:tc>
        <w:tc>
          <w:tcPr>
            <w:tcW w:w="2713" w:type="dxa"/>
            <w:gridSpan w:val="2"/>
            <w:tcBorders>
              <w:tl2br w:val="nil"/>
              <w:tr2bl w:val="nil"/>
            </w:tcBorders>
            <w:vAlign w:val="center"/>
          </w:tcPr>
          <w:p w14:paraId="209179CF">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《危险废物贮存污染控制标准》(GB18597-2023)、《危险废物收集贮存运输技术规范》(HJ2025-2012)及《危险废物转移管理办法》(部令 第23号)</w:t>
            </w:r>
          </w:p>
        </w:tc>
      </w:tr>
      <w:tr w14:paraId="25B47C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gridAfter w:val="1"/>
          <w:wAfter w:w="11" w:type="dxa"/>
          <w:trHeight w:val="397" w:hRule="atLeast"/>
        </w:trPr>
        <w:tc>
          <w:tcPr>
            <w:tcW w:w="484" w:type="dxa"/>
            <w:tcBorders>
              <w:tl2br w:val="nil"/>
              <w:tr2bl w:val="nil"/>
            </w:tcBorders>
            <w:vAlign w:val="center"/>
          </w:tcPr>
          <w:p w14:paraId="37567134">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噪声</w:t>
            </w:r>
          </w:p>
        </w:tc>
        <w:tc>
          <w:tcPr>
            <w:tcW w:w="1835" w:type="dxa"/>
            <w:tcBorders>
              <w:tl2br w:val="nil"/>
              <w:tr2bl w:val="nil"/>
            </w:tcBorders>
            <w:vAlign w:val="center"/>
          </w:tcPr>
          <w:p w14:paraId="572877F7">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风机</w:t>
            </w:r>
            <w:r>
              <w:rPr>
                <w:rFonts w:hint="default" w:ascii="Times New Roman" w:hAnsi="Times New Roman" w:cs="Times New Roman" w:eastAsiaTheme="minorEastAsia"/>
                <w:color w:val="auto"/>
                <w:sz w:val="21"/>
                <w:szCs w:val="21"/>
                <w:highlight w:val="none"/>
                <w:lang w:val="en-US" w:eastAsia="zh-CN"/>
              </w:rPr>
              <w:t>设备噪声</w:t>
            </w:r>
          </w:p>
        </w:tc>
        <w:tc>
          <w:tcPr>
            <w:tcW w:w="1766" w:type="dxa"/>
            <w:tcBorders>
              <w:tl2br w:val="nil"/>
              <w:tr2bl w:val="nil"/>
            </w:tcBorders>
            <w:vAlign w:val="center"/>
          </w:tcPr>
          <w:p w14:paraId="18C7BD4D">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jc w:val="both"/>
              <w:textAlignment w:val="auto"/>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eastAsiaTheme="minorEastAsia"/>
                <w:color w:val="auto"/>
                <w:sz w:val="21"/>
                <w:szCs w:val="21"/>
                <w:highlight w:val="none"/>
              </w:rPr>
              <w:t>风机声功率级约为90～10</w:t>
            </w:r>
            <w:r>
              <w:rPr>
                <w:rFonts w:hint="default" w:ascii="Times New Roman" w:hAnsi="Times New Roman" w:cs="Times New Roman" w:eastAsiaTheme="minorEastAsia"/>
                <w:color w:val="auto"/>
                <w:sz w:val="21"/>
                <w:szCs w:val="21"/>
                <w:highlight w:val="none"/>
                <w:lang w:val="en-US" w:eastAsia="zh-CN"/>
              </w:rPr>
              <w:t>2</w:t>
            </w:r>
            <w:r>
              <w:rPr>
                <w:rFonts w:hint="default" w:ascii="Times New Roman" w:hAnsi="Times New Roman" w:cs="Times New Roman" w:eastAsiaTheme="minorEastAsia"/>
                <w:color w:val="auto"/>
                <w:sz w:val="21"/>
                <w:szCs w:val="21"/>
                <w:highlight w:val="none"/>
              </w:rPr>
              <w:t>dB</w:t>
            </w:r>
            <w:r>
              <w:rPr>
                <w:rFonts w:hint="default" w:ascii="Times New Roman" w:hAnsi="Times New Roman" w:cs="Times New Roman" w:eastAsiaTheme="minorEastAsia"/>
                <w:color w:val="auto"/>
                <w:sz w:val="21"/>
                <w:szCs w:val="21"/>
                <w:highlight w:val="none"/>
                <w:lang w:eastAsia="zh-CN"/>
              </w:rPr>
              <w:t>(</w:t>
            </w:r>
            <w:r>
              <w:rPr>
                <w:rFonts w:hint="default" w:ascii="Times New Roman" w:hAnsi="Times New Roman" w:cs="Times New Roman" w:eastAsiaTheme="minorEastAsia"/>
                <w:color w:val="auto"/>
                <w:sz w:val="21"/>
                <w:szCs w:val="21"/>
                <w:highlight w:val="none"/>
              </w:rPr>
              <w:t>A</w:t>
            </w:r>
            <w:r>
              <w:rPr>
                <w:rFonts w:hint="default" w:ascii="Times New Roman" w:hAnsi="Times New Roman" w:cs="Times New Roman" w:eastAsiaTheme="minorEastAsia"/>
                <w:color w:val="auto"/>
                <w:sz w:val="21"/>
                <w:szCs w:val="21"/>
                <w:highlight w:val="none"/>
                <w:lang w:eastAsia="zh-CN"/>
              </w:rPr>
              <w:t>)</w:t>
            </w:r>
            <w:r>
              <w:rPr>
                <w:rFonts w:hint="default" w:ascii="Times New Roman" w:hAnsi="Times New Roman" w:cs="Times New Roman" w:eastAsiaTheme="minorEastAsia"/>
                <w:color w:val="auto"/>
                <w:sz w:val="21"/>
                <w:szCs w:val="21"/>
                <w:highlight w:val="none"/>
              </w:rPr>
              <w:t>，</w:t>
            </w:r>
            <w:r>
              <w:rPr>
                <w:rFonts w:hint="default" w:ascii="Times New Roman" w:hAnsi="Times New Roman" w:cs="Times New Roman" w:eastAsiaTheme="minorEastAsia"/>
                <w:color w:val="auto"/>
                <w:sz w:val="21"/>
                <w:szCs w:val="21"/>
                <w:highlight w:val="none"/>
                <w:lang w:val="en-US" w:eastAsia="zh-CN"/>
              </w:rPr>
              <w:t>变压器</w:t>
            </w:r>
            <w:r>
              <w:rPr>
                <w:rFonts w:hint="default" w:ascii="Times New Roman" w:hAnsi="Times New Roman" w:cs="Times New Roman" w:eastAsiaTheme="minorEastAsia"/>
                <w:color w:val="auto"/>
                <w:sz w:val="21"/>
                <w:szCs w:val="21"/>
                <w:highlight w:val="none"/>
              </w:rPr>
              <w:t>设备声级不大于</w:t>
            </w:r>
            <w:r>
              <w:rPr>
                <w:rFonts w:hint="default" w:ascii="Times New Roman" w:hAnsi="Times New Roman" w:cs="Times New Roman" w:eastAsiaTheme="minorEastAsia"/>
                <w:color w:val="auto"/>
                <w:sz w:val="21"/>
                <w:szCs w:val="21"/>
                <w:highlight w:val="none"/>
                <w:lang w:val="en-US" w:eastAsia="zh-CN"/>
              </w:rPr>
              <w:t>65</w:t>
            </w:r>
            <w:r>
              <w:rPr>
                <w:rFonts w:hint="default" w:ascii="Times New Roman" w:hAnsi="Times New Roman" w:cs="Times New Roman" w:eastAsiaTheme="minorEastAsia"/>
                <w:color w:val="auto"/>
                <w:sz w:val="21"/>
                <w:szCs w:val="21"/>
                <w:highlight w:val="none"/>
              </w:rPr>
              <w:t>dB</w:t>
            </w:r>
            <w:r>
              <w:rPr>
                <w:rFonts w:hint="default" w:ascii="Times New Roman" w:hAnsi="Times New Roman" w:cs="Times New Roman" w:eastAsiaTheme="minorEastAsia"/>
                <w:color w:val="auto"/>
                <w:sz w:val="21"/>
                <w:szCs w:val="21"/>
                <w:highlight w:val="none"/>
                <w:lang w:eastAsia="zh-CN"/>
              </w:rPr>
              <w:t>(</w:t>
            </w:r>
            <w:r>
              <w:rPr>
                <w:rFonts w:hint="default" w:ascii="Times New Roman" w:hAnsi="Times New Roman" w:cs="Times New Roman" w:eastAsiaTheme="minorEastAsia"/>
                <w:color w:val="auto"/>
                <w:sz w:val="21"/>
                <w:szCs w:val="21"/>
                <w:highlight w:val="none"/>
              </w:rPr>
              <w:t>A</w:t>
            </w:r>
            <w:r>
              <w:rPr>
                <w:rFonts w:hint="default" w:ascii="Times New Roman" w:hAnsi="Times New Roman" w:cs="Times New Roman" w:eastAsiaTheme="minorEastAsia"/>
                <w:color w:val="auto"/>
                <w:sz w:val="21"/>
                <w:szCs w:val="21"/>
                <w:highlight w:val="none"/>
                <w:lang w:eastAsia="zh-CN"/>
              </w:rPr>
              <w:t>)</w:t>
            </w:r>
          </w:p>
        </w:tc>
        <w:tc>
          <w:tcPr>
            <w:tcW w:w="2259" w:type="dxa"/>
            <w:tcBorders>
              <w:tl2br w:val="nil"/>
              <w:tr2bl w:val="nil"/>
            </w:tcBorders>
            <w:vAlign w:val="center"/>
          </w:tcPr>
          <w:p w14:paraId="58E1B6B7">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经距离衰减后能达标排放</w:t>
            </w:r>
          </w:p>
        </w:tc>
        <w:tc>
          <w:tcPr>
            <w:tcW w:w="2713" w:type="dxa"/>
            <w:gridSpan w:val="2"/>
            <w:tcBorders>
              <w:tl2br w:val="nil"/>
              <w:tr2bl w:val="nil"/>
            </w:tcBorders>
            <w:vAlign w:val="center"/>
          </w:tcPr>
          <w:p w14:paraId="1060EB1E">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可达到《工业企业厂界环</w:t>
            </w:r>
          </w:p>
          <w:p w14:paraId="66A89FF2">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境噪声排放标准》中的2</w:t>
            </w:r>
          </w:p>
          <w:p w14:paraId="76C23B04">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类标准要求。</w:t>
            </w:r>
          </w:p>
        </w:tc>
      </w:tr>
    </w:tbl>
    <w:p w14:paraId="767B140C">
      <w:pPr>
        <w:spacing w:beforeLines="0" w:afterLines="0"/>
        <w:jc w:val="left"/>
        <w:rPr>
          <w:rFonts w:hint="default" w:ascii="Times New Roman" w:hAnsi="Times New Roman" w:cs="Times New Roman" w:eastAsiaTheme="minorEastAsia"/>
          <w:color w:val="FF0000"/>
          <w:sz w:val="24"/>
          <w:highlight w:val="none"/>
        </w:rPr>
      </w:pPr>
    </w:p>
    <w:p w14:paraId="025F023C">
      <w:pPr>
        <w:pStyle w:val="4"/>
        <w:keepNext/>
        <w:keepLines/>
        <w:pageBreakBefore w:val="0"/>
        <w:widowControl w:val="0"/>
        <w:numPr>
          <w:ilvl w:val="0"/>
          <w:numId w:val="0"/>
        </w:numPr>
        <w:tabs>
          <w:tab w:val="left" w:pos="630"/>
          <w:tab w:val="left" w:pos="3403"/>
        </w:tabs>
        <w:kinsoku/>
        <w:wordWrap w:val="0"/>
        <w:overflowPunct/>
        <w:topLinePunct w:val="0"/>
        <w:autoSpaceDE/>
        <w:autoSpaceDN/>
        <w:bidi w:val="0"/>
        <w:adjustRightInd/>
        <w:snapToGrid/>
        <w:spacing w:before="0" w:beforeLines="0" w:after="0" w:afterLines="0" w:line="360" w:lineRule="auto"/>
        <w:ind w:left="0" w:leftChars="0"/>
        <w:textAlignment w:val="auto"/>
        <w:outlineLvl w:val="1"/>
        <w:rPr>
          <w:rFonts w:hint="default" w:ascii="Times New Roman" w:hAnsi="Times New Roman" w:cs="Times New Roman" w:eastAsiaTheme="minorEastAsia"/>
          <w:color w:val="auto"/>
          <w:sz w:val="30"/>
          <w:highlight w:val="none"/>
          <w:lang w:val="en-US" w:eastAsia="zh-CN"/>
        </w:rPr>
      </w:pPr>
      <w:bookmarkStart w:id="555" w:name="_Toc16260"/>
      <w:bookmarkStart w:id="556" w:name="_Toc801"/>
      <w:bookmarkStart w:id="557" w:name="_Toc319"/>
      <w:r>
        <w:rPr>
          <w:rFonts w:hint="default" w:ascii="Times New Roman" w:hAnsi="Times New Roman" w:cs="Times New Roman" w:eastAsiaTheme="minorEastAsia"/>
          <w:color w:val="auto"/>
          <w:sz w:val="30"/>
          <w:highlight w:val="none"/>
          <w:lang w:val="en-US" w:eastAsia="zh-CN"/>
        </w:rPr>
        <w:t>8.4 环境保护竣工验收计划</w:t>
      </w:r>
      <w:bookmarkEnd w:id="555"/>
      <w:bookmarkEnd w:id="556"/>
      <w:bookmarkEnd w:id="557"/>
    </w:p>
    <w:p w14:paraId="79B64A8C">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根据《建设项目竣工环境保护验收暂行办法》建设项目竣工后，建设单位应当如实查验、监测、记载建设项目环境保护设施的建设和调试情况，编制验收监测(调查)报告。建设单位不具备编制验收监测(调查)报告能力的，可以委托有能力的技术机构编制。建设单位对受委托的技术机构编制的验收监测(调查)报告结论负责。建设单位与受委托的技术机构之间的权利义务关系，以及受委托的技术机构应当承担的责任，可以通过合同形式约定。</w:t>
      </w:r>
    </w:p>
    <w:p w14:paraId="788D9F11">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环境保护设施未与主体工程同时建成的，或者应当取得排污许可证但未取得的，建设单位不得对该建设项目环境保护设施进行调试。</w:t>
      </w:r>
    </w:p>
    <w:p w14:paraId="13077561">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调试期间，建设单位应当对环境保护设施运行情况和建设项目对环境的影响进行监测。</w:t>
      </w:r>
    </w:p>
    <w:p w14:paraId="5586A059">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建设项目配套建设的环境保护设施竣工后，公开竣工日期；对建设项目配套建设的环境保护设施进行调试前，公开调试的起止日期；验收报告编制完成后5个工作日内，公开验收报告，公示的期限不得少于20个工作日。</w:t>
      </w:r>
    </w:p>
    <w:p w14:paraId="3C45C311">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auto"/>
          <w:sz w:val="24"/>
          <w:highlight w:val="none"/>
          <w:lang w:val="en-US" w:eastAsia="zh-CN"/>
        </w:rPr>
        <w:sectPr>
          <w:pgSz w:w="11906" w:h="16838"/>
          <w:pgMar w:top="1418" w:right="1361" w:bottom="1418" w:left="1587" w:header="1077" w:footer="992" w:gutter="0"/>
          <w:pgBorders>
            <w:top w:val="none" w:sz="0" w:space="0"/>
            <w:left w:val="none" w:sz="0" w:space="0"/>
            <w:bottom w:val="none" w:sz="0" w:space="0"/>
            <w:right w:val="none" w:sz="0" w:space="0"/>
          </w:pgBorders>
          <w:pgNumType w:fmt="decimal"/>
          <w:cols w:space="720" w:num="1"/>
          <w:docGrid w:type="linesAndChars" w:linePitch="312" w:charSpace="0"/>
        </w:sectPr>
      </w:pPr>
      <w:r>
        <w:rPr>
          <w:rFonts w:hint="default" w:ascii="Times New Roman" w:hAnsi="Times New Roman" w:cs="Times New Roman" w:eastAsiaTheme="minorEastAsia"/>
          <w:color w:val="auto"/>
          <w:sz w:val="24"/>
          <w:highlight w:val="none"/>
          <w:lang w:val="en-US" w:eastAsia="zh-CN"/>
        </w:rPr>
        <w:t>为便于工程项目进行竣工验收，现按照国家和自治区的有关规定，提出如下环境保护“三同时”验收一览表。具体计划见表8.4-1。</w:t>
      </w:r>
    </w:p>
    <w:p w14:paraId="3D764C62">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0" w:firstLineChars="0"/>
        <w:jc w:val="center"/>
        <w:textAlignment w:val="auto"/>
        <w:rPr>
          <w:rFonts w:hint="default" w:ascii="Times New Roman" w:hAnsi="Times New Roman" w:cs="Times New Roman" w:eastAsiaTheme="minorEastAsia"/>
          <w:b/>
          <w:color w:val="auto"/>
          <w:kern w:val="0"/>
          <w:sz w:val="24"/>
          <w:highlight w:val="none"/>
          <w:lang w:val="en-US" w:eastAsia="zh-CN"/>
        </w:rPr>
      </w:pPr>
      <w:r>
        <w:rPr>
          <w:rFonts w:hint="default" w:ascii="Times New Roman" w:hAnsi="Times New Roman" w:cs="Times New Roman" w:eastAsiaTheme="minorEastAsia"/>
          <w:b/>
          <w:color w:val="auto"/>
          <w:kern w:val="0"/>
          <w:sz w:val="24"/>
          <w:highlight w:val="none"/>
          <w:lang w:val="en-US" w:eastAsia="zh-CN"/>
        </w:rPr>
        <w:t>表8.4-1    环境保护“三同时”验收一览表</w:t>
      </w:r>
    </w:p>
    <w:tbl>
      <w:tblPr>
        <w:tblStyle w:val="75"/>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609"/>
        <w:gridCol w:w="675"/>
        <w:gridCol w:w="1306"/>
        <w:gridCol w:w="8466"/>
        <w:gridCol w:w="3052"/>
      </w:tblGrid>
      <w:tr w14:paraId="5A3F45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3" w:hRule="atLeast"/>
          <w:tblHeader/>
          <w:jc w:val="center"/>
        </w:trPr>
        <w:tc>
          <w:tcPr>
            <w:tcW w:w="215" w:type="pct"/>
            <w:tcBorders>
              <w:tl2br w:val="nil"/>
              <w:tr2bl w:val="nil"/>
            </w:tcBorders>
            <w:vAlign w:val="center"/>
          </w:tcPr>
          <w:p w14:paraId="1B84F2D7">
            <w:pPr>
              <w:keepNext w:val="0"/>
              <w:keepLines w:val="0"/>
              <w:pageBreakBefore w:val="0"/>
              <w:widowControl w:val="0"/>
              <w:kinsoku/>
              <w:wordWrap/>
              <w:overflowPunct/>
              <w:autoSpaceDE/>
              <w:autoSpaceDN/>
              <w:bidi w:val="0"/>
              <w:adjustRightInd/>
              <w:snapToGrid w:val="0"/>
              <w:spacing w:line="300" w:lineRule="exact"/>
              <w:ind w:left="0" w:left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工段</w:t>
            </w:r>
          </w:p>
        </w:tc>
        <w:tc>
          <w:tcPr>
            <w:tcW w:w="239" w:type="pct"/>
            <w:tcBorders>
              <w:tl2br w:val="nil"/>
              <w:tr2bl w:val="nil"/>
            </w:tcBorders>
            <w:vAlign w:val="center"/>
          </w:tcPr>
          <w:p w14:paraId="274AFF3F">
            <w:pPr>
              <w:keepNext w:val="0"/>
              <w:keepLines w:val="0"/>
              <w:pageBreakBefore w:val="0"/>
              <w:widowControl w:val="0"/>
              <w:kinsoku/>
              <w:wordWrap/>
              <w:overflowPunct/>
              <w:autoSpaceDE/>
              <w:autoSpaceDN/>
              <w:bidi w:val="0"/>
              <w:adjustRightInd/>
              <w:snapToGrid w:val="0"/>
              <w:spacing w:line="300" w:lineRule="exact"/>
              <w:ind w:left="0" w:left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类别</w:t>
            </w:r>
          </w:p>
        </w:tc>
        <w:tc>
          <w:tcPr>
            <w:tcW w:w="462" w:type="pct"/>
            <w:tcBorders>
              <w:tl2br w:val="nil"/>
              <w:tr2bl w:val="nil"/>
            </w:tcBorders>
            <w:vAlign w:val="center"/>
          </w:tcPr>
          <w:p w14:paraId="60505D99">
            <w:pPr>
              <w:keepNext w:val="0"/>
              <w:keepLines w:val="0"/>
              <w:pageBreakBefore w:val="0"/>
              <w:widowControl w:val="0"/>
              <w:kinsoku/>
              <w:wordWrap/>
              <w:overflowPunct/>
              <w:autoSpaceDE/>
              <w:autoSpaceDN/>
              <w:bidi w:val="0"/>
              <w:adjustRightInd/>
              <w:snapToGrid w:val="0"/>
              <w:spacing w:line="300" w:lineRule="exact"/>
              <w:ind w:left="0" w:left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项目名称</w:t>
            </w:r>
          </w:p>
        </w:tc>
        <w:tc>
          <w:tcPr>
            <w:tcW w:w="3000" w:type="pct"/>
            <w:tcBorders>
              <w:tl2br w:val="nil"/>
              <w:tr2bl w:val="nil"/>
            </w:tcBorders>
            <w:vAlign w:val="center"/>
          </w:tcPr>
          <w:p w14:paraId="7CD592AB">
            <w:pPr>
              <w:keepNext w:val="0"/>
              <w:keepLines w:val="0"/>
              <w:pageBreakBefore w:val="0"/>
              <w:widowControl w:val="0"/>
              <w:kinsoku/>
              <w:wordWrap/>
              <w:overflowPunct/>
              <w:autoSpaceDE/>
              <w:autoSpaceDN/>
              <w:bidi w:val="0"/>
              <w:adjustRightInd/>
              <w:snapToGrid w:val="0"/>
              <w:spacing w:line="300" w:lineRule="exact"/>
              <w:ind w:left="0" w:left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环保措施</w:t>
            </w:r>
          </w:p>
        </w:tc>
        <w:tc>
          <w:tcPr>
            <w:tcW w:w="1081" w:type="pct"/>
            <w:tcBorders>
              <w:tl2br w:val="nil"/>
              <w:tr2bl w:val="nil"/>
            </w:tcBorders>
            <w:vAlign w:val="center"/>
          </w:tcPr>
          <w:p w14:paraId="30FA5F87">
            <w:pPr>
              <w:keepNext w:val="0"/>
              <w:keepLines w:val="0"/>
              <w:pageBreakBefore w:val="0"/>
              <w:widowControl w:val="0"/>
              <w:kinsoku/>
              <w:wordWrap/>
              <w:overflowPunct/>
              <w:autoSpaceDE/>
              <w:autoSpaceDN/>
              <w:bidi w:val="0"/>
              <w:adjustRightInd/>
              <w:snapToGrid w:val="0"/>
              <w:spacing w:line="300" w:lineRule="exact"/>
              <w:ind w:left="0" w:left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效果及要求</w:t>
            </w:r>
          </w:p>
        </w:tc>
      </w:tr>
      <w:tr w14:paraId="739060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15" w:type="pct"/>
            <w:vMerge w:val="restart"/>
            <w:tcBorders>
              <w:tl2br w:val="nil"/>
              <w:tr2bl w:val="nil"/>
            </w:tcBorders>
            <w:vAlign w:val="center"/>
          </w:tcPr>
          <w:p w14:paraId="16C408B3">
            <w:pPr>
              <w:keepNext w:val="0"/>
              <w:keepLines w:val="0"/>
              <w:pageBreakBefore w:val="0"/>
              <w:widowControl w:val="0"/>
              <w:kinsoku/>
              <w:wordWrap/>
              <w:overflowPunct/>
              <w:autoSpaceDE/>
              <w:autoSpaceDN/>
              <w:bidi w:val="0"/>
              <w:adjustRightInd/>
              <w:snapToGrid w:val="0"/>
              <w:spacing w:line="300" w:lineRule="exact"/>
              <w:ind w:left="0" w:left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施</w:t>
            </w:r>
          </w:p>
          <w:p w14:paraId="050AE70F">
            <w:pPr>
              <w:keepNext w:val="0"/>
              <w:keepLines w:val="0"/>
              <w:pageBreakBefore w:val="0"/>
              <w:widowControl w:val="0"/>
              <w:kinsoku/>
              <w:wordWrap/>
              <w:overflowPunct/>
              <w:autoSpaceDE/>
              <w:autoSpaceDN/>
              <w:bidi w:val="0"/>
              <w:adjustRightInd/>
              <w:snapToGrid w:val="0"/>
              <w:spacing w:line="300" w:lineRule="exact"/>
              <w:ind w:left="0" w:left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工</w:t>
            </w:r>
          </w:p>
          <w:p w14:paraId="7D809D85">
            <w:pPr>
              <w:keepNext w:val="0"/>
              <w:keepLines w:val="0"/>
              <w:pageBreakBefore w:val="0"/>
              <w:widowControl w:val="0"/>
              <w:kinsoku/>
              <w:wordWrap/>
              <w:overflowPunct/>
              <w:autoSpaceDE/>
              <w:autoSpaceDN/>
              <w:bidi w:val="0"/>
              <w:adjustRightInd/>
              <w:snapToGrid w:val="0"/>
              <w:spacing w:line="300" w:lineRule="exact"/>
              <w:ind w:left="0" w:left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期</w:t>
            </w:r>
          </w:p>
        </w:tc>
        <w:tc>
          <w:tcPr>
            <w:tcW w:w="239" w:type="pct"/>
            <w:tcBorders>
              <w:tl2br w:val="nil"/>
              <w:tr2bl w:val="nil"/>
            </w:tcBorders>
            <w:vAlign w:val="center"/>
          </w:tcPr>
          <w:p w14:paraId="699E3360">
            <w:pPr>
              <w:keepNext w:val="0"/>
              <w:keepLines w:val="0"/>
              <w:pageBreakBefore w:val="0"/>
              <w:widowControl w:val="0"/>
              <w:kinsoku/>
              <w:wordWrap/>
              <w:overflowPunct/>
              <w:autoSpaceDE/>
              <w:autoSpaceDN/>
              <w:bidi w:val="0"/>
              <w:adjustRightInd/>
              <w:snapToGrid w:val="0"/>
              <w:spacing w:line="300" w:lineRule="exact"/>
              <w:ind w:left="0" w:left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废</w:t>
            </w:r>
          </w:p>
          <w:p w14:paraId="2499A32B">
            <w:pPr>
              <w:keepNext w:val="0"/>
              <w:keepLines w:val="0"/>
              <w:pageBreakBefore w:val="0"/>
              <w:widowControl w:val="0"/>
              <w:kinsoku/>
              <w:wordWrap/>
              <w:overflowPunct/>
              <w:autoSpaceDE/>
              <w:autoSpaceDN/>
              <w:bidi w:val="0"/>
              <w:adjustRightInd/>
              <w:snapToGrid w:val="0"/>
              <w:spacing w:line="300" w:lineRule="exact"/>
              <w:ind w:left="0" w:left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气</w:t>
            </w:r>
          </w:p>
        </w:tc>
        <w:tc>
          <w:tcPr>
            <w:tcW w:w="462" w:type="pct"/>
            <w:tcBorders>
              <w:tl2br w:val="nil"/>
              <w:tr2bl w:val="nil"/>
            </w:tcBorders>
            <w:vAlign w:val="center"/>
          </w:tcPr>
          <w:p w14:paraId="24E30CEC">
            <w:pPr>
              <w:keepNext w:val="0"/>
              <w:keepLines w:val="0"/>
              <w:pageBreakBefore w:val="0"/>
              <w:widowControl w:val="0"/>
              <w:kinsoku/>
              <w:wordWrap/>
              <w:overflowPunct/>
              <w:autoSpaceDE/>
              <w:autoSpaceDN/>
              <w:bidi w:val="0"/>
              <w:adjustRightInd/>
              <w:snapToGrid w:val="0"/>
              <w:spacing w:line="300" w:lineRule="exact"/>
              <w:ind w:left="0" w:left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道路扬尘、</w:t>
            </w:r>
          </w:p>
          <w:p w14:paraId="43698B62">
            <w:pPr>
              <w:keepNext w:val="0"/>
              <w:keepLines w:val="0"/>
              <w:pageBreakBefore w:val="0"/>
              <w:widowControl w:val="0"/>
              <w:kinsoku/>
              <w:wordWrap/>
              <w:overflowPunct/>
              <w:autoSpaceDE/>
              <w:autoSpaceDN/>
              <w:bidi w:val="0"/>
              <w:adjustRightInd/>
              <w:snapToGrid w:val="0"/>
              <w:spacing w:line="300" w:lineRule="exact"/>
              <w:ind w:left="0" w:leftChars="0"/>
              <w:jc w:val="center"/>
              <w:textAlignment w:val="auto"/>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eastAsiaTheme="minorEastAsia"/>
                <w:color w:val="auto"/>
                <w:sz w:val="21"/>
                <w:szCs w:val="21"/>
                <w:highlight w:val="none"/>
              </w:rPr>
              <w:t>施工</w:t>
            </w:r>
            <w:r>
              <w:rPr>
                <w:rFonts w:hint="default" w:ascii="Times New Roman" w:hAnsi="Times New Roman" w:cs="Times New Roman" w:eastAsiaTheme="minorEastAsia"/>
                <w:color w:val="auto"/>
                <w:sz w:val="21"/>
                <w:szCs w:val="21"/>
                <w:highlight w:val="none"/>
                <w:lang w:val="en-US" w:eastAsia="zh-CN"/>
              </w:rPr>
              <w:t>扬尘</w:t>
            </w:r>
          </w:p>
        </w:tc>
        <w:tc>
          <w:tcPr>
            <w:tcW w:w="3000" w:type="pct"/>
            <w:tcBorders>
              <w:tl2br w:val="nil"/>
              <w:tr2bl w:val="nil"/>
            </w:tcBorders>
            <w:vAlign w:val="center"/>
          </w:tcPr>
          <w:p w14:paraId="6F12375D">
            <w:pPr>
              <w:keepNext w:val="0"/>
              <w:keepLines w:val="0"/>
              <w:pageBreakBefore w:val="0"/>
              <w:widowControl w:val="0"/>
              <w:kinsoku/>
              <w:wordWrap/>
              <w:overflowPunct/>
              <w:autoSpaceDE/>
              <w:autoSpaceDN/>
              <w:bidi w:val="0"/>
              <w:adjustRightInd/>
              <w:snapToGrid w:val="0"/>
              <w:spacing w:line="300" w:lineRule="exact"/>
              <w:ind w:left="0" w:leftChars="0"/>
              <w:jc w:val="both"/>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1、运输道路及风机基础开挖时经常洒水抑尘；</w:t>
            </w:r>
          </w:p>
          <w:p w14:paraId="6F51EE0A">
            <w:pPr>
              <w:keepNext w:val="0"/>
              <w:keepLines w:val="0"/>
              <w:pageBreakBefore w:val="0"/>
              <w:widowControl w:val="0"/>
              <w:kinsoku/>
              <w:wordWrap/>
              <w:overflowPunct/>
              <w:topLinePunct w:val="0"/>
              <w:autoSpaceDE/>
              <w:autoSpaceDN/>
              <w:bidi w:val="0"/>
              <w:adjustRightInd/>
              <w:snapToGrid w:val="0"/>
              <w:spacing w:line="300" w:lineRule="exact"/>
              <w:ind w:left="0" w:leftChars="0"/>
              <w:jc w:val="both"/>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2、施工现场土方开挖后及时回填或采取覆盖措施，建筑垃圾尽量清运，不能按时清运的，采取围挡覆盖措施；</w:t>
            </w:r>
          </w:p>
          <w:p w14:paraId="7761F6B4">
            <w:pPr>
              <w:keepNext w:val="0"/>
              <w:keepLines w:val="0"/>
              <w:pageBreakBefore w:val="0"/>
              <w:widowControl w:val="0"/>
              <w:kinsoku/>
              <w:wordWrap/>
              <w:overflowPunct/>
              <w:autoSpaceDE/>
              <w:autoSpaceDN/>
              <w:bidi w:val="0"/>
              <w:adjustRightInd/>
              <w:snapToGrid w:val="0"/>
              <w:spacing w:line="300" w:lineRule="exact"/>
              <w:ind w:left="0" w:leftChars="0"/>
              <w:jc w:val="lef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3、场内道路尽量远离村庄，禁止大风天施工；粉料运输采取覆盖措施。</w:t>
            </w:r>
          </w:p>
        </w:tc>
        <w:tc>
          <w:tcPr>
            <w:tcW w:w="1081" w:type="pct"/>
            <w:tcBorders>
              <w:tl2br w:val="nil"/>
              <w:tr2bl w:val="nil"/>
            </w:tcBorders>
            <w:vAlign w:val="center"/>
          </w:tcPr>
          <w:p w14:paraId="0FFDFEE3">
            <w:pPr>
              <w:keepNext w:val="0"/>
              <w:keepLines w:val="0"/>
              <w:pageBreakBefore w:val="0"/>
              <w:widowControl w:val="0"/>
              <w:kinsoku/>
              <w:wordWrap w:val="0"/>
              <w:overflowPunct/>
              <w:topLinePunct/>
              <w:autoSpaceDE/>
              <w:autoSpaceDN/>
              <w:bidi w:val="0"/>
              <w:adjustRightInd/>
              <w:snapToGrid w:val="0"/>
              <w:spacing w:line="300" w:lineRule="exact"/>
              <w:ind w:left="0" w:leftChars="0"/>
              <w:jc w:val="both"/>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《建筑施工扬尘排放标准》(DB6501/T030-2022)中无组织排放监控浓度限值。</w:t>
            </w:r>
          </w:p>
        </w:tc>
      </w:tr>
      <w:tr w14:paraId="6564BC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15" w:type="pct"/>
            <w:vMerge w:val="continue"/>
            <w:tcBorders>
              <w:tl2br w:val="nil"/>
              <w:tr2bl w:val="nil"/>
            </w:tcBorders>
            <w:vAlign w:val="center"/>
          </w:tcPr>
          <w:p w14:paraId="46D6B186">
            <w:pPr>
              <w:keepNext w:val="0"/>
              <w:keepLines w:val="0"/>
              <w:pageBreakBefore w:val="0"/>
              <w:widowControl w:val="0"/>
              <w:kinsoku/>
              <w:wordWrap/>
              <w:overflowPunct/>
              <w:autoSpaceDE/>
              <w:autoSpaceDN/>
              <w:bidi w:val="0"/>
              <w:adjustRightInd/>
              <w:snapToGrid w:val="0"/>
              <w:spacing w:line="300" w:lineRule="exact"/>
              <w:ind w:left="0" w:leftChars="0"/>
              <w:jc w:val="center"/>
              <w:textAlignment w:val="auto"/>
              <w:rPr>
                <w:rFonts w:hint="default" w:ascii="Times New Roman" w:hAnsi="Times New Roman" w:cs="Times New Roman" w:eastAsiaTheme="minorEastAsia"/>
                <w:color w:val="FF0000"/>
                <w:sz w:val="21"/>
                <w:szCs w:val="21"/>
                <w:highlight w:val="none"/>
              </w:rPr>
            </w:pPr>
          </w:p>
        </w:tc>
        <w:tc>
          <w:tcPr>
            <w:tcW w:w="239" w:type="pct"/>
            <w:vMerge w:val="restart"/>
            <w:tcBorders>
              <w:tl2br w:val="nil"/>
              <w:tr2bl w:val="nil"/>
            </w:tcBorders>
            <w:vAlign w:val="center"/>
          </w:tcPr>
          <w:p w14:paraId="005EA0E0">
            <w:pPr>
              <w:keepNext w:val="0"/>
              <w:keepLines w:val="0"/>
              <w:pageBreakBefore w:val="0"/>
              <w:widowControl w:val="0"/>
              <w:kinsoku/>
              <w:wordWrap/>
              <w:overflowPunct/>
              <w:autoSpaceDE/>
              <w:autoSpaceDN/>
              <w:bidi w:val="0"/>
              <w:adjustRightInd/>
              <w:snapToGrid w:val="0"/>
              <w:spacing w:line="300" w:lineRule="exact"/>
              <w:ind w:left="0" w:left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废</w:t>
            </w:r>
          </w:p>
          <w:p w14:paraId="026AD1D7">
            <w:pPr>
              <w:keepNext w:val="0"/>
              <w:keepLines w:val="0"/>
              <w:pageBreakBefore w:val="0"/>
              <w:widowControl w:val="0"/>
              <w:kinsoku/>
              <w:wordWrap/>
              <w:overflowPunct/>
              <w:autoSpaceDE/>
              <w:autoSpaceDN/>
              <w:bidi w:val="0"/>
              <w:adjustRightInd/>
              <w:snapToGrid w:val="0"/>
              <w:spacing w:line="300" w:lineRule="exact"/>
              <w:ind w:left="0" w:left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水</w:t>
            </w:r>
          </w:p>
        </w:tc>
        <w:tc>
          <w:tcPr>
            <w:tcW w:w="462" w:type="pct"/>
            <w:tcBorders>
              <w:tl2br w:val="nil"/>
              <w:tr2bl w:val="nil"/>
            </w:tcBorders>
            <w:vAlign w:val="center"/>
          </w:tcPr>
          <w:p w14:paraId="1F9C6881">
            <w:pPr>
              <w:keepNext w:val="0"/>
              <w:keepLines w:val="0"/>
              <w:pageBreakBefore w:val="0"/>
              <w:widowControl w:val="0"/>
              <w:kinsoku/>
              <w:wordWrap/>
              <w:overflowPunct/>
              <w:autoSpaceDE/>
              <w:autoSpaceDN/>
              <w:bidi w:val="0"/>
              <w:adjustRightInd/>
              <w:snapToGrid w:val="0"/>
              <w:spacing w:line="300" w:lineRule="exact"/>
              <w:ind w:left="0" w:left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生产废水</w:t>
            </w:r>
          </w:p>
        </w:tc>
        <w:tc>
          <w:tcPr>
            <w:tcW w:w="3000" w:type="pct"/>
            <w:tcBorders>
              <w:tl2br w:val="nil"/>
              <w:tr2bl w:val="nil"/>
            </w:tcBorders>
            <w:vAlign w:val="center"/>
          </w:tcPr>
          <w:p w14:paraId="79B17584">
            <w:pPr>
              <w:keepNext w:val="0"/>
              <w:keepLines w:val="0"/>
              <w:pageBreakBefore w:val="0"/>
              <w:widowControl w:val="0"/>
              <w:numPr>
                <w:ilvl w:val="0"/>
                <w:numId w:val="7"/>
              </w:numPr>
              <w:kinsoku/>
              <w:wordWrap/>
              <w:overflowPunct/>
              <w:topLinePunct/>
              <w:autoSpaceDE/>
              <w:autoSpaceDN/>
              <w:bidi w:val="0"/>
              <w:adjustRightInd/>
              <w:snapToGrid w:val="0"/>
              <w:spacing w:line="300" w:lineRule="exact"/>
              <w:ind w:left="0" w:leftChars="0" w:firstLine="0" w:firstLineChars="0"/>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施工机械修理维护依托</w:t>
            </w:r>
            <w:r>
              <w:rPr>
                <w:rFonts w:hint="eastAsia" w:cs="Times New Roman" w:eastAsiaTheme="minorEastAsia"/>
                <w:color w:val="auto"/>
                <w:sz w:val="21"/>
                <w:szCs w:val="21"/>
                <w:lang w:val="en-US" w:eastAsia="zh-CN"/>
              </w:rPr>
              <w:t>附近</w:t>
            </w:r>
            <w:r>
              <w:rPr>
                <w:rFonts w:hint="default" w:ascii="Times New Roman" w:hAnsi="Times New Roman" w:cs="Times New Roman" w:eastAsiaTheme="minorEastAsia"/>
                <w:color w:val="auto"/>
                <w:sz w:val="21"/>
                <w:szCs w:val="21"/>
                <w:lang w:val="en-US" w:eastAsia="zh-CN"/>
              </w:rPr>
              <w:t>商业机修站维修。混凝土将依托乌鲁木齐现有的商品混凝土，施工场地内不设置修理厂及混凝土拌合站。采用混凝土直接浇筑的方式施工，浇筑前基础底部铺设防渗膜，防止混凝土养护废水入渗。</w:t>
            </w:r>
          </w:p>
          <w:p w14:paraId="0BA571B9">
            <w:pPr>
              <w:keepNext w:val="0"/>
              <w:keepLines w:val="0"/>
              <w:pageBreakBefore w:val="0"/>
              <w:widowControl w:val="0"/>
              <w:numPr>
                <w:ilvl w:val="0"/>
                <w:numId w:val="0"/>
              </w:numPr>
              <w:kinsoku/>
              <w:wordWrap/>
              <w:overflowPunct/>
              <w:topLinePunct/>
              <w:autoSpaceDE/>
              <w:autoSpaceDN/>
              <w:bidi w:val="0"/>
              <w:adjustRightInd/>
              <w:snapToGrid w:val="0"/>
              <w:spacing w:line="300" w:lineRule="exact"/>
              <w:ind w:leftChars="0"/>
              <w:textAlignment w:val="auto"/>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2</w:t>
            </w:r>
            <w:r>
              <w:rPr>
                <w:rFonts w:hint="default" w:ascii="Times New Roman" w:hAnsi="Times New Roman" w:cs="Times New Roman" w:eastAsiaTheme="minorEastAsia"/>
                <w:color w:val="auto"/>
                <w:sz w:val="21"/>
                <w:szCs w:val="21"/>
                <w:lang w:val="en-US" w:eastAsia="zh-CN"/>
              </w:rPr>
              <w:t>、施工临建区域内各设置1座50m</w:t>
            </w:r>
            <w:r>
              <w:rPr>
                <w:rFonts w:hint="default" w:ascii="Times New Roman" w:hAnsi="Times New Roman" w:cs="Times New Roman" w:eastAsiaTheme="minorEastAsia"/>
                <w:color w:val="auto"/>
                <w:sz w:val="21"/>
                <w:szCs w:val="21"/>
                <w:vertAlign w:val="superscript"/>
                <w:lang w:val="en-US" w:eastAsia="zh-CN"/>
              </w:rPr>
              <w:t>3</w:t>
            </w:r>
            <w:r>
              <w:rPr>
                <w:rFonts w:hint="default" w:ascii="Times New Roman" w:hAnsi="Times New Roman" w:cs="Times New Roman" w:eastAsiaTheme="minorEastAsia"/>
                <w:color w:val="auto"/>
                <w:sz w:val="21"/>
                <w:szCs w:val="21"/>
                <w:lang w:val="en-US" w:eastAsia="zh-CN"/>
              </w:rPr>
              <w:t>的沉淀池，车辆冲洗废水集中收集处理后循环利用，不外排。</w:t>
            </w:r>
          </w:p>
          <w:p w14:paraId="5E97D0D2">
            <w:pPr>
              <w:keepNext w:val="0"/>
              <w:keepLines w:val="0"/>
              <w:pageBreakBefore w:val="0"/>
              <w:widowControl w:val="0"/>
              <w:numPr>
                <w:ilvl w:val="0"/>
                <w:numId w:val="0"/>
              </w:numPr>
              <w:kinsoku/>
              <w:wordWrap/>
              <w:overflowPunct/>
              <w:topLinePunct/>
              <w:autoSpaceDE/>
              <w:autoSpaceDN/>
              <w:bidi w:val="0"/>
              <w:adjustRightInd/>
              <w:snapToGrid w:val="0"/>
              <w:spacing w:line="300" w:lineRule="exact"/>
              <w:ind w:leftChars="0"/>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3</w:t>
            </w:r>
            <w:r>
              <w:rPr>
                <w:rFonts w:hint="default" w:ascii="Times New Roman" w:hAnsi="Times New Roman" w:cs="Times New Roman" w:eastAsiaTheme="minorEastAsia"/>
                <w:color w:val="auto"/>
                <w:sz w:val="21"/>
                <w:szCs w:val="21"/>
                <w:highlight w:val="none"/>
                <w:lang w:val="en-US" w:eastAsia="zh-CN"/>
              </w:rPr>
              <w:t>、建筑材料需集中堆放，并采取一定的防雨淋措施，及时清扫施工运输过程中抛洒的上述建筑材料，以免这些物质随雨水冲刷污染周围环境。</w:t>
            </w:r>
          </w:p>
          <w:p w14:paraId="2EADDF78">
            <w:pPr>
              <w:keepNext w:val="0"/>
              <w:keepLines w:val="0"/>
              <w:pageBreakBefore w:val="0"/>
              <w:widowControl w:val="0"/>
              <w:kinsoku/>
              <w:wordWrap/>
              <w:overflowPunct/>
              <w:topLinePunct/>
              <w:autoSpaceDE/>
              <w:autoSpaceDN/>
              <w:bidi w:val="0"/>
              <w:adjustRightInd/>
              <w:snapToGrid w:val="0"/>
              <w:spacing w:line="300" w:lineRule="exact"/>
              <w:ind w:left="0" w:leftChars="0" w:firstLine="0" w:firstLineChars="0"/>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4</w:t>
            </w:r>
            <w:r>
              <w:rPr>
                <w:rFonts w:hint="default" w:ascii="Times New Roman" w:hAnsi="Times New Roman" w:cs="Times New Roman" w:eastAsiaTheme="minorEastAsia"/>
                <w:color w:val="auto"/>
                <w:sz w:val="21"/>
                <w:szCs w:val="21"/>
                <w:highlight w:val="none"/>
                <w:lang w:val="en-US" w:eastAsia="zh-CN"/>
              </w:rPr>
              <w:t>、禁止在水源保护区内设置施工营地、拌合站、物料堆场等，减少对附近冲沟、水源保护区的扰动。</w:t>
            </w:r>
          </w:p>
          <w:p w14:paraId="621A090C">
            <w:pPr>
              <w:keepNext w:val="0"/>
              <w:keepLines w:val="0"/>
              <w:pageBreakBefore w:val="0"/>
              <w:widowControl w:val="0"/>
              <w:kinsoku/>
              <w:wordWrap/>
              <w:overflowPunct/>
              <w:topLinePunct/>
              <w:autoSpaceDE/>
              <w:autoSpaceDN/>
              <w:bidi w:val="0"/>
              <w:adjustRightInd/>
              <w:snapToGrid w:val="0"/>
              <w:spacing w:line="300" w:lineRule="exact"/>
              <w:ind w:left="0" w:leftChars="0" w:firstLine="0" w:firstLineChars="0"/>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5</w:t>
            </w:r>
            <w:r>
              <w:rPr>
                <w:rFonts w:hint="default" w:ascii="Times New Roman" w:hAnsi="Times New Roman" w:cs="Times New Roman" w:eastAsiaTheme="minorEastAsia"/>
                <w:color w:val="auto"/>
                <w:sz w:val="21"/>
                <w:szCs w:val="21"/>
                <w:highlight w:val="none"/>
                <w:lang w:val="en-US" w:eastAsia="zh-CN"/>
              </w:rPr>
              <w:t>、禁止在水源保护区内给车辆、设备加油，定期维护和保养施工机械，减少建设过程中滴漏的油污。机械设备若有漏油现象要及时处理，避免造成大的污染。运营期设备器件尽量带离保护区维修，确需在现场维修时做好防护，不得在</w:t>
            </w:r>
            <w:r>
              <w:rPr>
                <w:rFonts w:hint="eastAsia" w:cs="Times New Roman" w:eastAsiaTheme="minorEastAsia"/>
                <w:color w:val="auto"/>
                <w:sz w:val="21"/>
                <w:szCs w:val="21"/>
                <w:highlight w:val="none"/>
                <w:lang w:val="en-US" w:eastAsia="zh-CN"/>
              </w:rPr>
              <w:t>冲沟、河流及</w:t>
            </w:r>
            <w:r>
              <w:rPr>
                <w:rFonts w:hint="default" w:ascii="Times New Roman" w:hAnsi="Times New Roman" w:cs="Times New Roman" w:eastAsiaTheme="minorEastAsia"/>
                <w:color w:val="auto"/>
                <w:sz w:val="21"/>
                <w:szCs w:val="21"/>
                <w:highlight w:val="none"/>
                <w:lang w:val="en-US" w:eastAsia="zh-CN"/>
              </w:rPr>
              <w:t>水源保护区等排放任何污染物。禁止水源保护区内清洗施工机械。</w:t>
            </w:r>
          </w:p>
          <w:p w14:paraId="44C6F240">
            <w:pPr>
              <w:keepNext w:val="0"/>
              <w:keepLines w:val="0"/>
              <w:pageBreakBefore w:val="0"/>
              <w:widowControl w:val="0"/>
              <w:kinsoku/>
              <w:wordWrap/>
              <w:overflowPunct/>
              <w:topLinePunct/>
              <w:autoSpaceDE/>
              <w:autoSpaceDN/>
              <w:bidi w:val="0"/>
              <w:adjustRightInd/>
              <w:snapToGrid w:val="0"/>
              <w:spacing w:line="300" w:lineRule="exact"/>
              <w:ind w:left="0" w:leftChars="0" w:firstLine="0" w:firstLineChars="0"/>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6</w:t>
            </w:r>
            <w:r>
              <w:rPr>
                <w:rFonts w:hint="default" w:ascii="Times New Roman" w:hAnsi="Times New Roman" w:cs="Times New Roman" w:eastAsiaTheme="minorEastAsia"/>
                <w:color w:val="auto"/>
                <w:sz w:val="21"/>
                <w:szCs w:val="21"/>
                <w:highlight w:val="none"/>
                <w:lang w:val="en-US" w:eastAsia="zh-CN"/>
              </w:rPr>
              <w:t>、严格按照主管部门的要求进行施工，严格控制施工作业带宽度，加强施工管理，不得将施工废弃物排放到附近</w:t>
            </w:r>
            <w:r>
              <w:rPr>
                <w:rFonts w:hint="eastAsia" w:cs="Times New Roman" w:eastAsiaTheme="minorEastAsia"/>
                <w:color w:val="auto"/>
                <w:sz w:val="21"/>
                <w:szCs w:val="21"/>
                <w:highlight w:val="none"/>
                <w:lang w:val="en-US" w:eastAsia="zh-CN"/>
              </w:rPr>
              <w:t>水体、冲沟</w:t>
            </w:r>
            <w:r>
              <w:rPr>
                <w:rFonts w:hint="default" w:ascii="Times New Roman" w:hAnsi="Times New Roman" w:cs="Times New Roman" w:eastAsiaTheme="minorEastAsia"/>
                <w:color w:val="auto"/>
                <w:sz w:val="21"/>
                <w:szCs w:val="21"/>
                <w:highlight w:val="none"/>
                <w:lang w:val="en-US" w:eastAsia="zh-CN"/>
              </w:rPr>
              <w:t>、水源保护区内，减少对附近</w:t>
            </w:r>
            <w:r>
              <w:rPr>
                <w:rFonts w:hint="eastAsia" w:cs="Times New Roman" w:eastAsiaTheme="minorEastAsia"/>
                <w:color w:val="auto"/>
                <w:sz w:val="21"/>
                <w:szCs w:val="21"/>
                <w:highlight w:val="none"/>
                <w:lang w:val="en-US" w:eastAsia="zh-CN"/>
              </w:rPr>
              <w:t>水体、</w:t>
            </w:r>
            <w:r>
              <w:rPr>
                <w:rFonts w:hint="default" w:ascii="Times New Roman" w:hAnsi="Times New Roman" w:cs="Times New Roman" w:eastAsiaTheme="minorEastAsia"/>
                <w:color w:val="auto"/>
                <w:sz w:val="21"/>
                <w:szCs w:val="21"/>
                <w:highlight w:val="none"/>
                <w:lang w:val="en-US" w:eastAsia="zh-CN"/>
              </w:rPr>
              <w:t>冲沟、水源保护区的影响和破坏。</w:t>
            </w:r>
          </w:p>
          <w:p w14:paraId="71D7D042">
            <w:pPr>
              <w:keepNext w:val="0"/>
              <w:keepLines w:val="0"/>
              <w:pageBreakBefore w:val="0"/>
              <w:widowControl w:val="0"/>
              <w:kinsoku/>
              <w:wordWrap/>
              <w:overflowPunct/>
              <w:topLinePunct/>
              <w:autoSpaceDE/>
              <w:autoSpaceDN/>
              <w:bidi w:val="0"/>
              <w:adjustRightInd/>
              <w:snapToGrid w:val="0"/>
              <w:spacing w:line="300" w:lineRule="exact"/>
              <w:ind w:left="0" w:leftChars="0" w:firstLine="0" w:firstLineChars="0"/>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7</w:t>
            </w:r>
            <w:r>
              <w:rPr>
                <w:rFonts w:hint="default" w:ascii="Times New Roman" w:hAnsi="Times New Roman" w:cs="Times New Roman" w:eastAsiaTheme="minorEastAsia"/>
                <w:color w:val="auto"/>
                <w:sz w:val="21"/>
                <w:szCs w:val="21"/>
                <w:highlight w:val="none"/>
                <w:lang w:val="en-US" w:eastAsia="zh-CN"/>
              </w:rPr>
              <w:t>、本项目施工期产生的各类固体废物均妥善处置，不得向附近冲沟、水体和水源保护区、准保护区倾倒；不得向附近冲沟、</w:t>
            </w:r>
            <w:r>
              <w:rPr>
                <w:rFonts w:hint="eastAsia" w:cs="Times New Roman" w:eastAsiaTheme="minorEastAsia"/>
                <w:color w:val="auto"/>
                <w:sz w:val="21"/>
                <w:szCs w:val="21"/>
                <w:highlight w:val="none"/>
                <w:lang w:val="en-US" w:eastAsia="zh-CN"/>
              </w:rPr>
              <w:t>水体、</w:t>
            </w:r>
            <w:r>
              <w:rPr>
                <w:rFonts w:hint="default" w:ascii="Times New Roman" w:hAnsi="Times New Roman" w:cs="Times New Roman" w:eastAsiaTheme="minorEastAsia"/>
                <w:color w:val="auto"/>
                <w:sz w:val="21"/>
                <w:szCs w:val="21"/>
                <w:highlight w:val="none"/>
                <w:lang w:val="en-US" w:eastAsia="zh-CN"/>
              </w:rPr>
              <w:t>水源保护区排放污染物，在水源保护区、准保护区内不得设置排污口，设立禁止排污范围标识牌。</w:t>
            </w:r>
          </w:p>
          <w:p w14:paraId="48AD1D68">
            <w:pPr>
              <w:keepNext w:val="0"/>
              <w:keepLines w:val="0"/>
              <w:pageBreakBefore w:val="0"/>
              <w:widowControl w:val="0"/>
              <w:kinsoku/>
              <w:wordWrap/>
              <w:overflowPunct/>
              <w:topLinePunct/>
              <w:autoSpaceDE/>
              <w:autoSpaceDN/>
              <w:bidi w:val="0"/>
              <w:adjustRightInd/>
              <w:snapToGrid w:val="0"/>
              <w:spacing w:line="300" w:lineRule="exact"/>
              <w:ind w:left="0" w:leftChars="0" w:firstLine="0" w:firstLineChars="0"/>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8</w:t>
            </w:r>
            <w:r>
              <w:rPr>
                <w:rFonts w:hint="default" w:ascii="Times New Roman" w:hAnsi="Times New Roman" w:cs="Times New Roman" w:eastAsiaTheme="minorEastAsia"/>
                <w:color w:val="auto"/>
                <w:sz w:val="21"/>
                <w:szCs w:val="21"/>
                <w:highlight w:val="none"/>
                <w:lang w:val="en-US" w:eastAsia="zh-CN"/>
              </w:rPr>
              <w:t>、本项目施工期间不得从项目区周边地表水体取水。</w:t>
            </w:r>
          </w:p>
          <w:p w14:paraId="5C53BFDA">
            <w:pPr>
              <w:keepNext w:val="0"/>
              <w:keepLines w:val="0"/>
              <w:pageBreakBefore w:val="0"/>
              <w:widowControl w:val="0"/>
              <w:kinsoku/>
              <w:wordWrap/>
              <w:overflowPunct/>
              <w:topLinePunct/>
              <w:autoSpaceDE/>
              <w:autoSpaceDN/>
              <w:bidi w:val="0"/>
              <w:adjustRightInd/>
              <w:snapToGrid w:val="0"/>
              <w:spacing w:line="300" w:lineRule="exact"/>
              <w:ind w:left="0" w:leftChars="0" w:firstLine="0" w:firstLineChars="0"/>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9</w:t>
            </w:r>
            <w:r>
              <w:rPr>
                <w:rFonts w:hint="default" w:ascii="Times New Roman" w:hAnsi="Times New Roman" w:cs="Times New Roman" w:eastAsiaTheme="minorEastAsia"/>
                <w:color w:val="auto"/>
                <w:sz w:val="21"/>
                <w:szCs w:val="21"/>
                <w:highlight w:val="none"/>
                <w:lang w:val="en-US" w:eastAsia="zh-CN"/>
              </w:rPr>
              <w:t>、加强对全体施工人员环境保护和水土保持方面的宣传教育，尤其是对本项目涉及的水环境保护目标的环境保护宣传教育，施工临建场地设置环保宣传牌，提高全员环境保护和水土保持的意识。</w:t>
            </w:r>
          </w:p>
          <w:p w14:paraId="4FF8A0C4">
            <w:pPr>
              <w:keepNext w:val="0"/>
              <w:keepLines w:val="0"/>
              <w:pageBreakBefore w:val="0"/>
              <w:widowControl w:val="0"/>
              <w:kinsoku/>
              <w:wordWrap/>
              <w:overflowPunct/>
              <w:autoSpaceDE/>
              <w:autoSpaceDN/>
              <w:bidi w:val="0"/>
              <w:adjustRightInd/>
              <w:snapToGrid w:val="0"/>
              <w:spacing w:line="300" w:lineRule="exact"/>
              <w:ind w:left="0" w:leftChars="0"/>
              <w:jc w:val="both"/>
              <w:textAlignment w:val="auto"/>
              <w:rPr>
                <w:rFonts w:hint="default" w:ascii="Times New Roman" w:hAnsi="Times New Roman" w:cs="Times New Roman" w:eastAsiaTheme="minorEastAsia"/>
                <w:color w:val="auto"/>
                <w:sz w:val="21"/>
                <w:szCs w:val="21"/>
                <w:highlight w:val="none"/>
              </w:rPr>
            </w:pPr>
            <w:r>
              <w:rPr>
                <w:rFonts w:hint="eastAsia" w:ascii="Times New Roman" w:hAnsi="Times New Roman" w:cs="Times New Roman" w:eastAsiaTheme="minorEastAsia"/>
                <w:color w:val="auto"/>
                <w:sz w:val="21"/>
                <w:szCs w:val="21"/>
                <w:highlight w:val="none"/>
                <w:lang w:val="en-US" w:eastAsia="zh-CN"/>
              </w:rPr>
              <w:t>10</w:t>
            </w:r>
            <w:r>
              <w:rPr>
                <w:rFonts w:hint="default" w:ascii="Times New Roman" w:hAnsi="Times New Roman" w:cs="Times New Roman" w:eastAsiaTheme="minorEastAsia"/>
                <w:color w:val="auto"/>
                <w:sz w:val="21"/>
                <w:szCs w:val="21"/>
                <w:highlight w:val="none"/>
                <w:lang w:val="en-US" w:eastAsia="zh-CN"/>
              </w:rPr>
              <w:t>、各项施工活动均应尽可能远离、避让地表水体。车辆在临近地表水体的施工道路行驶时，必须减速慢行，并对施工场地采取洒水降尘、粉状物料遮盖等措施，减少扬尘对地表水体的污染。</w:t>
            </w:r>
          </w:p>
        </w:tc>
        <w:tc>
          <w:tcPr>
            <w:tcW w:w="1081" w:type="pct"/>
            <w:vMerge w:val="restart"/>
            <w:tcBorders>
              <w:tl2br w:val="nil"/>
              <w:tr2bl w:val="nil"/>
            </w:tcBorders>
            <w:vAlign w:val="center"/>
          </w:tcPr>
          <w:p w14:paraId="599550F4">
            <w:pPr>
              <w:keepNext w:val="0"/>
              <w:keepLines w:val="0"/>
              <w:pageBreakBefore w:val="0"/>
              <w:widowControl w:val="0"/>
              <w:kinsoku/>
              <w:wordWrap/>
              <w:overflowPunct/>
              <w:autoSpaceDE/>
              <w:autoSpaceDN/>
              <w:bidi w:val="0"/>
              <w:adjustRightInd/>
              <w:snapToGrid w:val="0"/>
              <w:spacing w:line="300" w:lineRule="exact"/>
              <w:ind w:left="0" w:left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最大限度降低项目对</w:t>
            </w:r>
            <w:r>
              <w:rPr>
                <w:rFonts w:hint="default" w:ascii="Times New Roman" w:hAnsi="Times New Roman" w:cs="Times New Roman" w:eastAsiaTheme="minorEastAsia"/>
                <w:color w:val="auto"/>
                <w:sz w:val="21"/>
                <w:szCs w:val="21"/>
                <w:highlight w:val="none"/>
                <w:lang w:val="en-US" w:eastAsia="zh-CN"/>
              </w:rPr>
              <w:t>水环境</w:t>
            </w:r>
            <w:r>
              <w:rPr>
                <w:rFonts w:hint="default" w:ascii="Times New Roman" w:hAnsi="Times New Roman" w:cs="Times New Roman" w:eastAsiaTheme="minorEastAsia"/>
                <w:color w:val="auto"/>
                <w:sz w:val="21"/>
                <w:szCs w:val="21"/>
                <w:highlight w:val="none"/>
              </w:rPr>
              <w:t>的影响，确保施工废水不外排。</w:t>
            </w:r>
          </w:p>
        </w:tc>
      </w:tr>
      <w:tr w14:paraId="41D48C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15" w:type="pct"/>
            <w:vMerge w:val="continue"/>
            <w:tcBorders>
              <w:tl2br w:val="nil"/>
              <w:tr2bl w:val="nil"/>
            </w:tcBorders>
            <w:vAlign w:val="center"/>
          </w:tcPr>
          <w:p w14:paraId="31E5F4E1">
            <w:pPr>
              <w:keepNext w:val="0"/>
              <w:keepLines w:val="0"/>
              <w:pageBreakBefore w:val="0"/>
              <w:widowControl w:val="0"/>
              <w:kinsoku/>
              <w:wordWrap/>
              <w:overflowPunct/>
              <w:autoSpaceDE/>
              <w:autoSpaceDN/>
              <w:bidi w:val="0"/>
              <w:adjustRightInd/>
              <w:snapToGrid w:val="0"/>
              <w:spacing w:line="300" w:lineRule="exact"/>
              <w:ind w:left="0" w:leftChars="0"/>
              <w:jc w:val="center"/>
              <w:textAlignment w:val="auto"/>
              <w:rPr>
                <w:rFonts w:hint="default" w:ascii="Times New Roman" w:hAnsi="Times New Roman" w:cs="Times New Roman" w:eastAsiaTheme="minorEastAsia"/>
                <w:color w:val="FF0000"/>
                <w:sz w:val="21"/>
                <w:szCs w:val="21"/>
                <w:highlight w:val="none"/>
              </w:rPr>
            </w:pPr>
          </w:p>
        </w:tc>
        <w:tc>
          <w:tcPr>
            <w:tcW w:w="239" w:type="pct"/>
            <w:vMerge w:val="continue"/>
            <w:tcBorders>
              <w:tl2br w:val="nil"/>
              <w:tr2bl w:val="nil"/>
            </w:tcBorders>
            <w:vAlign w:val="center"/>
          </w:tcPr>
          <w:p w14:paraId="1A612A38">
            <w:pPr>
              <w:keepNext w:val="0"/>
              <w:keepLines w:val="0"/>
              <w:pageBreakBefore w:val="0"/>
              <w:widowControl w:val="0"/>
              <w:kinsoku/>
              <w:wordWrap/>
              <w:overflowPunct/>
              <w:autoSpaceDE/>
              <w:autoSpaceDN/>
              <w:bidi w:val="0"/>
              <w:adjustRightInd/>
              <w:snapToGrid w:val="0"/>
              <w:spacing w:line="300" w:lineRule="exact"/>
              <w:ind w:left="0" w:leftChars="0"/>
              <w:jc w:val="center"/>
              <w:textAlignment w:val="auto"/>
              <w:rPr>
                <w:rFonts w:hint="default" w:ascii="Times New Roman" w:hAnsi="Times New Roman" w:cs="Times New Roman" w:eastAsiaTheme="minorEastAsia"/>
                <w:color w:val="FF0000"/>
                <w:sz w:val="21"/>
                <w:szCs w:val="21"/>
                <w:highlight w:val="none"/>
              </w:rPr>
            </w:pPr>
          </w:p>
        </w:tc>
        <w:tc>
          <w:tcPr>
            <w:tcW w:w="462" w:type="pct"/>
            <w:tcBorders>
              <w:tl2br w:val="nil"/>
              <w:tr2bl w:val="nil"/>
            </w:tcBorders>
            <w:vAlign w:val="center"/>
          </w:tcPr>
          <w:p w14:paraId="4C4608DE">
            <w:pPr>
              <w:keepNext w:val="0"/>
              <w:keepLines w:val="0"/>
              <w:pageBreakBefore w:val="0"/>
              <w:widowControl w:val="0"/>
              <w:kinsoku/>
              <w:wordWrap/>
              <w:overflowPunct/>
              <w:autoSpaceDE/>
              <w:autoSpaceDN/>
              <w:bidi w:val="0"/>
              <w:adjustRightInd/>
              <w:snapToGrid w:val="0"/>
              <w:spacing w:line="300" w:lineRule="exact"/>
              <w:ind w:left="0" w:left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生活污水</w:t>
            </w:r>
          </w:p>
        </w:tc>
        <w:tc>
          <w:tcPr>
            <w:tcW w:w="3000" w:type="pct"/>
            <w:tcBorders>
              <w:tl2br w:val="nil"/>
              <w:tr2bl w:val="nil"/>
            </w:tcBorders>
            <w:vAlign w:val="center"/>
          </w:tcPr>
          <w:p w14:paraId="6689C38D">
            <w:pPr>
              <w:keepNext w:val="0"/>
              <w:keepLines w:val="0"/>
              <w:pageBreakBefore w:val="0"/>
              <w:widowControl w:val="0"/>
              <w:kinsoku/>
              <w:wordWrap/>
              <w:overflowPunct/>
              <w:topLinePunct/>
              <w:autoSpaceDE/>
              <w:autoSpaceDN/>
              <w:bidi w:val="0"/>
              <w:adjustRightInd/>
              <w:snapToGrid w:val="0"/>
              <w:spacing w:line="300" w:lineRule="exact"/>
              <w:ind w:left="0" w:leftChars="0" w:firstLine="0" w:firstLineChars="0"/>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snapToGrid w:val="0"/>
                <w:color w:val="auto"/>
                <w:sz w:val="21"/>
                <w:szCs w:val="21"/>
                <w:highlight w:val="none"/>
                <w:lang w:val="en-US" w:eastAsia="zh-CN"/>
              </w:rPr>
              <w:t>施工临建场地内的施工营地生活区设置移动环保厕所及1座100m</w:t>
            </w:r>
            <w:r>
              <w:rPr>
                <w:rFonts w:hint="default" w:ascii="Times New Roman" w:hAnsi="Times New Roman" w:cs="Times New Roman" w:eastAsiaTheme="minorEastAsia"/>
                <w:snapToGrid w:val="0"/>
                <w:color w:val="auto"/>
                <w:sz w:val="21"/>
                <w:szCs w:val="21"/>
                <w:highlight w:val="none"/>
                <w:vertAlign w:val="superscript"/>
                <w:lang w:val="en-US" w:eastAsia="zh-CN"/>
              </w:rPr>
              <w:t>3</w:t>
            </w:r>
            <w:r>
              <w:rPr>
                <w:rFonts w:hint="default" w:ascii="Times New Roman" w:hAnsi="Times New Roman" w:cs="Times New Roman" w:eastAsiaTheme="minorEastAsia"/>
                <w:snapToGrid w:val="0"/>
                <w:color w:val="auto"/>
                <w:sz w:val="21"/>
                <w:szCs w:val="21"/>
                <w:highlight w:val="none"/>
                <w:lang w:val="en-US" w:eastAsia="zh-CN"/>
              </w:rPr>
              <w:t>防渗污水收集池，营地食堂及洗漱废水排入防渗污水收集池；粪便污水排入卫生厕所；生活污水及粪便污水定期拉运至达坂城区污水处理厂处理。</w:t>
            </w:r>
          </w:p>
        </w:tc>
        <w:tc>
          <w:tcPr>
            <w:tcW w:w="1081" w:type="pct"/>
            <w:vMerge w:val="continue"/>
            <w:tcBorders>
              <w:tl2br w:val="nil"/>
              <w:tr2bl w:val="nil"/>
            </w:tcBorders>
            <w:vAlign w:val="center"/>
          </w:tcPr>
          <w:p w14:paraId="7E4CD427">
            <w:pPr>
              <w:keepNext w:val="0"/>
              <w:keepLines w:val="0"/>
              <w:pageBreakBefore w:val="0"/>
              <w:widowControl w:val="0"/>
              <w:kinsoku/>
              <w:wordWrap/>
              <w:overflowPunct/>
              <w:autoSpaceDE/>
              <w:autoSpaceDN/>
              <w:bidi w:val="0"/>
              <w:adjustRightInd/>
              <w:snapToGrid w:val="0"/>
              <w:spacing w:line="300" w:lineRule="exact"/>
              <w:ind w:left="0" w:leftChars="0"/>
              <w:jc w:val="center"/>
              <w:textAlignment w:val="auto"/>
              <w:rPr>
                <w:rFonts w:hint="default" w:ascii="Times New Roman" w:hAnsi="Times New Roman" w:cs="Times New Roman" w:eastAsiaTheme="minorEastAsia"/>
                <w:color w:val="auto"/>
                <w:sz w:val="21"/>
                <w:szCs w:val="21"/>
                <w:highlight w:val="none"/>
              </w:rPr>
            </w:pPr>
          </w:p>
        </w:tc>
      </w:tr>
      <w:tr w14:paraId="1F79D7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15" w:type="pct"/>
            <w:vMerge w:val="continue"/>
            <w:tcBorders>
              <w:tl2br w:val="nil"/>
              <w:tr2bl w:val="nil"/>
            </w:tcBorders>
            <w:vAlign w:val="center"/>
          </w:tcPr>
          <w:p w14:paraId="175B48F1">
            <w:pPr>
              <w:keepNext w:val="0"/>
              <w:keepLines w:val="0"/>
              <w:pageBreakBefore w:val="0"/>
              <w:widowControl w:val="0"/>
              <w:kinsoku/>
              <w:wordWrap/>
              <w:overflowPunct/>
              <w:autoSpaceDE/>
              <w:autoSpaceDN/>
              <w:bidi w:val="0"/>
              <w:adjustRightInd/>
              <w:snapToGrid w:val="0"/>
              <w:spacing w:line="300" w:lineRule="exact"/>
              <w:ind w:left="0" w:leftChars="0"/>
              <w:jc w:val="center"/>
              <w:textAlignment w:val="auto"/>
              <w:rPr>
                <w:rFonts w:hint="default" w:ascii="Times New Roman" w:hAnsi="Times New Roman" w:cs="Times New Roman" w:eastAsiaTheme="minorEastAsia"/>
                <w:color w:val="FF0000"/>
                <w:sz w:val="21"/>
                <w:szCs w:val="21"/>
                <w:highlight w:val="none"/>
              </w:rPr>
            </w:pPr>
          </w:p>
        </w:tc>
        <w:tc>
          <w:tcPr>
            <w:tcW w:w="239" w:type="pct"/>
            <w:vMerge w:val="restart"/>
            <w:tcBorders>
              <w:tl2br w:val="nil"/>
              <w:tr2bl w:val="nil"/>
            </w:tcBorders>
            <w:vAlign w:val="center"/>
          </w:tcPr>
          <w:p w14:paraId="57229750">
            <w:pPr>
              <w:keepNext w:val="0"/>
              <w:keepLines w:val="0"/>
              <w:pageBreakBefore w:val="0"/>
              <w:widowControl w:val="0"/>
              <w:kinsoku/>
              <w:wordWrap/>
              <w:overflowPunct/>
              <w:autoSpaceDE/>
              <w:autoSpaceDN/>
              <w:bidi w:val="0"/>
              <w:adjustRightInd/>
              <w:snapToGrid w:val="0"/>
              <w:spacing w:line="300" w:lineRule="exact"/>
              <w:ind w:left="0" w:leftChars="0"/>
              <w:jc w:val="center"/>
              <w:textAlignment w:val="auto"/>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eastAsiaTheme="minorEastAsia"/>
                <w:color w:val="auto"/>
                <w:sz w:val="21"/>
                <w:szCs w:val="21"/>
                <w:highlight w:val="none"/>
                <w:lang w:eastAsia="zh-CN"/>
              </w:rPr>
              <w:t>噪声</w:t>
            </w:r>
          </w:p>
        </w:tc>
        <w:tc>
          <w:tcPr>
            <w:tcW w:w="462" w:type="pct"/>
            <w:tcBorders>
              <w:tl2br w:val="nil"/>
              <w:tr2bl w:val="nil"/>
            </w:tcBorders>
            <w:vAlign w:val="center"/>
          </w:tcPr>
          <w:p w14:paraId="59484B5D">
            <w:pPr>
              <w:keepNext w:val="0"/>
              <w:keepLines w:val="0"/>
              <w:pageBreakBefore w:val="0"/>
              <w:widowControl w:val="0"/>
              <w:kinsoku/>
              <w:wordWrap/>
              <w:overflowPunct/>
              <w:autoSpaceDE/>
              <w:autoSpaceDN/>
              <w:bidi w:val="0"/>
              <w:adjustRightInd/>
              <w:snapToGrid w:val="0"/>
              <w:spacing w:line="300" w:lineRule="exact"/>
              <w:ind w:left="0" w:left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施工区</w:t>
            </w:r>
          </w:p>
        </w:tc>
        <w:tc>
          <w:tcPr>
            <w:tcW w:w="3000" w:type="pct"/>
            <w:tcBorders>
              <w:tl2br w:val="nil"/>
              <w:tr2bl w:val="nil"/>
            </w:tcBorders>
            <w:vAlign w:val="center"/>
          </w:tcPr>
          <w:p w14:paraId="0BD4F689">
            <w:pPr>
              <w:keepNext w:val="0"/>
              <w:keepLines w:val="0"/>
              <w:pageBreakBefore w:val="0"/>
              <w:widowControl w:val="0"/>
              <w:kinsoku/>
              <w:wordWrap/>
              <w:overflowPunct/>
              <w:autoSpaceDE/>
              <w:autoSpaceDN/>
              <w:bidi w:val="0"/>
              <w:adjustRightInd/>
              <w:snapToGrid w:val="0"/>
              <w:spacing w:line="300" w:lineRule="exact"/>
              <w:ind w:left="0" w:leftChars="0"/>
              <w:jc w:val="lef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1、优化运输路线，尽量避开村庄，禁止夜间施工，途经村庄时，减速慢行禁鸣；</w:t>
            </w:r>
          </w:p>
          <w:p w14:paraId="21D36316">
            <w:pPr>
              <w:keepNext w:val="0"/>
              <w:keepLines w:val="0"/>
              <w:pageBreakBefore w:val="0"/>
              <w:widowControl w:val="0"/>
              <w:kinsoku/>
              <w:wordWrap/>
              <w:overflowPunct/>
              <w:autoSpaceDE/>
              <w:autoSpaceDN/>
              <w:bidi w:val="0"/>
              <w:adjustRightInd/>
              <w:snapToGrid w:val="0"/>
              <w:spacing w:line="300" w:lineRule="exact"/>
              <w:ind w:left="0" w:leftChars="0"/>
              <w:jc w:val="lef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2、合理安排施工平面及施工顺序，尽量避免高噪设备同时施工；</w:t>
            </w:r>
          </w:p>
          <w:p w14:paraId="0F1EBAE2">
            <w:pPr>
              <w:keepNext w:val="0"/>
              <w:keepLines w:val="0"/>
              <w:pageBreakBefore w:val="0"/>
              <w:widowControl w:val="0"/>
              <w:kinsoku/>
              <w:wordWrap/>
              <w:overflowPunct/>
              <w:autoSpaceDE/>
              <w:autoSpaceDN/>
              <w:bidi w:val="0"/>
              <w:adjustRightInd/>
              <w:snapToGrid w:val="0"/>
              <w:spacing w:line="300" w:lineRule="exact"/>
              <w:ind w:left="0" w:leftChars="0"/>
              <w:jc w:val="lef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3、在利用现有道路运输施工物资时，应合理选择运输路线，禁止夜间运输。</w:t>
            </w:r>
          </w:p>
        </w:tc>
        <w:tc>
          <w:tcPr>
            <w:tcW w:w="1081" w:type="pct"/>
            <w:tcBorders>
              <w:tl2br w:val="nil"/>
              <w:tr2bl w:val="nil"/>
            </w:tcBorders>
            <w:vAlign w:val="center"/>
          </w:tcPr>
          <w:p w14:paraId="6B5C6AAA">
            <w:pPr>
              <w:keepNext w:val="0"/>
              <w:keepLines w:val="0"/>
              <w:pageBreakBefore w:val="0"/>
              <w:widowControl w:val="0"/>
              <w:kinsoku/>
              <w:wordWrap w:val="0"/>
              <w:overflowPunct/>
              <w:topLinePunct/>
              <w:autoSpaceDE/>
              <w:autoSpaceDN/>
              <w:bidi w:val="0"/>
              <w:adjustRightInd/>
              <w:snapToGrid w:val="0"/>
              <w:spacing w:line="300" w:lineRule="exact"/>
              <w:ind w:left="0" w:leftChars="0"/>
              <w:jc w:val="both"/>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《建筑施工场界环境噪声排放标准》</w:t>
            </w:r>
            <w:r>
              <w:rPr>
                <w:rFonts w:hint="default" w:ascii="Times New Roman" w:hAnsi="Times New Roman" w:cs="Times New Roman" w:eastAsiaTheme="minorEastAsia"/>
                <w:color w:val="auto"/>
                <w:sz w:val="21"/>
                <w:szCs w:val="21"/>
                <w:highlight w:val="none"/>
                <w:lang w:eastAsia="zh-CN"/>
              </w:rPr>
              <w:t>(</w:t>
            </w:r>
            <w:r>
              <w:rPr>
                <w:rFonts w:hint="default" w:ascii="Times New Roman" w:hAnsi="Times New Roman" w:cs="Times New Roman" w:eastAsiaTheme="minorEastAsia"/>
                <w:color w:val="auto"/>
                <w:sz w:val="21"/>
                <w:szCs w:val="21"/>
                <w:highlight w:val="none"/>
              </w:rPr>
              <w:t>GB12523-2011</w:t>
            </w:r>
            <w:r>
              <w:rPr>
                <w:rFonts w:hint="default" w:ascii="Times New Roman" w:hAnsi="Times New Roman" w:cs="Times New Roman" w:eastAsiaTheme="minorEastAsia"/>
                <w:color w:val="auto"/>
                <w:sz w:val="21"/>
                <w:szCs w:val="21"/>
                <w:highlight w:val="none"/>
                <w:lang w:eastAsia="zh-CN"/>
              </w:rPr>
              <w:t>)</w:t>
            </w:r>
            <w:r>
              <w:rPr>
                <w:rFonts w:hint="default" w:ascii="Times New Roman" w:hAnsi="Times New Roman" w:cs="Times New Roman" w:eastAsiaTheme="minorEastAsia"/>
                <w:color w:val="auto"/>
                <w:sz w:val="21"/>
                <w:szCs w:val="21"/>
                <w:highlight w:val="none"/>
              </w:rPr>
              <w:t>排放限值。</w:t>
            </w:r>
          </w:p>
        </w:tc>
      </w:tr>
      <w:tr w14:paraId="1B5F4E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15" w:type="pct"/>
            <w:vMerge w:val="continue"/>
            <w:tcBorders>
              <w:tl2br w:val="nil"/>
              <w:tr2bl w:val="nil"/>
            </w:tcBorders>
            <w:vAlign w:val="center"/>
          </w:tcPr>
          <w:p w14:paraId="6A7F6E9A">
            <w:pPr>
              <w:keepNext w:val="0"/>
              <w:keepLines w:val="0"/>
              <w:pageBreakBefore w:val="0"/>
              <w:widowControl w:val="0"/>
              <w:kinsoku/>
              <w:wordWrap/>
              <w:overflowPunct/>
              <w:autoSpaceDE/>
              <w:autoSpaceDN/>
              <w:bidi w:val="0"/>
              <w:adjustRightInd/>
              <w:snapToGrid w:val="0"/>
              <w:spacing w:line="300" w:lineRule="exact"/>
              <w:ind w:left="0" w:leftChars="0"/>
              <w:jc w:val="center"/>
              <w:textAlignment w:val="auto"/>
              <w:rPr>
                <w:rFonts w:hint="default" w:ascii="Times New Roman" w:hAnsi="Times New Roman" w:cs="Times New Roman" w:eastAsiaTheme="minorEastAsia"/>
                <w:color w:val="FF0000"/>
                <w:sz w:val="21"/>
                <w:szCs w:val="21"/>
                <w:highlight w:val="none"/>
              </w:rPr>
            </w:pPr>
          </w:p>
        </w:tc>
        <w:tc>
          <w:tcPr>
            <w:tcW w:w="239" w:type="pct"/>
            <w:vMerge w:val="restart"/>
            <w:tcBorders>
              <w:tl2br w:val="nil"/>
              <w:tr2bl w:val="nil"/>
            </w:tcBorders>
            <w:vAlign w:val="center"/>
          </w:tcPr>
          <w:p w14:paraId="0F69CD66">
            <w:pPr>
              <w:keepNext w:val="0"/>
              <w:keepLines w:val="0"/>
              <w:pageBreakBefore w:val="0"/>
              <w:widowControl w:val="0"/>
              <w:kinsoku/>
              <w:wordWrap/>
              <w:overflowPunct/>
              <w:autoSpaceDE/>
              <w:autoSpaceDN/>
              <w:bidi w:val="0"/>
              <w:adjustRightInd/>
              <w:snapToGrid w:val="0"/>
              <w:spacing w:line="300" w:lineRule="exact"/>
              <w:ind w:left="0" w:leftChars="0"/>
              <w:jc w:val="center"/>
              <w:textAlignment w:val="auto"/>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eastAsiaTheme="minorEastAsia"/>
                <w:color w:val="auto"/>
                <w:sz w:val="21"/>
                <w:szCs w:val="21"/>
                <w:highlight w:val="none"/>
                <w:lang w:eastAsia="zh-CN"/>
              </w:rPr>
              <w:t>固</w:t>
            </w:r>
          </w:p>
          <w:p w14:paraId="7AB165DF">
            <w:pPr>
              <w:keepNext w:val="0"/>
              <w:keepLines w:val="0"/>
              <w:pageBreakBefore w:val="0"/>
              <w:widowControl w:val="0"/>
              <w:kinsoku/>
              <w:wordWrap/>
              <w:overflowPunct/>
              <w:autoSpaceDE/>
              <w:autoSpaceDN/>
              <w:bidi w:val="0"/>
              <w:adjustRightInd/>
              <w:snapToGrid w:val="0"/>
              <w:spacing w:line="300" w:lineRule="exact"/>
              <w:ind w:left="0" w:leftChars="0"/>
              <w:jc w:val="center"/>
              <w:textAlignment w:val="auto"/>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eastAsiaTheme="minorEastAsia"/>
                <w:color w:val="auto"/>
                <w:sz w:val="21"/>
                <w:szCs w:val="21"/>
                <w:highlight w:val="none"/>
                <w:lang w:eastAsia="zh-CN"/>
              </w:rPr>
              <w:t>废</w:t>
            </w:r>
          </w:p>
        </w:tc>
        <w:tc>
          <w:tcPr>
            <w:tcW w:w="462" w:type="pct"/>
            <w:tcBorders>
              <w:tl2br w:val="nil"/>
              <w:tr2bl w:val="nil"/>
            </w:tcBorders>
            <w:vAlign w:val="center"/>
          </w:tcPr>
          <w:p w14:paraId="5B4871AA">
            <w:pPr>
              <w:keepNext w:val="0"/>
              <w:keepLines w:val="0"/>
              <w:pageBreakBefore w:val="0"/>
              <w:widowControl w:val="0"/>
              <w:kinsoku/>
              <w:wordWrap/>
              <w:overflowPunct/>
              <w:autoSpaceDE/>
              <w:autoSpaceDN/>
              <w:bidi w:val="0"/>
              <w:adjustRightInd/>
              <w:snapToGrid w:val="0"/>
              <w:spacing w:line="300" w:lineRule="exact"/>
              <w:ind w:left="0" w:left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rPr>
              <w:t>生活</w:t>
            </w:r>
            <w:r>
              <w:rPr>
                <w:rFonts w:hint="default" w:ascii="Times New Roman" w:hAnsi="Times New Roman" w:cs="Times New Roman" w:eastAsiaTheme="minorEastAsia"/>
                <w:color w:val="auto"/>
                <w:sz w:val="21"/>
                <w:szCs w:val="21"/>
                <w:highlight w:val="none"/>
                <w:lang w:eastAsia="zh-CN"/>
              </w:rPr>
              <w:t>垃圾</w:t>
            </w:r>
          </w:p>
        </w:tc>
        <w:tc>
          <w:tcPr>
            <w:tcW w:w="3000" w:type="pct"/>
            <w:tcBorders>
              <w:tl2br w:val="nil"/>
              <w:tr2bl w:val="nil"/>
            </w:tcBorders>
            <w:vAlign w:val="center"/>
          </w:tcPr>
          <w:p w14:paraId="1498E55C">
            <w:pPr>
              <w:keepNext w:val="0"/>
              <w:keepLines w:val="0"/>
              <w:pageBreakBefore w:val="0"/>
              <w:widowControl w:val="0"/>
              <w:kinsoku/>
              <w:wordWrap/>
              <w:overflowPunct/>
              <w:autoSpaceDE/>
              <w:autoSpaceDN/>
              <w:bidi w:val="0"/>
              <w:adjustRightInd/>
              <w:snapToGrid w:val="0"/>
              <w:spacing w:line="300" w:lineRule="exact"/>
              <w:ind w:left="0" w:left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eastAsia="zh-CN"/>
              </w:rPr>
              <w:t>集中收集外运至</w:t>
            </w:r>
            <w:r>
              <w:rPr>
                <w:rFonts w:hint="default" w:ascii="Times New Roman" w:hAnsi="Times New Roman" w:cs="Times New Roman" w:eastAsiaTheme="minorEastAsia"/>
                <w:color w:val="auto"/>
                <w:sz w:val="21"/>
                <w:szCs w:val="21"/>
                <w:highlight w:val="none"/>
              </w:rPr>
              <w:t>周边垃圾中转站</w:t>
            </w:r>
            <w:r>
              <w:rPr>
                <w:rFonts w:hint="default" w:ascii="Times New Roman" w:hAnsi="Times New Roman" w:cs="Times New Roman" w:eastAsiaTheme="minorEastAsia"/>
                <w:color w:val="auto"/>
                <w:sz w:val="21"/>
                <w:szCs w:val="21"/>
                <w:highlight w:val="none"/>
                <w:lang w:eastAsia="zh-CN"/>
              </w:rPr>
              <w:t>，</w:t>
            </w:r>
            <w:r>
              <w:rPr>
                <w:rFonts w:hint="default" w:ascii="Times New Roman" w:hAnsi="Times New Roman" w:cs="Times New Roman" w:eastAsiaTheme="minorEastAsia"/>
                <w:color w:val="auto"/>
                <w:sz w:val="21"/>
                <w:szCs w:val="21"/>
                <w:highlight w:val="none"/>
                <w:lang w:val="en-US" w:eastAsia="zh-CN"/>
              </w:rPr>
              <w:t>由环卫部门统一清运处置</w:t>
            </w:r>
          </w:p>
        </w:tc>
        <w:tc>
          <w:tcPr>
            <w:tcW w:w="1081" w:type="pct"/>
            <w:tcBorders>
              <w:tl2br w:val="nil"/>
              <w:tr2bl w:val="nil"/>
            </w:tcBorders>
            <w:vAlign w:val="center"/>
          </w:tcPr>
          <w:p w14:paraId="67B8D414">
            <w:pPr>
              <w:keepNext w:val="0"/>
              <w:keepLines w:val="0"/>
              <w:pageBreakBefore w:val="0"/>
              <w:widowControl w:val="0"/>
              <w:kinsoku/>
              <w:wordWrap/>
              <w:overflowPunct/>
              <w:autoSpaceDE/>
              <w:autoSpaceDN/>
              <w:bidi w:val="0"/>
              <w:adjustRightInd/>
              <w:snapToGrid w:val="0"/>
              <w:spacing w:line="300" w:lineRule="exact"/>
              <w:ind w:left="0" w:left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不外排</w:t>
            </w:r>
          </w:p>
        </w:tc>
      </w:tr>
      <w:tr w14:paraId="0294F8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15" w:type="pct"/>
            <w:vMerge w:val="continue"/>
            <w:tcBorders>
              <w:tl2br w:val="nil"/>
              <w:tr2bl w:val="nil"/>
            </w:tcBorders>
            <w:vAlign w:val="center"/>
          </w:tcPr>
          <w:p w14:paraId="7D3FEC52">
            <w:pPr>
              <w:keepNext w:val="0"/>
              <w:keepLines w:val="0"/>
              <w:pageBreakBefore w:val="0"/>
              <w:widowControl w:val="0"/>
              <w:kinsoku/>
              <w:wordWrap/>
              <w:overflowPunct/>
              <w:autoSpaceDE/>
              <w:autoSpaceDN/>
              <w:bidi w:val="0"/>
              <w:adjustRightInd/>
              <w:snapToGrid w:val="0"/>
              <w:spacing w:line="300" w:lineRule="exact"/>
              <w:ind w:left="0" w:leftChars="0"/>
              <w:jc w:val="center"/>
              <w:textAlignment w:val="auto"/>
              <w:rPr>
                <w:rFonts w:hint="default" w:ascii="Times New Roman" w:hAnsi="Times New Roman" w:cs="Times New Roman" w:eastAsiaTheme="minorEastAsia"/>
                <w:color w:val="FF0000"/>
                <w:sz w:val="21"/>
                <w:szCs w:val="21"/>
                <w:highlight w:val="none"/>
              </w:rPr>
            </w:pPr>
          </w:p>
        </w:tc>
        <w:tc>
          <w:tcPr>
            <w:tcW w:w="239" w:type="pct"/>
            <w:vMerge w:val="continue"/>
            <w:tcBorders>
              <w:tl2br w:val="nil"/>
              <w:tr2bl w:val="nil"/>
            </w:tcBorders>
            <w:vAlign w:val="center"/>
          </w:tcPr>
          <w:p w14:paraId="20DA68D4">
            <w:pPr>
              <w:keepNext w:val="0"/>
              <w:keepLines w:val="0"/>
              <w:pageBreakBefore w:val="0"/>
              <w:widowControl w:val="0"/>
              <w:kinsoku/>
              <w:wordWrap/>
              <w:overflowPunct/>
              <w:autoSpaceDE/>
              <w:autoSpaceDN/>
              <w:bidi w:val="0"/>
              <w:adjustRightInd/>
              <w:snapToGrid w:val="0"/>
              <w:spacing w:line="300" w:lineRule="exact"/>
              <w:ind w:left="0" w:leftChars="0"/>
              <w:jc w:val="center"/>
              <w:textAlignment w:val="auto"/>
              <w:rPr>
                <w:rFonts w:hint="default" w:ascii="Times New Roman" w:hAnsi="Times New Roman" w:cs="Times New Roman" w:eastAsiaTheme="minorEastAsia"/>
                <w:color w:val="FF0000"/>
                <w:sz w:val="21"/>
                <w:szCs w:val="21"/>
                <w:highlight w:val="none"/>
                <w:lang w:eastAsia="zh-CN"/>
              </w:rPr>
            </w:pPr>
          </w:p>
        </w:tc>
        <w:tc>
          <w:tcPr>
            <w:tcW w:w="462" w:type="pct"/>
            <w:tcBorders>
              <w:tl2br w:val="nil"/>
              <w:tr2bl w:val="nil"/>
            </w:tcBorders>
            <w:vAlign w:val="center"/>
          </w:tcPr>
          <w:p w14:paraId="47A3C639">
            <w:pPr>
              <w:keepNext w:val="0"/>
              <w:keepLines w:val="0"/>
              <w:pageBreakBefore w:val="0"/>
              <w:widowControl w:val="0"/>
              <w:kinsoku/>
              <w:wordWrap/>
              <w:overflowPunct/>
              <w:autoSpaceDE/>
              <w:autoSpaceDN/>
              <w:bidi w:val="0"/>
              <w:adjustRightInd/>
              <w:snapToGrid w:val="0"/>
              <w:spacing w:line="300" w:lineRule="exact"/>
              <w:ind w:left="0" w:left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材料外包装垃圾</w:t>
            </w:r>
          </w:p>
        </w:tc>
        <w:tc>
          <w:tcPr>
            <w:tcW w:w="3000" w:type="pct"/>
            <w:tcBorders>
              <w:tl2br w:val="nil"/>
              <w:tr2bl w:val="nil"/>
            </w:tcBorders>
            <w:vAlign w:val="center"/>
          </w:tcPr>
          <w:p w14:paraId="3C9F9D2E">
            <w:pPr>
              <w:keepNext w:val="0"/>
              <w:keepLines w:val="0"/>
              <w:pageBreakBefore w:val="0"/>
              <w:widowControl w:val="0"/>
              <w:kinsoku/>
              <w:wordWrap/>
              <w:overflowPunct/>
              <w:autoSpaceDE/>
              <w:autoSpaceDN/>
              <w:bidi w:val="0"/>
              <w:adjustRightInd/>
              <w:snapToGrid w:val="0"/>
              <w:spacing w:line="300" w:lineRule="exact"/>
              <w:ind w:left="0" w:left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集中收集，</w:t>
            </w:r>
            <w:r>
              <w:rPr>
                <w:rFonts w:hint="default" w:ascii="Times New Roman" w:hAnsi="Times New Roman" w:cs="Times New Roman" w:eastAsiaTheme="minorEastAsia"/>
                <w:color w:val="auto"/>
                <w:sz w:val="21"/>
                <w:szCs w:val="21"/>
                <w:highlight w:val="none"/>
                <w:lang w:eastAsia="zh-CN"/>
              </w:rPr>
              <w:t>外售综合利用</w:t>
            </w:r>
          </w:p>
        </w:tc>
        <w:tc>
          <w:tcPr>
            <w:tcW w:w="1081" w:type="pct"/>
            <w:tcBorders>
              <w:tl2br w:val="nil"/>
              <w:tr2bl w:val="nil"/>
            </w:tcBorders>
            <w:vAlign w:val="center"/>
          </w:tcPr>
          <w:p w14:paraId="129414C6">
            <w:pPr>
              <w:keepNext w:val="0"/>
              <w:keepLines w:val="0"/>
              <w:pageBreakBefore w:val="0"/>
              <w:widowControl w:val="0"/>
              <w:kinsoku/>
              <w:wordWrap/>
              <w:overflowPunct/>
              <w:autoSpaceDE/>
              <w:autoSpaceDN/>
              <w:bidi w:val="0"/>
              <w:adjustRightInd/>
              <w:snapToGrid w:val="0"/>
              <w:spacing w:line="300" w:lineRule="exact"/>
              <w:ind w:left="0" w:left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不外排</w:t>
            </w:r>
          </w:p>
        </w:tc>
      </w:tr>
      <w:tr w14:paraId="296A16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15" w:type="pct"/>
            <w:vMerge w:val="continue"/>
            <w:tcBorders>
              <w:tl2br w:val="nil"/>
              <w:tr2bl w:val="nil"/>
            </w:tcBorders>
            <w:vAlign w:val="center"/>
          </w:tcPr>
          <w:p w14:paraId="0084CAF8">
            <w:pPr>
              <w:keepNext w:val="0"/>
              <w:keepLines w:val="0"/>
              <w:pageBreakBefore w:val="0"/>
              <w:widowControl w:val="0"/>
              <w:kinsoku/>
              <w:wordWrap/>
              <w:overflowPunct/>
              <w:autoSpaceDE/>
              <w:autoSpaceDN/>
              <w:bidi w:val="0"/>
              <w:adjustRightInd/>
              <w:snapToGrid w:val="0"/>
              <w:spacing w:line="300" w:lineRule="exact"/>
              <w:ind w:left="0" w:leftChars="0"/>
              <w:jc w:val="center"/>
              <w:textAlignment w:val="auto"/>
              <w:rPr>
                <w:rFonts w:hint="default" w:ascii="Times New Roman" w:hAnsi="Times New Roman" w:cs="Times New Roman" w:eastAsiaTheme="minorEastAsia"/>
                <w:color w:val="FF0000"/>
                <w:sz w:val="21"/>
                <w:szCs w:val="21"/>
                <w:highlight w:val="none"/>
              </w:rPr>
            </w:pPr>
          </w:p>
        </w:tc>
        <w:tc>
          <w:tcPr>
            <w:tcW w:w="239" w:type="pct"/>
            <w:vMerge w:val="continue"/>
            <w:tcBorders>
              <w:tl2br w:val="nil"/>
              <w:tr2bl w:val="nil"/>
            </w:tcBorders>
            <w:vAlign w:val="center"/>
          </w:tcPr>
          <w:p w14:paraId="701FEA80">
            <w:pPr>
              <w:keepNext w:val="0"/>
              <w:keepLines w:val="0"/>
              <w:pageBreakBefore w:val="0"/>
              <w:widowControl w:val="0"/>
              <w:kinsoku/>
              <w:wordWrap/>
              <w:overflowPunct/>
              <w:autoSpaceDE/>
              <w:autoSpaceDN/>
              <w:bidi w:val="0"/>
              <w:adjustRightInd/>
              <w:snapToGrid w:val="0"/>
              <w:spacing w:line="300" w:lineRule="exact"/>
              <w:ind w:left="0" w:leftChars="0"/>
              <w:jc w:val="center"/>
              <w:textAlignment w:val="auto"/>
              <w:rPr>
                <w:rFonts w:hint="default" w:ascii="Times New Roman" w:hAnsi="Times New Roman" w:cs="Times New Roman" w:eastAsiaTheme="minorEastAsia"/>
                <w:color w:val="FF0000"/>
                <w:sz w:val="21"/>
                <w:szCs w:val="21"/>
                <w:highlight w:val="none"/>
                <w:lang w:eastAsia="zh-CN"/>
              </w:rPr>
            </w:pPr>
          </w:p>
        </w:tc>
        <w:tc>
          <w:tcPr>
            <w:tcW w:w="462" w:type="pct"/>
            <w:tcBorders>
              <w:tl2br w:val="nil"/>
              <w:tr2bl w:val="nil"/>
            </w:tcBorders>
            <w:vAlign w:val="center"/>
          </w:tcPr>
          <w:p w14:paraId="36C885C9">
            <w:pPr>
              <w:keepNext w:val="0"/>
              <w:keepLines w:val="0"/>
              <w:pageBreakBefore w:val="0"/>
              <w:widowControl w:val="0"/>
              <w:kinsoku/>
              <w:wordWrap/>
              <w:overflowPunct/>
              <w:autoSpaceDE/>
              <w:autoSpaceDN/>
              <w:bidi w:val="0"/>
              <w:adjustRightInd/>
              <w:snapToGrid w:val="0"/>
              <w:spacing w:line="300" w:lineRule="exact"/>
              <w:ind w:left="0" w:left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弃土</w:t>
            </w:r>
          </w:p>
        </w:tc>
        <w:tc>
          <w:tcPr>
            <w:tcW w:w="3000" w:type="pct"/>
            <w:tcBorders>
              <w:tl2br w:val="nil"/>
              <w:tr2bl w:val="nil"/>
            </w:tcBorders>
            <w:vAlign w:val="center"/>
          </w:tcPr>
          <w:p w14:paraId="6BB93246">
            <w:pPr>
              <w:keepNext w:val="0"/>
              <w:keepLines w:val="0"/>
              <w:pageBreakBefore w:val="0"/>
              <w:widowControl w:val="0"/>
              <w:kinsoku/>
              <w:wordWrap/>
              <w:overflowPunct/>
              <w:autoSpaceDE/>
              <w:autoSpaceDN/>
              <w:bidi w:val="0"/>
              <w:adjustRightInd/>
              <w:snapToGrid w:val="0"/>
              <w:spacing w:line="300" w:lineRule="exact"/>
              <w:ind w:left="0" w:left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rPr>
              <w:t>施工场地内部土石方平衡，无弃土</w:t>
            </w:r>
          </w:p>
        </w:tc>
        <w:tc>
          <w:tcPr>
            <w:tcW w:w="1081" w:type="pct"/>
            <w:tcBorders>
              <w:tl2br w:val="nil"/>
              <w:tr2bl w:val="nil"/>
            </w:tcBorders>
            <w:vAlign w:val="center"/>
          </w:tcPr>
          <w:p w14:paraId="30DF266B">
            <w:pPr>
              <w:keepNext w:val="0"/>
              <w:keepLines w:val="0"/>
              <w:pageBreakBefore w:val="0"/>
              <w:widowControl w:val="0"/>
              <w:kinsoku/>
              <w:wordWrap/>
              <w:overflowPunct/>
              <w:autoSpaceDE/>
              <w:autoSpaceDN/>
              <w:bidi w:val="0"/>
              <w:adjustRightInd/>
              <w:snapToGrid w:val="0"/>
              <w:spacing w:line="300" w:lineRule="exact"/>
              <w:ind w:left="0" w:left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内部调用</w:t>
            </w:r>
          </w:p>
        </w:tc>
      </w:tr>
      <w:tr w14:paraId="51A933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15" w:type="pct"/>
            <w:vMerge w:val="continue"/>
            <w:tcBorders>
              <w:tl2br w:val="nil"/>
              <w:tr2bl w:val="nil"/>
            </w:tcBorders>
            <w:vAlign w:val="center"/>
          </w:tcPr>
          <w:p w14:paraId="545F94EA">
            <w:pPr>
              <w:keepNext w:val="0"/>
              <w:keepLines w:val="0"/>
              <w:pageBreakBefore w:val="0"/>
              <w:widowControl w:val="0"/>
              <w:kinsoku/>
              <w:wordWrap/>
              <w:overflowPunct/>
              <w:autoSpaceDE/>
              <w:autoSpaceDN/>
              <w:bidi w:val="0"/>
              <w:adjustRightInd/>
              <w:snapToGrid w:val="0"/>
              <w:spacing w:line="300" w:lineRule="exact"/>
              <w:ind w:left="0" w:leftChars="0"/>
              <w:jc w:val="center"/>
              <w:textAlignment w:val="auto"/>
              <w:rPr>
                <w:rFonts w:hint="default" w:ascii="Times New Roman" w:hAnsi="Times New Roman" w:cs="Times New Roman" w:eastAsiaTheme="minorEastAsia"/>
                <w:color w:val="FF0000"/>
                <w:sz w:val="21"/>
                <w:szCs w:val="21"/>
                <w:highlight w:val="none"/>
              </w:rPr>
            </w:pPr>
          </w:p>
        </w:tc>
        <w:tc>
          <w:tcPr>
            <w:tcW w:w="239" w:type="pct"/>
            <w:vMerge w:val="continue"/>
            <w:tcBorders>
              <w:tl2br w:val="nil"/>
              <w:tr2bl w:val="nil"/>
            </w:tcBorders>
            <w:vAlign w:val="center"/>
          </w:tcPr>
          <w:p w14:paraId="143405C0">
            <w:pPr>
              <w:keepNext w:val="0"/>
              <w:keepLines w:val="0"/>
              <w:pageBreakBefore w:val="0"/>
              <w:widowControl w:val="0"/>
              <w:kinsoku/>
              <w:wordWrap/>
              <w:overflowPunct/>
              <w:autoSpaceDE/>
              <w:autoSpaceDN/>
              <w:bidi w:val="0"/>
              <w:adjustRightInd/>
              <w:snapToGrid w:val="0"/>
              <w:spacing w:line="300" w:lineRule="exact"/>
              <w:ind w:left="0" w:leftChars="0"/>
              <w:jc w:val="center"/>
              <w:textAlignment w:val="auto"/>
              <w:rPr>
                <w:rFonts w:hint="default" w:ascii="Times New Roman" w:hAnsi="Times New Roman" w:cs="Times New Roman" w:eastAsiaTheme="minorEastAsia"/>
                <w:color w:val="FF0000"/>
                <w:sz w:val="21"/>
                <w:szCs w:val="21"/>
                <w:highlight w:val="none"/>
                <w:lang w:eastAsia="zh-CN"/>
              </w:rPr>
            </w:pPr>
          </w:p>
        </w:tc>
        <w:tc>
          <w:tcPr>
            <w:tcW w:w="462" w:type="pct"/>
            <w:tcBorders>
              <w:tl2br w:val="nil"/>
              <w:tr2bl w:val="nil"/>
            </w:tcBorders>
            <w:vAlign w:val="center"/>
          </w:tcPr>
          <w:p w14:paraId="3C8AC92F">
            <w:pPr>
              <w:keepNext w:val="0"/>
              <w:keepLines w:val="0"/>
              <w:pageBreakBefore w:val="0"/>
              <w:widowControl w:val="0"/>
              <w:kinsoku/>
              <w:wordWrap/>
              <w:overflowPunct/>
              <w:autoSpaceDE/>
              <w:autoSpaceDN/>
              <w:bidi w:val="0"/>
              <w:adjustRightInd/>
              <w:snapToGrid w:val="0"/>
              <w:spacing w:line="300" w:lineRule="exact"/>
              <w:ind w:left="0" w:left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建筑垃圾</w:t>
            </w:r>
          </w:p>
        </w:tc>
        <w:tc>
          <w:tcPr>
            <w:tcW w:w="3000" w:type="pct"/>
            <w:tcBorders>
              <w:tl2br w:val="nil"/>
              <w:tr2bl w:val="nil"/>
            </w:tcBorders>
            <w:vAlign w:val="center"/>
          </w:tcPr>
          <w:p w14:paraId="0FE32559">
            <w:pPr>
              <w:keepNext w:val="0"/>
              <w:keepLines w:val="0"/>
              <w:pageBreakBefore w:val="0"/>
              <w:widowControl w:val="0"/>
              <w:kinsoku/>
              <w:wordWrap/>
              <w:overflowPunct/>
              <w:autoSpaceDE/>
              <w:autoSpaceDN/>
              <w:bidi w:val="0"/>
              <w:adjustRightInd/>
              <w:snapToGrid w:val="0"/>
              <w:spacing w:line="300" w:lineRule="exact"/>
              <w:ind w:left="0" w:left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可回收部分回收综合利用，不可回收部分集中收集后清运至乌鲁木齐市建筑垃圾填埋场处置</w:t>
            </w:r>
          </w:p>
        </w:tc>
        <w:tc>
          <w:tcPr>
            <w:tcW w:w="1081" w:type="pct"/>
            <w:tcBorders>
              <w:tl2br w:val="nil"/>
              <w:tr2bl w:val="nil"/>
            </w:tcBorders>
            <w:vAlign w:val="center"/>
          </w:tcPr>
          <w:p w14:paraId="09A0F200">
            <w:pPr>
              <w:keepNext w:val="0"/>
              <w:keepLines w:val="0"/>
              <w:pageBreakBefore w:val="0"/>
              <w:widowControl w:val="0"/>
              <w:kinsoku/>
              <w:wordWrap/>
              <w:overflowPunct/>
              <w:autoSpaceDE/>
              <w:autoSpaceDN/>
              <w:bidi w:val="0"/>
              <w:adjustRightInd/>
              <w:snapToGrid w:val="0"/>
              <w:spacing w:line="300" w:lineRule="exact"/>
              <w:ind w:left="0" w:left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不外排</w:t>
            </w:r>
          </w:p>
        </w:tc>
      </w:tr>
      <w:tr w14:paraId="6933E8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15" w:type="pct"/>
            <w:vMerge w:val="continue"/>
            <w:tcBorders>
              <w:tl2br w:val="nil"/>
              <w:tr2bl w:val="nil"/>
            </w:tcBorders>
            <w:vAlign w:val="center"/>
          </w:tcPr>
          <w:p w14:paraId="191CD013">
            <w:pPr>
              <w:keepNext w:val="0"/>
              <w:keepLines w:val="0"/>
              <w:pageBreakBefore w:val="0"/>
              <w:widowControl w:val="0"/>
              <w:kinsoku/>
              <w:wordWrap/>
              <w:overflowPunct/>
              <w:autoSpaceDE/>
              <w:autoSpaceDN/>
              <w:bidi w:val="0"/>
              <w:adjustRightInd/>
              <w:snapToGrid w:val="0"/>
              <w:spacing w:line="300" w:lineRule="exact"/>
              <w:ind w:left="0" w:leftChars="0"/>
              <w:jc w:val="center"/>
              <w:textAlignment w:val="auto"/>
              <w:rPr>
                <w:rFonts w:hint="default" w:ascii="Times New Roman" w:hAnsi="Times New Roman" w:cs="Times New Roman" w:eastAsiaTheme="minorEastAsia"/>
                <w:color w:val="FF0000"/>
                <w:sz w:val="21"/>
                <w:szCs w:val="21"/>
                <w:highlight w:val="none"/>
              </w:rPr>
            </w:pPr>
          </w:p>
        </w:tc>
        <w:tc>
          <w:tcPr>
            <w:tcW w:w="239" w:type="pct"/>
            <w:tcBorders>
              <w:tl2br w:val="nil"/>
              <w:tr2bl w:val="nil"/>
            </w:tcBorders>
            <w:vAlign w:val="center"/>
          </w:tcPr>
          <w:p w14:paraId="4A5F1D93">
            <w:pPr>
              <w:keepNext w:val="0"/>
              <w:keepLines w:val="0"/>
              <w:pageBreakBefore w:val="0"/>
              <w:widowControl w:val="0"/>
              <w:kinsoku/>
              <w:wordWrap/>
              <w:overflowPunct/>
              <w:autoSpaceDE/>
              <w:autoSpaceDN/>
              <w:bidi w:val="0"/>
              <w:adjustRightInd/>
              <w:snapToGrid w:val="0"/>
              <w:spacing w:line="300" w:lineRule="exact"/>
              <w:ind w:left="0" w:leftChars="0"/>
              <w:jc w:val="center"/>
              <w:textAlignment w:val="auto"/>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eastAsiaTheme="minorEastAsia"/>
                <w:color w:val="auto"/>
                <w:sz w:val="21"/>
                <w:szCs w:val="21"/>
                <w:highlight w:val="none"/>
                <w:lang w:eastAsia="zh-CN"/>
              </w:rPr>
              <w:t>生</w:t>
            </w:r>
          </w:p>
          <w:p w14:paraId="3C4CCACF">
            <w:pPr>
              <w:keepNext w:val="0"/>
              <w:keepLines w:val="0"/>
              <w:pageBreakBefore w:val="0"/>
              <w:widowControl w:val="0"/>
              <w:kinsoku/>
              <w:wordWrap/>
              <w:overflowPunct/>
              <w:autoSpaceDE/>
              <w:autoSpaceDN/>
              <w:bidi w:val="0"/>
              <w:adjustRightInd/>
              <w:snapToGrid w:val="0"/>
              <w:spacing w:line="300" w:lineRule="exact"/>
              <w:ind w:left="0" w:leftChars="0"/>
              <w:jc w:val="center"/>
              <w:textAlignment w:val="auto"/>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eastAsiaTheme="minorEastAsia"/>
                <w:color w:val="auto"/>
                <w:sz w:val="21"/>
                <w:szCs w:val="21"/>
                <w:highlight w:val="none"/>
                <w:lang w:eastAsia="zh-CN"/>
              </w:rPr>
              <w:t>态</w:t>
            </w:r>
          </w:p>
        </w:tc>
        <w:tc>
          <w:tcPr>
            <w:tcW w:w="462" w:type="pct"/>
            <w:tcBorders>
              <w:tl2br w:val="nil"/>
              <w:tr2bl w:val="nil"/>
            </w:tcBorders>
            <w:vAlign w:val="center"/>
          </w:tcPr>
          <w:p w14:paraId="7BFBA437">
            <w:pPr>
              <w:keepNext w:val="0"/>
              <w:keepLines w:val="0"/>
              <w:pageBreakBefore w:val="0"/>
              <w:widowControl w:val="0"/>
              <w:kinsoku/>
              <w:wordWrap/>
              <w:overflowPunct/>
              <w:autoSpaceDE/>
              <w:autoSpaceDN/>
              <w:bidi w:val="0"/>
              <w:adjustRightInd/>
              <w:snapToGrid w:val="0"/>
              <w:spacing w:line="300" w:lineRule="exact"/>
              <w:ind w:left="0" w:left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施工场地</w:t>
            </w:r>
          </w:p>
        </w:tc>
        <w:tc>
          <w:tcPr>
            <w:tcW w:w="4082" w:type="pct"/>
            <w:gridSpan w:val="2"/>
            <w:tcBorders>
              <w:tl2br w:val="nil"/>
              <w:tr2bl w:val="nil"/>
            </w:tcBorders>
            <w:vAlign w:val="center"/>
          </w:tcPr>
          <w:p w14:paraId="3E2DF9D2">
            <w:pPr>
              <w:keepNext w:val="0"/>
              <w:keepLines w:val="0"/>
              <w:pageBreakBefore w:val="0"/>
              <w:widowControl w:val="0"/>
              <w:kinsoku/>
              <w:wordWrap/>
              <w:overflowPunct/>
              <w:autoSpaceDE/>
              <w:autoSpaceDN/>
              <w:bidi w:val="0"/>
              <w:adjustRightInd/>
              <w:snapToGrid w:val="0"/>
              <w:spacing w:line="300" w:lineRule="exact"/>
              <w:ind w:left="0" w:leftChars="0"/>
              <w:jc w:val="left"/>
              <w:textAlignment w:val="auto"/>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eastAsiaTheme="minorEastAsia"/>
                <w:color w:val="auto"/>
                <w:sz w:val="21"/>
                <w:szCs w:val="21"/>
                <w:highlight w:val="none"/>
              </w:rPr>
              <w:t>1、</w:t>
            </w:r>
            <w:r>
              <w:rPr>
                <w:rFonts w:hint="default" w:ascii="Times New Roman" w:hAnsi="Times New Roman" w:cs="Times New Roman" w:eastAsiaTheme="minorEastAsia"/>
                <w:color w:val="auto"/>
                <w:sz w:val="21"/>
                <w:szCs w:val="21"/>
              </w:rPr>
              <w:t>尽量减少占地、控制施工范围、减少扰动面积，作业区四周设置彩带控制作业范围</w:t>
            </w:r>
            <w:r>
              <w:rPr>
                <w:rFonts w:hint="default" w:ascii="Times New Roman" w:hAnsi="Times New Roman" w:cs="Times New Roman" w:eastAsiaTheme="minorEastAsia"/>
                <w:color w:val="auto"/>
                <w:sz w:val="21"/>
                <w:szCs w:val="21"/>
                <w:lang w:eastAsia="zh-CN"/>
              </w:rPr>
              <w:t>。</w:t>
            </w:r>
          </w:p>
          <w:p w14:paraId="166232BE">
            <w:pPr>
              <w:keepNext w:val="0"/>
              <w:keepLines w:val="0"/>
              <w:pageBreakBefore w:val="0"/>
              <w:widowControl w:val="0"/>
              <w:kinsoku/>
              <w:wordWrap/>
              <w:overflowPunct/>
              <w:autoSpaceDE/>
              <w:autoSpaceDN/>
              <w:bidi w:val="0"/>
              <w:adjustRightInd/>
              <w:snapToGrid w:val="0"/>
              <w:spacing w:line="300" w:lineRule="exact"/>
              <w:ind w:left="0" w:leftChars="0"/>
              <w:jc w:val="left"/>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2、施工期临时道路与检修道路合并规划，依托现有风电场区检修道路并综合考虑兼做运营期检修道路布设，满足施工运输和日常巡修的要求，控制占地面积，减少对植被的破坏。</w:t>
            </w:r>
          </w:p>
          <w:p w14:paraId="4E8A7E72">
            <w:pPr>
              <w:keepNext w:val="0"/>
              <w:keepLines w:val="0"/>
              <w:pageBreakBefore w:val="0"/>
              <w:widowControl w:val="0"/>
              <w:kinsoku/>
              <w:wordWrap/>
              <w:overflowPunct/>
              <w:autoSpaceDE/>
              <w:autoSpaceDN/>
              <w:bidi w:val="0"/>
              <w:adjustRightInd/>
              <w:snapToGrid w:val="0"/>
              <w:spacing w:line="300" w:lineRule="exact"/>
              <w:ind w:left="0" w:leftChars="0"/>
              <w:jc w:val="left"/>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3、</w:t>
            </w:r>
            <w:r>
              <w:rPr>
                <w:rFonts w:hint="default" w:ascii="Times New Roman" w:hAnsi="Times New Roman" w:cs="Times New Roman" w:eastAsiaTheme="minorEastAsia"/>
                <w:color w:val="auto"/>
                <w:sz w:val="21"/>
                <w:szCs w:val="21"/>
              </w:rPr>
              <w:t>对本项目临时占用的场地进行平整夯实等，经常行驶路段铺设</w:t>
            </w:r>
            <w:r>
              <w:rPr>
                <w:rFonts w:hint="default" w:ascii="Times New Roman" w:hAnsi="Times New Roman" w:cs="Times New Roman" w:eastAsiaTheme="minorEastAsia"/>
                <w:color w:val="auto"/>
                <w:sz w:val="21"/>
                <w:szCs w:val="21"/>
                <w:lang w:val="en-US" w:eastAsia="zh-CN"/>
              </w:rPr>
              <w:t>碎石。</w:t>
            </w:r>
          </w:p>
          <w:p w14:paraId="77CC6B16">
            <w:pPr>
              <w:keepNext w:val="0"/>
              <w:keepLines w:val="0"/>
              <w:pageBreakBefore w:val="0"/>
              <w:widowControl w:val="0"/>
              <w:kinsoku/>
              <w:wordWrap/>
              <w:overflowPunct/>
              <w:autoSpaceDE/>
              <w:autoSpaceDN/>
              <w:bidi w:val="0"/>
              <w:adjustRightInd/>
              <w:snapToGrid w:val="0"/>
              <w:spacing w:line="300" w:lineRule="exact"/>
              <w:ind w:left="0" w:leftChars="0"/>
              <w:jc w:val="left"/>
              <w:textAlignment w:val="auto"/>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eastAsiaTheme="minorEastAsia"/>
                <w:color w:val="auto"/>
                <w:sz w:val="21"/>
                <w:szCs w:val="21"/>
                <w:highlight w:val="none"/>
                <w:lang w:val="en-US" w:eastAsia="zh-CN"/>
              </w:rPr>
              <w:t>4</w:t>
            </w:r>
            <w:r>
              <w:rPr>
                <w:rFonts w:hint="default" w:ascii="Times New Roman" w:hAnsi="Times New Roman" w:cs="Times New Roman" w:eastAsiaTheme="minorEastAsia"/>
                <w:color w:val="auto"/>
                <w:sz w:val="21"/>
                <w:szCs w:val="21"/>
                <w:highlight w:val="none"/>
              </w:rPr>
              <w:t>、</w:t>
            </w:r>
            <w:r>
              <w:rPr>
                <w:rFonts w:hint="default" w:ascii="Times New Roman" w:hAnsi="Times New Roman" w:cs="Times New Roman" w:eastAsiaTheme="minorEastAsia"/>
                <w:color w:val="auto"/>
                <w:sz w:val="21"/>
                <w:szCs w:val="21"/>
              </w:rPr>
              <w:t>除施工铲除或碾压植被外，不允许以其它任何理由铲除植被</w:t>
            </w:r>
            <w:r>
              <w:rPr>
                <w:rFonts w:hint="default" w:ascii="Times New Roman" w:hAnsi="Times New Roman" w:cs="Times New Roman" w:eastAsiaTheme="minorEastAsia"/>
                <w:color w:val="auto"/>
                <w:sz w:val="21"/>
                <w:szCs w:val="21"/>
                <w:lang w:eastAsia="zh-CN"/>
              </w:rPr>
              <w:t>。</w:t>
            </w:r>
          </w:p>
          <w:p w14:paraId="3C612C23">
            <w:pPr>
              <w:keepNext w:val="0"/>
              <w:keepLines w:val="0"/>
              <w:pageBreakBefore w:val="0"/>
              <w:widowControl w:val="0"/>
              <w:kinsoku/>
              <w:wordWrap/>
              <w:overflowPunct/>
              <w:autoSpaceDE/>
              <w:autoSpaceDN/>
              <w:bidi w:val="0"/>
              <w:adjustRightInd/>
              <w:snapToGrid w:val="0"/>
              <w:spacing w:line="300" w:lineRule="exact"/>
              <w:ind w:left="0" w:leftChars="0"/>
              <w:jc w:val="left"/>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5、</w:t>
            </w:r>
            <w:r>
              <w:rPr>
                <w:rFonts w:hint="default" w:ascii="Times New Roman" w:hAnsi="Times New Roman" w:cs="Times New Roman" w:eastAsiaTheme="minorEastAsia"/>
                <w:color w:val="auto"/>
                <w:sz w:val="21"/>
                <w:szCs w:val="21"/>
              </w:rPr>
              <w:t>在施工便道</w:t>
            </w:r>
            <w:r>
              <w:rPr>
                <w:rFonts w:hint="default" w:ascii="Times New Roman" w:hAnsi="Times New Roman" w:cs="Times New Roman" w:eastAsiaTheme="minorEastAsia"/>
                <w:color w:val="auto"/>
                <w:sz w:val="21"/>
                <w:szCs w:val="21"/>
                <w:lang w:val="en-US" w:eastAsia="zh-CN"/>
              </w:rPr>
              <w:t>施工</w:t>
            </w:r>
            <w:r>
              <w:rPr>
                <w:rFonts w:hint="default" w:ascii="Times New Roman" w:hAnsi="Times New Roman" w:cs="Times New Roman" w:eastAsiaTheme="minorEastAsia"/>
                <w:color w:val="auto"/>
                <w:sz w:val="21"/>
                <w:szCs w:val="21"/>
              </w:rPr>
              <w:t>时，尽量选择避让</w:t>
            </w:r>
            <w:r>
              <w:rPr>
                <w:rFonts w:hint="default" w:ascii="Times New Roman" w:hAnsi="Times New Roman" w:cs="Times New Roman" w:eastAsiaTheme="minorEastAsia"/>
                <w:color w:val="auto"/>
                <w:sz w:val="21"/>
                <w:szCs w:val="21"/>
                <w:lang w:val="en-US" w:eastAsia="zh-CN"/>
              </w:rPr>
              <w:t>植被茂盛区</w:t>
            </w:r>
            <w:r>
              <w:rPr>
                <w:rFonts w:hint="default" w:ascii="Times New Roman" w:hAnsi="Times New Roman" w:cs="Times New Roman" w:eastAsiaTheme="minorEastAsia"/>
                <w:color w:val="auto"/>
                <w:sz w:val="21"/>
                <w:szCs w:val="21"/>
              </w:rPr>
              <w:t>，</w:t>
            </w:r>
            <w:r>
              <w:rPr>
                <w:rFonts w:hint="default" w:ascii="Times New Roman" w:hAnsi="Times New Roman" w:cs="Times New Roman" w:eastAsiaTheme="minorEastAsia"/>
                <w:color w:val="auto"/>
                <w:sz w:val="21"/>
                <w:szCs w:val="21"/>
                <w:lang w:val="en-US" w:eastAsia="zh-CN"/>
              </w:rPr>
              <w:t>按照规定临时占地红线行驶</w:t>
            </w:r>
            <w:r>
              <w:rPr>
                <w:rFonts w:hint="default" w:ascii="Times New Roman" w:hAnsi="Times New Roman" w:cs="Times New Roman" w:eastAsiaTheme="minorEastAsia"/>
                <w:color w:val="auto"/>
                <w:sz w:val="21"/>
                <w:szCs w:val="21"/>
                <w:lang w:eastAsia="zh-CN"/>
              </w:rPr>
              <w:t>。</w:t>
            </w:r>
          </w:p>
          <w:p w14:paraId="451757B3">
            <w:pPr>
              <w:keepNext w:val="0"/>
              <w:keepLines w:val="0"/>
              <w:pageBreakBefore w:val="0"/>
              <w:widowControl w:val="0"/>
              <w:kinsoku/>
              <w:wordWrap/>
              <w:overflowPunct/>
              <w:autoSpaceDE/>
              <w:autoSpaceDN/>
              <w:bidi w:val="0"/>
              <w:adjustRightInd/>
              <w:snapToGrid w:val="0"/>
              <w:spacing w:line="300" w:lineRule="exact"/>
              <w:ind w:left="0" w:leftChars="0"/>
              <w:jc w:val="left"/>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6、</w:t>
            </w:r>
            <w:r>
              <w:rPr>
                <w:rFonts w:hint="default" w:ascii="Times New Roman" w:hAnsi="Times New Roman" w:cs="Times New Roman" w:eastAsiaTheme="minorEastAsia"/>
                <w:color w:val="auto"/>
                <w:sz w:val="21"/>
                <w:szCs w:val="21"/>
              </w:rPr>
              <w:t>加强宣传教育，设置</w:t>
            </w:r>
            <w:r>
              <w:rPr>
                <w:rFonts w:hint="default" w:ascii="Times New Roman" w:hAnsi="Times New Roman" w:cs="Times New Roman" w:eastAsiaTheme="minorEastAsia"/>
                <w:color w:val="auto"/>
                <w:sz w:val="21"/>
                <w:szCs w:val="21"/>
                <w:lang w:val="en-US" w:eastAsia="zh-CN"/>
              </w:rPr>
              <w:t>水源地警示标牌、受保护野生动物</w:t>
            </w:r>
            <w:r>
              <w:rPr>
                <w:rFonts w:hint="default" w:ascii="Times New Roman" w:hAnsi="Times New Roman" w:cs="Times New Roman" w:eastAsiaTheme="minorEastAsia"/>
                <w:color w:val="auto"/>
                <w:sz w:val="21"/>
                <w:szCs w:val="21"/>
              </w:rPr>
              <w:t>宣传牌。</w:t>
            </w:r>
            <w:r>
              <w:rPr>
                <w:rFonts w:hint="default" w:ascii="Times New Roman" w:hAnsi="Times New Roman" w:cs="Times New Roman" w:eastAsiaTheme="minorEastAsia"/>
                <w:color w:val="auto"/>
                <w:sz w:val="21"/>
                <w:szCs w:val="21"/>
                <w:lang w:val="en-US" w:eastAsia="zh-CN"/>
              </w:rPr>
              <w:t>设置环保宣传标牌。</w:t>
            </w:r>
          </w:p>
          <w:p w14:paraId="6C952F1D">
            <w:pPr>
              <w:keepNext w:val="0"/>
              <w:keepLines w:val="0"/>
              <w:pageBreakBefore w:val="0"/>
              <w:widowControl w:val="0"/>
              <w:kinsoku/>
              <w:wordWrap/>
              <w:overflowPunct/>
              <w:autoSpaceDE/>
              <w:autoSpaceDN/>
              <w:bidi w:val="0"/>
              <w:adjustRightInd/>
              <w:snapToGrid w:val="0"/>
              <w:spacing w:line="300" w:lineRule="exact"/>
              <w:ind w:left="0" w:leftChars="0"/>
              <w:jc w:val="left"/>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highlight w:val="none"/>
                <w:lang w:val="en-US" w:eastAsia="zh-CN"/>
              </w:rPr>
              <w:t>7、优选施工时间，避开野生动物活动的高峰时</w:t>
            </w:r>
            <w:r>
              <w:rPr>
                <w:rFonts w:hint="default" w:ascii="Times New Roman" w:hAnsi="Times New Roman" w:cs="Times New Roman" w:eastAsiaTheme="minorEastAsia"/>
                <w:color w:val="auto"/>
                <w:sz w:val="21"/>
                <w:szCs w:val="21"/>
                <w:lang w:val="en-US" w:eastAsia="zh-CN"/>
              </w:rPr>
              <w:t>段。严格控制光源。对光源进行遮蔽，减少对外界的漏光量。</w:t>
            </w:r>
          </w:p>
          <w:p w14:paraId="71C2831E">
            <w:pPr>
              <w:keepNext w:val="0"/>
              <w:keepLines w:val="0"/>
              <w:pageBreakBefore w:val="0"/>
              <w:widowControl w:val="0"/>
              <w:kinsoku/>
              <w:wordWrap/>
              <w:overflowPunct/>
              <w:autoSpaceDE/>
              <w:autoSpaceDN/>
              <w:bidi w:val="0"/>
              <w:adjustRightInd/>
              <w:snapToGrid w:val="0"/>
              <w:spacing w:line="300" w:lineRule="exact"/>
              <w:ind w:left="0" w:leftChars="0"/>
              <w:jc w:val="left"/>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8、施工临建场区</w:t>
            </w:r>
            <w:r>
              <w:rPr>
                <w:rFonts w:hint="default" w:ascii="Times New Roman" w:hAnsi="Times New Roman" w:cs="Times New Roman" w:eastAsiaTheme="minorEastAsia"/>
                <w:color w:val="auto"/>
                <w:sz w:val="21"/>
                <w:szCs w:val="21"/>
                <w:highlight w:val="none"/>
              </w:rPr>
              <w:t>，</w:t>
            </w:r>
            <w:r>
              <w:rPr>
                <w:rFonts w:hint="default" w:ascii="Times New Roman" w:hAnsi="Times New Roman" w:cs="Times New Roman" w:eastAsiaTheme="minorEastAsia"/>
                <w:color w:val="auto"/>
                <w:sz w:val="21"/>
                <w:szCs w:val="21"/>
                <w:highlight w:val="none"/>
                <w:lang w:val="en-US" w:eastAsia="zh-CN"/>
              </w:rPr>
              <w:t>拆除临时建构筑物，清理平整场地并覆盖砾幕层防止水土流失，自然恢复植被</w:t>
            </w:r>
            <w:r>
              <w:rPr>
                <w:rFonts w:hint="default" w:ascii="Times New Roman" w:hAnsi="Times New Roman" w:cs="Times New Roman" w:eastAsiaTheme="minorEastAsia"/>
                <w:color w:val="auto"/>
                <w:sz w:val="21"/>
                <w:szCs w:val="21"/>
                <w:highlight w:val="none"/>
              </w:rPr>
              <w:t>。</w:t>
            </w:r>
            <w:r>
              <w:rPr>
                <w:rFonts w:hint="default" w:ascii="Times New Roman" w:hAnsi="Times New Roman" w:cs="Times New Roman" w:eastAsiaTheme="minorEastAsia"/>
                <w:color w:val="auto"/>
                <w:sz w:val="21"/>
                <w:szCs w:val="21"/>
                <w:highlight w:val="none"/>
                <w:lang w:val="en-US" w:eastAsia="zh-CN"/>
              </w:rPr>
              <w:t>其他临时施工区域施工结束后，清理平整场地并覆盖砾幕层防止水土流失，自然恢复植被。</w:t>
            </w:r>
          </w:p>
        </w:tc>
      </w:tr>
      <w:tr w14:paraId="1259A3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15" w:type="pct"/>
            <w:vMerge w:val="continue"/>
            <w:tcBorders>
              <w:tl2br w:val="nil"/>
              <w:tr2bl w:val="nil"/>
            </w:tcBorders>
            <w:vAlign w:val="center"/>
          </w:tcPr>
          <w:p w14:paraId="46D2B5F1">
            <w:pPr>
              <w:keepNext w:val="0"/>
              <w:keepLines w:val="0"/>
              <w:pageBreakBefore w:val="0"/>
              <w:widowControl w:val="0"/>
              <w:kinsoku/>
              <w:wordWrap/>
              <w:overflowPunct/>
              <w:autoSpaceDE/>
              <w:autoSpaceDN/>
              <w:bidi w:val="0"/>
              <w:adjustRightInd/>
              <w:snapToGrid w:val="0"/>
              <w:spacing w:line="300" w:lineRule="exact"/>
              <w:ind w:left="0" w:leftChars="0"/>
              <w:jc w:val="center"/>
              <w:textAlignment w:val="auto"/>
              <w:rPr>
                <w:rFonts w:hint="default" w:ascii="Times New Roman" w:hAnsi="Times New Roman" w:cs="Times New Roman" w:eastAsiaTheme="minorEastAsia"/>
                <w:color w:val="FF0000"/>
                <w:sz w:val="21"/>
                <w:szCs w:val="21"/>
                <w:highlight w:val="none"/>
              </w:rPr>
            </w:pPr>
          </w:p>
        </w:tc>
        <w:tc>
          <w:tcPr>
            <w:tcW w:w="239" w:type="pct"/>
            <w:tcBorders>
              <w:tl2br w:val="nil"/>
              <w:tr2bl w:val="nil"/>
            </w:tcBorders>
            <w:vAlign w:val="center"/>
          </w:tcPr>
          <w:p w14:paraId="1ECE7CF5">
            <w:pPr>
              <w:keepNext w:val="0"/>
              <w:keepLines w:val="0"/>
              <w:pageBreakBefore w:val="0"/>
              <w:widowControl w:val="0"/>
              <w:kinsoku/>
              <w:wordWrap/>
              <w:overflowPunct/>
              <w:autoSpaceDE/>
              <w:autoSpaceDN/>
              <w:bidi w:val="0"/>
              <w:adjustRightInd/>
              <w:snapToGrid w:val="0"/>
              <w:spacing w:line="300" w:lineRule="exact"/>
              <w:ind w:left="0" w:leftChars="0"/>
              <w:jc w:val="center"/>
              <w:textAlignment w:val="auto"/>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eastAsiaTheme="minorEastAsia"/>
                <w:color w:val="auto"/>
                <w:sz w:val="21"/>
                <w:szCs w:val="21"/>
                <w:highlight w:val="none"/>
                <w:lang w:eastAsia="zh-CN"/>
              </w:rPr>
              <w:t>环</w:t>
            </w:r>
          </w:p>
          <w:p w14:paraId="7C7E9EA5">
            <w:pPr>
              <w:keepNext w:val="0"/>
              <w:keepLines w:val="0"/>
              <w:pageBreakBefore w:val="0"/>
              <w:widowControl w:val="0"/>
              <w:kinsoku/>
              <w:wordWrap/>
              <w:overflowPunct/>
              <w:autoSpaceDE/>
              <w:autoSpaceDN/>
              <w:bidi w:val="0"/>
              <w:adjustRightInd/>
              <w:snapToGrid w:val="0"/>
              <w:spacing w:line="300" w:lineRule="exact"/>
              <w:ind w:left="0" w:leftChars="0"/>
              <w:jc w:val="center"/>
              <w:textAlignment w:val="auto"/>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eastAsiaTheme="minorEastAsia"/>
                <w:color w:val="auto"/>
                <w:sz w:val="21"/>
                <w:szCs w:val="21"/>
                <w:highlight w:val="none"/>
                <w:lang w:eastAsia="zh-CN"/>
              </w:rPr>
              <w:t>境</w:t>
            </w:r>
          </w:p>
          <w:p w14:paraId="2A4D504D">
            <w:pPr>
              <w:keepNext w:val="0"/>
              <w:keepLines w:val="0"/>
              <w:pageBreakBefore w:val="0"/>
              <w:widowControl w:val="0"/>
              <w:kinsoku/>
              <w:wordWrap/>
              <w:overflowPunct/>
              <w:autoSpaceDE/>
              <w:autoSpaceDN/>
              <w:bidi w:val="0"/>
              <w:adjustRightInd/>
              <w:snapToGrid w:val="0"/>
              <w:spacing w:line="300" w:lineRule="exact"/>
              <w:ind w:left="0" w:leftChars="0"/>
              <w:jc w:val="center"/>
              <w:textAlignment w:val="auto"/>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eastAsiaTheme="minorEastAsia"/>
                <w:color w:val="auto"/>
                <w:sz w:val="21"/>
                <w:szCs w:val="21"/>
                <w:highlight w:val="none"/>
                <w:lang w:eastAsia="zh-CN"/>
              </w:rPr>
              <w:t>管</w:t>
            </w:r>
          </w:p>
          <w:p w14:paraId="577D3D4C">
            <w:pPr>
              <w:keepNext w:val="0"/>
              <w:keepLines w:val="0"/>
              <w:pageBreakBefore w:val="0"/>
              <w:widowControl w:val="0"/>
              <w:kinsoku/>
              <w:wordWrap/>
              <w:overflowPunct/>
              <w:autoSpaceDE/>
              <w:autoSpaceDN/>
              <w:bidi w:val="0"/>
              <w:adjustRightInd/>
              <w:snapToGrid w:val="0"/>
              <w:spacing w:line="300" w:lineRule="exact"/>
              <w:ind w:left="0" w:leftChars="0"/>
              <w:jc w:val="center"/>
              <w:textAlignment w:val="auto"/>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eastAsiaTheme="minorEastAsia"/>
                <w:color w:val="auto"/>
                <w:sz w:val="21"/>
                <w:szCs w:val="21"/>
                <w:highlight w:val="none"/>
                <w:lang w:eastAsia="zh-CN"/>
              </w:rPr>
              <w:t>理</w:t>
            </w:r>
          </w:p>
        </w:tc>
        <w:tc>
          <w:tcPr>
            <w:tcW w:w="462" w:type="pct"/>
            <w:tcBorders>
              <w:tl2br w:val="nil"/>
              <w:tr2bl w:val="nil"/>
            </w:tcBorders>
            <w:vAlign w:val="center"/>
          </w:tcPr>
          <w:p w14:paraId="53BDCBD0">
            <w:pPr>
              <w:keepNext w:val="0"/>
              <w:keepLines w:val="0"/>
              <w:pageBreakBefore w:val="0"/>
              <w:widowControl w:val="0"/>
              <w:kinsoku/>
              <w:wordWrap/>
              <w:overflowPunct/>
              <w:autoSpaceDE/>
              <w:autoSpaceDN/>
              <w:bidi w:val="0"/>
              <w:adjustRightInd/>
              <w:snapToGrid w:val="0"/>
              <w:spacing w:line="300" w:lineRule="exact"/>
              <w:ind w:left="0" w:left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环境监理</w:t>
            </w:r>
          </w:p>
        </w:tc>
        <w:tc>
          <w:tcPr>
            <w:tcW w:w="4082" w:type="pct"/>
            <w:gridSpan w:val="2"/>
            <w:tcBorders>
              <w:tl2br w:val="nil"/>
              <w:tr2bl w:val="nil"/>
            </w:tcBorders>
            <w:vAlign w:val="center"/>
          </w:tcPr>
          <w:p w14:paraId="16638014">
            <w:pPr>
              <w:keepNext w:val="0"/>
              <w:keepLines w:val="0"/>
              <w:pageBreakBefore w:val="0"/>
              <w:widowControl w:val="0"/>
              <w:kinsoku/>
              <w:wordWrap/>
              <w:overflowPunct/>
              <w:autoSpaceDE/>
              <w:autoSpaceDN/>
              <w:bidi w:val="0"/>
              <w:adjustRightInd/>
              <w:snapToGrid w:val="0"/>
              <w:spacing w:line="300" w:lineRule="exact"/>
              <w:ind w:left="0" w:left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施工期应委托有资质的单位依照环境影响报告书及批复相关内容开展环境监理工作，避免施工活动对</w:t>
            </w:r>
            <w:r>
              <w:rPr>
                <w:rFonts w:hint="default" w:ascii="Times New Roman" w:hAnsi="Times New Roman" w:cs="Times New Roman" w:eastAsiaTheme="minorEastAsia"/>
                <w:color w:val="auto"/>
                <w:sz w:val="21"/>
                <w:szCs w:val="21"/>
                <w:highlight w:val="none"/>
                <w:lang w:eastAsia="zh-CN"/>
              </w:rPr>
              <w:t>环境保护目标</w:t>
            </w:r>
            <w:r>
              <w:rPr>
                <w:rFonts w:hint="default" w:ascii="Times New Roman" w:hAnsi="Times New Roman" w:cs="Times New Roman" w:eastAsiaTheme="minorEastAsia"/>
                <w:color w:val="auto"/>
                <w:sz w:val="21"/>
                <w:szCs w:val="21"/>
                <w:highlight w:val="none"/>
              </w:rPr>
              <w:t>产生影响。</w:t>
            </w:r>
          </w:p>
        </w:tc>
      </w:tr>
      <w:tr w14:paraId="4FF3B9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15" w:type="pct"/>
            <w:vMerge w:val="restart"/>
            <w:tcBorders>
              <w:tl2br w:val="nil"/>
              <w:tr2bl w:val="nil"/>
            </w:tcBorders>
            <w:vAlign w:val="center"/>
          </w:tcPr>
          <w:p w14:paraId="50BEB8A3">
            <w:pPr>
              <w:keepNext w:val="0"/>
              <w:keepLines w:val="0"/>
              <w:pageBreakBefore w:val="0"/>
              <w:widowControl w:val="0"/>
              <w:kinsoku/>
              <w:wordWrap/>
              <w:overflowPunct/>
              <w:autoSpaceDE/>
              <w:autoSpaceDN/>
              <w:bidi w:val="0"/>
              <w:adjustRightInd/>
              <w:snapToGrid w:val="0"/>
              <w:spacing w:line="300" w:lineRule="exact"/>
              <w:ind w:left="0" w:left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运</w:t>
            </w:r>
          </w:p>
          <w:p w14:paraId="13A846F7">
            <w:pPr>
              <w:keepNext w:val="0"/>
              <w:keepLines w:val="0"/>
              <w:pageBreakBefore w:val="0"/>
              <w:widowControl w:val="0"/>
              <w:kinsoku/>
              <w:wordWrap/>
              <w:overflowPunct/>
              <w:autoSpaceDE/>
              <w:autoSpaceDN/>
              <w:bidi w:val="0"/>
              <w:adjustRightInd/>
              <w:snapToGrid w:val="0"/>
              <w:spacing w:line="300" w:lineRule="exact"/>
              <w:ind w:left="0" w:left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营</w:t>
            </w:r>
          </w:p>
          <w:p w14:paraId="168052B6">
            <w:pPr>
              <w:keepNext w:val="0"/>
              <w:keepLines w:val="0"/>
              <w:pageBreakBefore w:val="0"/>
              <w:widowControl w:val="0"/>
              <w:kinsoku/>
              <w:wordWrap/>
              <w:overflowPunct/>
              <w:autoSpaceDE/>
              <w:autoSpaceDN/>
              <w:bidi w:val="0"/>
              <w:adjustRightInd/>
              <w:snapToGrid w:val="0"/>
              <w:spacing w:line="300" w:lineRule="exact"/>
              <w:ind w:left="0" w:left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期</w:t>
            </w:r>
          </w:p>
        </w:tc>
        <w:tc>
          <w:tcPr>
            <w:tcW w:w="239" w:type="pct"/>
            <w:tcBorders>
              <w:tl2br w:val="nil"/>
              <w:tr2bl w:val="nil"/>
            </w:tcBorders>
            <w:shd w:val="clear" w:color="auto" w:fill="auto"/>
            <w:vAlign w:val="center"/>
          </w:tcPr>
          <w:p w14:paraId="7E5D7062">
            <w:pPr>
              <w:keepNext w:val="0"/>
              <w:keepLines w:val="0"/>
              <w:pageBreakBefore w:val="0"/>
              <w:widowControl w:val="0"/>
              <w:kinsoku/>
              <w:wordWrap/>
              <w:overflowPunct/>
              <w:autoSpaceDE/>
              <w:autoSpaceDN/>
              <w:bidi w:val="0"/>
              <w:adjustRightInd/>
              <w:snapToGrid w:val="0"/>
              <w:spacing w:line="300" w:lineRule="exact"/>
              <w:ind w:left="0" w:leftChars="0"/>
              <w:jc w:val="center"/>
              <w:textAlignment w:val="auto"/>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eastAsiaTheme="minorEastAsia"/>
                <w:color w:val="auto"/>
                <w:sz w:val="21"/>
                <w:szCs w:val="21"/>
                <w:highlight w:val="none"/>
                <w:lang w:eastAsia="zh-CN"/>
              </w:rPr>
              <w:t>噪</w:t>
            </w:r>
          </w:p>
          <w:p w14:paraId="2C369EF2">
            <w:pPr>
              <w:keepNext w:val="0"/>
              <w:keepLines w:val="0"/>
              <w:pageBreakBefore w:val="0"/>
              <w:widowControl w:val="0"/>
              <w:kinsoku/>
              <w:wordWrap/>
              <w:overflowPunct/>
              <w:autoSpaceDE/>
              <w:autoSpaceDN/>
              <w:bidi w:val="0"/>
              <w:adjustRightInd/>
              <w:snapToGrid w:val="0"/>
              <w:spacing w:line="300" w:lineRule="exact"/>
              <w:ind w:left="0" w:left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eastAsia="zh-CN"/>
              </w:rPr>
              <w:t>声</w:t>
            </w:r>
          </w:p>
        </w:tc>
        <w:tc>
          <w:tcPr>
            <w:tcW w:w="462" w:type="pct"/>
            <w:tcBorders>
              <w:tl2br w:val="nil"/>
              <w:tr2bl w:val="nil"/>
            </w:tcBorders>
            <w:shd w:val="clear" w:color="auto" w:fill="auto"/>
            <w:vAlign w:val="center"/>
          </w:tcPr>
          <w:p w14:paraId="1B51C69B">
            <w:pPr>
              <w:keepNext w:val="0"/>
              <w:keepLines w:val="0"/>
              <w:pageBreakBefore w:val="0"/>
              <w:widowControl w:val="0"/>
              <w:kinsoku/>
              <w:wordWrap/>
              <w:overflowPunct/>
              <w:autoSpaceDE/>
              <w:autoSpaceDN/>
              <w:bidi w:val="0"/>
              <w:adjustRightInd/>
              <w:snapToGrid w:val="0"/>
              <w:spacing w:line="300" w:lineRule="exact"/>
              <w:ind w:left="0" w:left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rPr>
              <w:t>室外配电装置等电气设备</w:t>
            </w:r>
          </w:p>
        </w:tc>
        <w:tc>
          <w:tcPr>
            <w:tcW w:w="3000" w:type="pct"/>
            <w:tcBorders>
              <w:tl2br w:val="nil"/>
              <w:tr2bl w:val="nil"/>
            </w:tcBorders>
            <w:shd w:val="clear" w:color="auto" w:fill="auto"/>
            <w:vAlign w:val="center"/>
          </w:tcPr>
          <w:p w14:paraId="0514A804">
            <w:pPr>
              <w:keepNext w:val="0"/>
              <w:keepLines w:val="0"/>
              <w:pageBreakBefore w:val="0"/>
              <w:widowControl w:val="0"/>
              <w:kinsoku/>
              <w:wordWrap/>
              <w:overflowPunct/>
              <w:autoSpaceDE/>
              <w:autoSpaceDN/>
              <w:bidi w:val="0"/>
              <w:adjustRightInd/>
              <w:snapToGrid w:val="0"/>
              <w:spacing w:line="300" w:lineRule="exact"/>
              <w:ind w:left="0" w:left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rPr>
              <w:t>选用低噪声设备、安装减振</w:t>
            </w:r>
            <w:r>
              <w:rPr>
                <w:rFonts w:hint="default" w:ascii="Times New Roman" w:hAnsi="Times New Roman" w:cs="Times New Roman" w:eastAsiaTheme="minorEastAsia"/>
                <w:color w:val="auto"/>
                <w:sz w:val="21"/>
                <w:szCs w:val="21"/>
                <w:highlight w:val="none"/>
                <w:lang w:eastAsia="zh-CN"/>
              </w:rPr>
              <w:t>基础</w:t>
            </w:r>
          </w:p>
        </w:tc>
        <w:tc>
          <w:tcPr>
            <w:tcW w:w="1081" w:type="pct"/>
            <w:tcBorders>
              <w:tl2br w:val="nil"/>
              <w:tr2bl w:val="nil"/>
            </w:tcBorders>
            <w:shd w:val="clear" w:color="auto" w:fill="auto"/>
            <w:vAlign w:val="center"/>
          </w:tcPr>
          <w:p w14:paraId="6648F40A">
            <w:pPr>
              <w:keepNext w:val="0"/>
              <w:keepLines w:val="0"/>
              <w:pageBreakBefore w:val="0"/>
              <w:widowControl w:val="0"/>
              <w:kinsoku/>
              <w:wordWrap w:val="0"/>
              <w:overflowPunct/>
              <w:topLinePunct/>
              <w:autoSpaceDE/>
              <w:autoSpaceDN/>
              <w:bidi w:val="0"/>
              <w:adjustRightInd/>
              <w:snapToGrid w:val="0"/>
              <w:spacing w:line="300" w:lineRule="exact"/>
              <w:ind w:left="0" w:leftChars="0"/>
              <w:jc w:val="both"/>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bidi="ar-SA"/>
              </w:rPr>
              <w:t>《工业企业厂界噪声排放标准》</w:t>
            </w:r>
            <w:r>
              <w:rPr>
                <w:rFonts w:hint="default" w:ascii="Times New Roman" w:hAnsi="Times New Roman" w:cs="Times New Roman" w:eastAsiaTheme="minorEastAsia"/>
                <w:color w:val="auto"/>
                <w:kern w:val="2"/>
                <w:sz w:val="21"/>
                <w:szCs w:val="21"/>
                <w:highlight w:val="none"/>
                <w:lang w:eastAsia="zh-CN" w:bidi="ar-SA"/>
              </w:rPr>
              <w:t>(</w:t>
            </w:r>
            <w:r>
              <w:rPr>
                <w:rFonts w:hint="default" w:ascii="Times New Roman" w:hAnsi="Times New Roman" w:cs="Times New Roman" w:eastAsiaTheme="minorEastAsia"/>
                <w:color w:val="auto"/>
                <w:kern w:val="2"/>
                <w:sz w:val="21"/>
                <w:szCs w:val="21"/>
                <w:highlight w:val="none"/>
                <w:lang w:bidi="ar-SA"/>
              </w:rPr>
              <w:t>GB12348-2008</w:t>
            </w:r>
            <w:r>
              <w:rPr>
                <w:rFonts w:hint="default" w:ascii="Times New Roman" w:hAnsi="Times New Roman" w:cs="Times New Roman" w:eastAsiaTheme="minorEastAsia"/>
                <w:color w:val="auto"/>
                <w:kern w:val="2"/>
                <w:sz w:val="21"/>
                <w:szCs w:val="21"/>
                <w:highlight w:val="none"/>
                <w:lang w:eastAsia="zh-CN" w:bidi="ar-SA"/>
              </w:rPr>
              <w:t>)</w:t>
            </w:r>
            <w:r>
              <w:rPr>
                <w:rFonts w:hint="default" w:ascii="Times New Roman" w:hAnsi="Times New Roman" w:cs="Times New Roman" w:eastAsiaTheme="minorEastAsia"/>
                <w:color w:val="auto"/>
                <w:kern w:val="2"/>
                <w:sz w:val="21"/>
                <w:szCs w:val="21"/>
                <w:highlight w:val="none"/>
                <w:lang w:bidi="ar-SA"/>
              </w:rPr>
              <w:t>2类标准。</w:t>
            </w:r>
          </w:p>
        </w:tc>
      </w:tr>
      <w:tr w14:paraId="64E6A6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15" w:type="pct"/>
            <w:vMerge w:val="continue"/>
            <w:tcBorders>
              <w:tl2br w:val="nil"/>
              <w:tr2bl w:val="nil"/>
            </w:tcBorders>
            <w:vAlign w:val="center"/>
          </w:tcPr>
          <w:p w14:paraId="161A6B3F">
            <w:pPr>
              <w:keepNext w:val="0"/>
              <w:keepLines w:val="0"/>
              <w:pageBreakBefore w:val="0"/>
              <w:widowControl w:val="0"/>
              <w:kinsoku/>
              <w:wordWrap/>
              <w:overflowPunct/>
              <w:autoSpaceDE/>
              <w:autoSpaceDN/>
              <w:bidi w:val="0"/>
              <w:adjustRightInd/>
              <w:snapToGrid w:val="0"/>
              <w:spacing w:line="300" w:lineRule="exact"/>
              <w:ind w:left="0" w:leftChars="0"/>
              <w:jc w:val="center"/>
              <w:textAlignment w:val="auto"/>
              <w:rPr>
                <w:rFonts w:hint="default" w:ascii="Times New Roman" w:hAnsi="Times New Roman" w:cs="Times New Roman" w:eastAsiaTheme="minorEastAsia"/>
                <w:color w:val="auto"/>
                <w:sz w:val="21"/>
                <w:szCs w:val="21"/>
                <w:highlight w:val="none"/>
              </w:rPr>
            </w:pPr>
          </w:p>
        </w:tc>
        <w:tc>
          <w:tcPr>
            <w:tcW w:w="239" w:type="pct"/>
            <w:vMerge w:val="restart"/>
            <w:tcBorders>
              <w:tl2br w:val="nil"/>
              <w:tr2bl w:val="nil"/>
            </w:tcBorders>
            <w:vAlign w:val="center"/>
          </w:tcPr>
          <w:p w14:paraId="7084179F">
            <w:pPr>
              <w:keepNext w:val="0"/>
              <w:keepLines w:val="0"/>
              <w:pageBreakBefore w:val="0"/>
              <w:widowControl w:val="0"/>
              <w:kinsoku/>
              <w:wordWrap/>
              <w:overflowPunct/>
              <w:autoSpaceDE/>
              <w:autoSpaceDN/>
              <w:bidi w:val="0"/>
              <w:adjustRightInd/>
              <w:snapToGrid w:val="0"/>
              <w:spacing w:line="300" w:lineRule="exact"/>
              <w:ind w:left="0" w:leftChars="0"/>
              <w:jc w:val="center"/>
              <w:textAlignment w:val="auto"/>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eastAsiaTheme="minorEastAsia"/>
                <w:color w:val="auto"/>
                <w:sz w:val="21"/>
                <w:szCs w:val="21"/>
                <w:highlight w:val="none"/>
                <w:lang w:eastAsia="zh-CN"/>
              </w:rPr>
              <w:t>固</w:t>
            </w:r>
          </w:p>
          <w:p w14:paraId="40EBA1A7">
            <w:pPr>
              <w:keepNext w:val="0"/>
              <w:keepLines w:val="0"/>
              <w:pageBreakBefore w:val="0"/>
              <w:widowControl w:val="0"/>
              <w:kinsoku/>
              <w:wordWrap/>
              <w:overflowPunct/>
              <w:autoSpaceDE/>
              <w:autoSpaceDN/>
              <w:bidi w:val="0"/>
              <w:adjustRightInd/>
              <w:snapToGrid w:val="0"/>
              <w:spacing w:line="300" w:lineRule="exact"/>
              <w:ind w:left="0" w:leftChars="0"/>
              <w:jc w:val="center"/>
              <w:textAlignment w:val="auto"/>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eastAsiaTheme="minorEastAsia"/>
                <w:color w:val="auto"/>
                <w:sz w:val="21"/>
                <w:szCs w:val="21"/>
                <w:highlight w:val="none"/>
                <w:lang w:eastAsia="zh-CN"/>
              </w:rPr>
              <w:t>废</w:t>
            </w:r>
          </w:p>
        </w:tc>
        <w:tc>
          <w:tcPr>
            <w:tcW w:w="462" w:type="pct"/>
            <w:tcBorders>
              <w:tl2br w:val="nil"/>
              <w:tr2bl w:val="nil"/>
            </w:tcBorders>
            <w:vAlign w:val="center"/>
          </w:tcPr>
          <w:p w14:paraId="14E5DD03">
            <w:pPr>
              <w:keepNext w:val="0"/>
              <w:keepLines w:val="0"/>
              <w:pageBreakBefore w:val="0"/>
              <w:widowControl w:val="0"/>
              <w:kinsoku/>
              <w:wordWrap/>
              <w:overflowPunct/>
              <w:autoSpaceDE/>
              <w:autoSpaceDN/>
              <w:bidi w:val="0"/>
              <w:adjustRightInd/>
              <w:snapToGrid w:val="0"/>
              <w:spacing w:line="300" w:lineRule="exact"/>
              <w:ind w:left="0" w:left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危险废物</w:t>
            </w:r>
          </w:p>
        </w:tc>
        <w:tc>
          <w:tcPr>
            <w:tcW w:w="3000" w:type="pct"/>
            <w:tcBorders>
              <w:tl2br w:val="nil"/>
              <w:tr2bl w:val="nil"/>
            </w:tcBorders>
            <w:vAlign w:val="center"/>
          </w:tcPr>
          <w:p w14:paraId="669089C0">
            <w:pPr>
              <w:keepNext w:val="0"/>
              <w:keepLines w:val="0"/>
              <w:pageBreakBefore w:val="0"/>
              <w:widowControl w:val="0"/>
              <w:kinsoku/>
              <w:wordWrap/>
              <w:overflowPunct/>
              <w:autoSpaceDE/>
              <w:autoSpaceDN/>
              <w:bidi w:val="0"/>
              <w:adjustRightInd/>
              <w:snapToGrid w:val="0"/>
              <w:spacing w:line="300" w:lineRule="exact"/>
              <w:ind w:left="0" w:leftChars="0"/>
              <w:jc w:val="center"/>
              <w:textAlignment w:val="auto"/>
              <w:rPr>
                <w:rFonts w:hint="default" w:ascii="Times New Roman" w:hAnsi="Times New Roman" w:cs="Times New Roman" w:eastAsiaTheme="minorEastAsia"/>
                <w:color w:val="auto"/>
                <w:sz w:val="21"/>
                <w:szCs w:val="21"/>
                <w:highlight w:val="none"/>
                <w:lang w:eastAsia="zh-CN"/>
              </w:rPr>
            </w:pPr>
            <w:r>
              <w:rPr>
                <w:rFonts w:hint="eastAsia" w:cs="Times New Roman" w:eastAsiaTheme="minorEastAsia"/>
                <w:color w:val="auto"/>
                <w:sz w:val="21"/>
                <w:szCs w:val="21"/>
                <w:highlight w:val="none"/>
                <w:lang w:val="en-US" w:eastAsia="zh-CN"/>
              </w:rPr>
              <w:t>检修过程中产生的</w:t>
            </w:r>
            <w:r>
              <w:rPr>
                <w:rFonts w:hint="default" w:ascii="Times New Roman" w:hAnsi="Times New Roman" w:cs="Times New Roman" w:eastAsiaTheme="minorEastAsia"/>
                <w:color w:val="auto"/>
                <w:sz w:val="21"/>
                <w:szCs w:val="21"/>
                <w:highlight w:val="none"/>
              </w:rPr>
              <w:t>废</w:t>
            </w:r>
            <w:r>
              <w:rPr>
                <w:rFonts w:hint="eastAsia" w:cs="Times New Roman" w:eastAsiaTheme="minorEastAsia"/>
                <w:color w:val="auto"/>
                <w:sz w:val="21"/>
                <w:szCs w:val="21"/>
                <w:highlight w:val="none"/>
                <w:lang w:val="en-US" w:eastAsia="zh-CN"/>
              </w:rPr>
              <w:t>矿物</w:t>
            </w:r>
            <w:r>
              <w:rPr>
                <w:rFonts w:hint="default" w:ascii="Times New Roman" w:hAnsi="Times New Roman" w:cs="Times New Roman" w:eastAsiaTheme="minorEastAsia"/>
                <w:color w:val="auto"/>
                <w:sz w:val="21"/>
                <w:szCs w:val="21"/>
                <w:highlight w:val="none"/>
              </w:rPr>
              <w:t>油、含油抹布和废手套分类集中收集后，</w:t>
            </w:r>
            <w:r>
              <w:rPr>
                <w:rFonts w:hint="eastAsia" w:cs="Times New Roman" w:eastAsiaTheme="minorEastAsia"/>
                <w:color w:val="auto"/>
                <w:sz w:val="21"/>
                <w:szCs w:val="21"/>
                <w:highlight w:val="none"/>
                <w:lang w:val="en-US" w:eastAsia="zh-CN"/>
              </w:rPr>
              <w:t>即产即清</w:t>
            </w:r>
            <w:r>
              <w:rPr>
                <w:rFonts w:hint="default" w:ascii="Times New Roman" w:hAnsi="Times New Roman" w:cs="Times New Roman" w:eastAsiaTheme="minorEastAsia"/>
                <w:color w:val="auto"/>
                <w:sz w:val="21"/>
                <w:szCs w:val="21"/>
                <w:highlight w:val="none"/>
              </w:rPr>
              <w:t>，</w:t>
            </w:r>
            <w:r>
              <w:rPr>
                <w:rFonts w:hint="eastAsia" w:cs="Times New Roman" w:eastAsiaTheme="minorEastAsia"/>
                <w:color w:val="auto"/>
                <w:sz w:val="21"/>
                <w:szCs w:val="21"/>
                <w:highlight w:val="none"/>
                <w:lang w:val="en-US" w:eastAsia="zh-CN"/>
              </w:rPr>
              <w:t>不在场内贮存，</w:t>
            </w:r>
            <w:r>
              <w:rPr>
                <w:rFonts w:hint="default" w:ascii="Times New Roman" w:hAnsi="Times New Roman" w:cs="Times New Roman" w:eastAsiaTheme="minorEastAsia"/>
                <w:color w:val="auto"/>
                <w:sz w:val="21"/>
                <w:szCs w:val="21"/>
                <w:highlight w:val="none"/>
              </w:rPr>
              <w:t>委托有资质单位处置。</w:t>
            </w:r>
          </w:p>
        </w:tc>
        <w:tc>
          <w:tcPr>
            <w:tcW w:w="1081" w:type="pct"/>
            <w:tcBorders>
              <w:tl2br w:val="nil"/>
              <w:tr2bl w:val="nil"/>
            </w:tcBorders>
            <w:vAlign w:val="center"/>
          </w:tcPr>
          <w:p w14:paraId="5B7EC6A2">
            <w:pPr>
              <w:keepNext w:val="0"/>
              <w:keepLines w:val="0"/>
              <w:pageBreakBefore w:val="0"/>
              <w:widowControl w:val="0"/>
              <w:kinsoku/>
              <w:wordWrap w:val="0"/>
              <w:overflowPunct/>
              <w:topLinePunct/>
              <w:autoSpaceDE/>
              <w:autoSpaceDN/>
              <w:bidi w:val="0"/>
              <w:adjustRightInd/>
              <w:snapToGrid w:val="0"/>
              <w:spacing w:line="300" w:lineRule="exact"/>
              <w:ind w:left="0" w:leftChars="0"/>
              <w:jc w:val="center"/>
              <w:textAlignment w:val="auto"/>
              <w:rPr>
                <w:rFonts w:hint="default" w:ascii="Times New Roman" w:hAnsi="Times New Roman" w:cs="Times New Roman" w:eastAsiaTheme="minorEastAsia"/>
                <w:color w:val="auto"/>
                <w:kern w:val="2"/>
                <w:sz w:val="21"/>
                <w:szCs w:val="21"/>
                <w:highlight w:val="none"/>
                <w:lang w:bidi="ar-SA"/>
              </w:rPr>
            </w:pPr>
            <w:r>
              <w:rPr>
                <w:rFonts w:hint="default" w:ascii="Times New Roman" w:hAnsi="Times New Roman" w:cs="Times New Roman" w:eastAsiaTheme="minorEastAsia"/>
                <w:color w:val="auto"/>
                <w:sz w:val="21"/>
                <w:szCs w:val="21"/>
                <w:highlight w:val="none"/>
              </w:rPr>
              <w:t>定期交由有资质的单位处置</w:t>
            </w:r>
          </w:p>
        </w:tc>
      </w:tr>
      <w:tr w14:paraId="65A450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15" w:type="pct"/>
            <w:vMerge w:val="continue"/>
            <w:tcBorders>
              <w:tl2br w:val="nil"/>
              <w:tr2bl w:val="nil"/>
            </w:tcBorders>
            <w:vAlign w:val="center"/>
          </w:tcPr>
          <w:p w14:paraId="53CE55FC">
            <w:pPr>
              <w:keepNext w:val="0"/>
              <w:keepLines w:val="0"/>
              <w:pageBreakBefore w:val="0"/>
              <w:widowControl w:val="0"/>
              <w:kinsoku/>
              <w:wordWrap/>
              <w:overflowPunct/>
              <w:autoSpaceDE/>
              <w:autoSpaceDN/>
              <w:bidi w:val="0"/>
              <w:adjustRightInd/>
              <w:snapToGrid w:val="0"/>
              <w:spacing w:line="300" w:lineRule="exact"/>
              <w:ind w:left="0" w:leftChars="0"/>
              <w:jc w:val="center"/>
              <w:textAlignment w:val="auto"/>
              <w:rPr>
                <w:rFonts w:hint="default" w:ascii="Times New Roman" w:hAnsi="Times New Roman" w:cs="Times New Roman" w:eastAsiaTheme="minorEastAsia"/>
                <w:color w:val="auto"/>
                <w:sz w:val="21"/>
                <w:szCs w:val="21"/>
                <w:highlight w:val="none"/>
              </w:rPr>
            </w:pPr>
          </w:p>
        </w:tc>
        <w:tc>
          <w:tcPr>
            <w:tcW w:w="239" w:type="pct"/>
            <w:vMerge w:val="continue"/>
            <w:tcBorders>
              <w:tl2br w:val="nil"/>
              <w:tr2bl w:val="nil"/>
            </w:tcBorders>
            <w:vAlign w:val="center"/>
          </w:tcPr>
          <w:p w14:paraId="3D0096FE">
            <w:pPr>
              <w:keepNext w:val="0"/>
              <w:keepLines w:val="0"/>
              <w:pageBreakBefore w:val="0"/>
              <w:widowControl w:val="0"/>
              <w:kinsoku/>
              <w:wordWrap/>
              <w:overflowPunct/>
              <w:autoSpaceDE/>
              <w:autoSpaceDN/>
              <w:bidi w:val="0"/>
              <w:adjustRightInd/>
              <w:snapToGrid w:val="0"/>
              <w:spacing w:line="300" w:lineRule="exact"/>
              <w:ind w:left="0" w:leftChars="0"/>
              <w:jc w:val="center"/>
              <w:textAlignment w:val="auto"/>
              <w:rPr>
                <w:rFonts w:hint="default" w:ascii="Times New Roman" w:hAnsi="Times New Roman" w:cs="Times New Roman" w:eastAsiaTheme="minorEastAsia"/>
                <w:color w:val="auto"/>
                <w:sz w:val="21"/>
                <w:szCs w:val="21"/>
                <w:highlight w:val="none"/>
                <w:lang w:eastAsia="zh-CN"/>
              </w:rPr>
            </w:pPr>
          </w:p>
        </w:tc>
        <w:tc>
          <w:tcPr>
            <w:tcW w:w="462" w:type="pct"/>
            <w:tcBorders>
              <w:tl2br w:val="nil"/>
              <w:tr2bl w:val="nil"/>
            </w:tcBorders>
            <w:vAlign w:val="center"/>
          </w:tcPr>
          <w:p w14:paraId="44EE716A">
            <w:pPr>
              <w:keepNext w:val="0"/>
              <w:keepLines w:val="0"/>
              <w:pageBreakBefore w:val="0"/>
              <w:widowControl w:val="0"/>
              <w:kinsoku/>
              <w:wordWrap/>
              <w:overflowPunct/>
              <w:autoSpaceDE/>
              <w:autoSpaceDN/>
              <w:bidi w:val="0"/>
              <w:adjustRightInd/>
              <w:snapToGrid w:val="0"/>
              <w:spacing w:line="300" w:lineRule="exact"/>
              <w:ind w:left="0" w:left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一般固体废物</w:t>
            </w:r>
          </w:p>
        </w:tc>
        <w:tc>
          <w:tcPr>
            <w:tcW w:w="3000" w:type="pct"/>
            <w:tcBorders>
              <w:tl2br w:val="nil"/>
              <w:tr2bl w:val="nil"/>
            </w:tcBorders>
            <w:vAlign w:val="center"/>
          </w:tcPr>
          <w:p w14:paraId="7D282352">
            <w:pPr>
              <w:keepNext w:val="0"/>
              <w:keepLines w:val="0"/>
              <w:pageBreakBefore w:val="0"/>
              <w:widowControl w:val="0"/>
              <w:kinsoku/>
              <w:wordWrap/>
              <w:overflowPunct/>
              <w:autoSpaceDE/>
              <w:autoSpaceDN/>
              <w:bidi w:val="0"/>
              <w:adjustRightInd/>
              <w:snapToGrid w:val="0"/>
              <w:spacing w:line="300" w:lineRule="exact"/>
              <w:ind w:left="0" w:left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rPr>
              <w:t>风机报废零部件、废风机叶片集中收集后，厂家回收。</w:t>
            </w:r>
          </w:p>
        </w:tc>
        <w:tc>
          <w:tcPr>
            <w:tcW w:w="1081" w:type="pct"/>
            <w:tcBorders>
              <w:tl2br w:val="nil"/>
              <w:tr2bl w:val="nil"/>
            </w:tcBorders>
            <w:vAlign w:val="center"/>
          </w:tcPr>
          <w:p w14:paraId="2E8D22E4">
            <w:pPr>
              <w:keepNext w:val="0"/>
              <w:keepLines w:val="0"/>
              <w:pageBreakBefore w:val="0"/>
              <w:widowControl w:val="0"/>
              <w:kinsoku/>
              <w:wordWrap w:val="0"/>
              <w:overflowPunct/>
              <w:topLinePunct/>
              <w:autoSpaceDE/>
              <w:autoSpaceDN/>
              <w:bidi w:val="0"/>
              <w:adjustRightInd/>
              <w:snapToGrid w:val="0"/>
              <w:spacing w:line="300" w:lineRule="exact"/>
              <w:ind w:left="0" w:left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合理处置</w:t>
            </w:r>
          </w:p>
        </w:tc>
      </w:tr>
      <w:tr w14:paraId="1ABE75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15" w:type="pct"/>
            <w:vMerge w:val="continue"/>
            <w:tcBorders>
              <w:tl2br w:val="nil"/>
              <w:tr2bl w:val="nil"/>
            </w:tcBorders>
            <w:vAlign w:val="center"/>
          </w:tcPr>
          <w:p w14:paraId="15953D09">
            <w:pPr>
              <w:keepNext w:val="0"/>
              <w:keepLines w:val="0"/>
              <w:pageBreakBefore w:val="0"/>
              <w:widowControl w:val="0"/>
              <w:kinsoku/>
              <w:wordWrap/>
              <w:overflowPunct/>
              <w:autoSpaceDE/>
              <w:autoSpaceDN/>
              <w:bidi w:val="0"/>
              <w:adjustRightInd/>
              <w:snapToGrid w:val="0"/>
              <w:spacing w:line="300" w:lineRule="exact"/>
              <w:ind w:left="0" w:leftChars="0"/>
              <w:jc w:val="center"/>
              <w:textAlignment w:val="auto"/>
              <w:rPr>
                <w:rFonts w:hint="default" w:ascii="Times New Roman" w:hAnsi="Times New Roman" w:cs="Times New Roman" w:eastAsiaTheme="minorEastAsia"/>
                <w:color w:val="auto"/>
                <w:sz w:val="21"/>
                <w:szCs w:val="21"/>
                <w:highlight w:val="none"/>
              </w:rPr>
            </w:pPr>
          </w:p>
        </w:tc>
        <w:tc>
          <w:tcPr>
            <w:tcW w:w="239" w:type="pct"/>
            <w:vMerge w:val="continue"/>
            <w:tcBorders>
              <w:tl2br w:val="nil"/>
              <w:tr2bl w:val="nil"/>
            </w:tcBorders>
            <w:vAlign w:val="center"/>
          </w:tcPr>
          <w:p w14:paraId="6A2ABF7C">
            <w:pPr>
              <w:keepNext w:val="0"/>
              <w:keepLines w:val="0"/>
              <w:pageBreakBefore w:val="0"/>
              <w:widowControl w:val="0"/>
              <w:kinsoku/>
              <w:wordWrap/>
              <w:overflowPunct/>
              <w:autoSpaceDE/>
              <w:autoSpaceDN/>
              <w:bidi w:val="0"/>
              <w:adjustRightInd/>
              <w:snapToGrid w:val="0"/>
              <w:spacing w:line="300" w:lineRule="exact"/>
              <w:ind w:left="0" w:leftChars="0"/>
              <w:jc w:val="center"/>
              <w:textAlignment w:val="auto"/>
              <w:rPr>
                <w:rFonts w:hint="default" w:ascii="Times New Roman" w:hAnsi="Times New Roman" w:cs="Times New Roman" w:eastAsiaTheme="minorEastAsia"/>
                <w:color w:val="auto"/>
                <w:sz w:val="21"/>
                <w:szCs w:val="21"/>
                <w:highlight w:val="none"/>
                <w:lang w:eastAsia="zh-CN"/>
              </w:rPr>
            </w:pPr>
          </w:p>
        </w:tc>
        <w:tc>
          <w:tcPr>
            <w:tcW w:w="462" w:type="pct"/>
            <w:tcBorders>
              <w:tl2br w:val="nil"/>
              <w:tr2bl w:val="nil"/>
            </w:tcBorders>
            <w:vAlign w:val="center"/>
          </w:tcPr>
          <w:p w14:paraId="7A5F1F3B">
            <w:pPr>
              <w:keepNext w:val="0"/>
              <w:keepLines w:val="0"/>
              <w:pageBreakBefore w:val="0"/>
              <w:widowControl w:val="0"/>
              <w:kinsoku/>
              <w:wordWrap/>
              <w:overflowPunct/>
              <w:autoSpaceDE/>
              <w:autoSpaceDN/>
              <w:bidi w:val="0"/>
              <w:adjustRightInd/>
              <w:snapToGrid w:val="0"/>
              <w:spacing w:line="300" w:lineRule="exact"/>
              <w:ind w:left="0" w:left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生活垃圾</w:t>
            </w:r>
          </w:p>
        </w:tc>
        <w:tc>
          <w:tcPr>
            <w:tcW w:w="3000" w:type="pct"/>
            <w:tcBorders>
              <w:tl2br w:val="nil"/>
              <w:tr2bl w:val="nil"/>
            </w:tcBorders>
            <w:vAlign w:val="center"/>
          </w:tcPr>
          <w:p w14:paraId="1F2EDD51">
            <w:pPr>
              <w:keepNext w:val="0"/>
              <w:keepLines w:val="0"/>
              <w:pageBreakBefore w:val="0"/>
              <w:widowControl w:val="0"/>
              <w:kinsoku/>
              <w:wordWrap/>
              <w:overflowPunct/>
              <w:autoSpaceDE/>
              <w:autoSpaceDN/>
              <w:bidi w:val="0"/>
              <w:adjustRightInd/>
              <w:snapToGrid w:val="0"/>
              <w:spacing w:line="300" w:lineRule="exact"/>
              <w:ind w:left="0" w:left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rPr>
              <w:t>集中收集后，定期运送到周边垃圾中转站转运，统一处置</w:t>
            </w:r>
          </w:p>
        </w:tc>
        <w:tc>
          <w:tcPr>
            <w:tcW w:w="1081" w:type="pct"/>
            <w:tcBorders>
              <w:tl2br w:val="nil"/>
              <w:tr2bl w:val="nil"/>
            </w:tcBorders>
            <w:vAlign w:val="center"/>
          </w:tcPr>
          <w:p w14:paraId="2BEAAEEC">
            <w:pPr>
              <w:keepNext w:val="0"/>
              <w:keepLines w:val="0"/>
              <w:pageBreakBefore w:val="0"/>
              <w:widowControl w:val="0"/>
              <w:kinsoku/>
              <w:wordWrap w:val="0"/>
              <w:overflowPunct/>
              <w:topLinePunct/>
              <w:autoSpaceDE/>
              <w:autoSpaceDN/>
              <w:bidi w:val="0"/>
              <w:adjustRightInd/>
              <w:snapToGrid w:val="0"/>
              <w:spacing w:line="300" w:lineRule="exact"/>
              <w:ind w:left="0" w:leftChars="0"/>
              <w:jc w:val="center"/>
              <w:textAlignment w:val="auto"/>
              <w:rPr>
                <w:rFonts w:hint="default" w:ascii="Times New Roman" w:hAnsi="Times New Roman" w:cs="Times New Roman" w:eastAsiaTheme="minorEastAsia"/>
                <w:color w:val="auto"/>
                <w:kern w:val="2"/>
                <w:sz w:val="21"/>
                <w:szCs w:val="21"/>
                <w:highlight w:val="none"/>
                <w:lang w:bidi="ar-SA"/>
              </w:rPr>
            </w:pPr>
            <w:r>
              <w:rPr>
                <w:rFonts w:hint="default" w:ascii="Times New Roman" w:hAnsi="Times New Roman" w:cs="Times New Roman" w:eastAsiaTheme="minorEastAsia"/>
                <w:color w:val="auto"/>
                <w:sz w:val="21"/>
                <w:szCs w:val="21"/>
                <w:highlight w:val="none"/>
              </w:rPr>
              <w:t>合理处置</w:t>
            </w:r>
          </w:p>
        </w:tc>
      </w:tr>
      <w:tr w14:paraId="4B281B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15" w:type="pct"/>
            <w:vMerge w:val="continue"/>
            <w:tcBorders>
              <w:tl2br w:val="nil"/>
              <w:tr2bl w:val="nil"/>
            </w:tcBorders>
            <w:vAlign w:val="center"/>
          </w:tcPr>
          <w:p w14:paraId="4E52AA9A">
            <w:pPr>
              <w:keepNext w:val="0"/>
              <w:keepLines w:val="0"/>
              <w:pageBreakBefore w:val="0"/>
              <w:widowControl w:val="0"/>
              <w:kinsoku/>
              <w:wordWrap/>
              <w:overflowPunct/>
              <w:autoSpaceDE/>
              <w:autoSpaceDN/>
              <w:bidi w:val="0"/>
              <w:adjustRightInd/>
              <w:snapToGrid w:val="0"/>
              <w:spacing w:line="300" w:lineRule="exact"/>
              <w:ind w:left="0" w:leftChars="0"/>
              <w:jc w:val="center"/>
              <w:textAlignment w:val="auto"/>
              <w:rPr>
                <w:rFonts w:hint="default" w:ascii="Times New Roman" w:hAnsi="Times New Roman" w:cs="Times New Roman" w:eastAsiaTheme="minorEastAsia"/>
                <w:color w:val="auto"/>
                <w:sz w:val="21"/>
                <w:szCs w:val="21"/>
                <w:highlight w:val="none"/>
              </w:rPr>
            </w:pPr>
          </w:p>
        </w:tc>
        <w:tc>
          <w:tcPr>
            <w:tcW w:w="239" w:type="pct"/>
            <w:vMerge w:val="restart"/>
            <w:tcBorders>
              <w:tl2br w:val="nil"/>
              <w:tr2bl w:val="nil"/>
            </w:tcBorders>
            <w:vAlign w:val="center"/>
          </w:tcPr>
          <w:p w14:paraId="6F8C97C8">
            <w:pPr>
              <w:keepNext w:val="0"/>
              <w:keepLines w:val="0"/>
              <w:pageBreakBefore w:val="0"/>
              <w:widowControl w:val="0"/>
              <w:kinsoku/>
              <w:wordWrap/>
              <w:overflowPunct/>
              <w:autoSpaceDE/>
              <w:autoSpaceDN/>
              <w:bidi w:val="0"/>
              <w:adjustRightInd/>
              <w:snapToGrid w:val="0"/>
              <w:spacing w:line="300" w:lineRule="exact"/>
              <w:ind w:left="0" w:leftChars="0"/>
              <w:jc w:val="center"/>
              <w:textAlignment w:val="auto"/>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eastAsiaTheme="minorEastAsia"/>
                <w:color w:val="auto"/>
                <w:sz w:val="21"/>
                <w:szCs w:val="21"/>
                <w:highlight w:val="none"/>
                <w:lang w:eastAsia="zh-CN"/>
              </w:rPr>
              <w:t>风险</w:t>
            </w:r>
          </w:p>
        </w:tc>
        <w:tc>
          <w:tcPr>
            <w:tcW w:w="462" w:type="pct"/>
            <w:tcBorders>
              <w:tl2br w:val="nil"/>
              <w:tr2bl w:val="nil"/>
            </w:tcBorders>
            <w:vAlign w:val="center"/>
          </w:tcPr>
          <w:p w14:paraId="696F1F77">
            <w:pPr>
              <w:keepNext w:val="0"/>
              <w:keepLines w:val="0"/>
              <w:pageBreakBefore w:val="0"/>
              <w:widowControl w:val="0"/>
              <w:kinsoku/>
              <w:wordWrap/>
              <w:overflowPunct/>
              <w:autoSpaceDE/>
              <w:autoSpaceDN/>
              <w:bidi w:val="0"/>
              <w:adjustRightInd/>
              <w:snapToGrid w:val="0"/>
              <w:spacing w:line="300" w:lineRule="exact"/>
              <w:ind w:left="0" w:left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风机机组</w:t>
            </w:r>
          </w:p>
        </w:tc>
        <w:tc>
          <w:tcPr>
            <w:tcW w:w="3000" w:type="pct"/>
            <w:tcBorders>
              <w:tl2br w:val="nil"/>
              <w:tr2bl w:val="nil"/>
            </w:tcBorders>
            <w:vAlign w:val="center"/>
          </w:tcPr>
          <w:p w14:paraId="21F36932">
            <w:pPr>
              <w:keepNext w:val="0"/>
              <w:keepLines w:val="0"/>
              <w:pageBreakBefore w:val="0"/>
              <w:widowControl w:val="0"/>
              <w:kinsoku/>
              <w:wordWrap/>
              <w:overflowPunct/>
              <w:autoSpaceDE/>
              <w:autoSpaceDN/>
              <w:bidi w:val="0"/>
              <w:adjustRightInd/>
              <w:snapToGrid w:val="0"/>
              <w:spacing w:line="300" w:lineRule="exact"/>
              <w:ind w:left="0" w:left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本项目风电场采用永磁风机</w:t>
            </w:r>
          </w:p>
        </w:tc>
        <w:tc>
          <w:tcPr>
            <w:tcW w:w="1081" w:type="pct"/>
            <w:tcBorders>
              <w:tl2br w:val="nil"/>
              <w:tr2bl w:val="nil"/>
            </w:tcBorders>
            <w:vAlign w:val="center"/>
          </w:tcPr>
          <w:p w14:paraId="48BF65B9">
            <w:pPr>
              <w:keepNext w:val="0"/>
              <w:keepLines w:val="0"/>
              <w:pageBreakBefore w:val="0"/>
              <w:widowControl w:val="0"/>
              <w:kinsoku/>
              <w:wordWrap w:val="0"/>
              <w:overflowPunct/>
              <w:topLinePunct/>
              <w:autoSpaceDE/>
              <w:autoSpaceDN/>
              <w:bidi w:val="0"/>
              <w:adjustRightInd/>
              <w:snapToGrid w:val="0"/>
              <w:spacing w:line="300" w:lineRule="exact"/>
              <w:ind w:left="0" w:left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w:t>
            </w:r>
          </w:p>
        </w:tc>
      </w:tr>
      <w:tr w14:paraId="17FCED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15" w:type="pct"/>
            <w:vMerge w:val="continue"/>
            <w:tcBorders>
              <w:tl2br w:val="nil"/>
              <w:tr2bl w:val="nil"/>
            </w:tcBorders>
            <w:vAlign w:val="center"/>
          </w:tcPr>
          <w:p w14:paraId="559C410F">
            <w:pPr>
              <w:keepNext w:val="0"/>
              <w:keepLines w:val="0"/>
              <w:pageBreakBefore w:val="0"/>
              <w:widowControl w:val="0"/>
              <w:kinsoku/>
              <w:wordWrap/>
              <w:overflowPunct/>
              <w:autoSpaceDE/>
              <w:autoSpaceDN/>
              <w:bidi w:val="0"/>
              <w:adjustRightInd/>
              <w:snapToGrid w:val="0"/>
              <w:spacing w:line="300" w:lineRule="exact"/>
              <w:ind w:left="0" w:leftChars="0"/>
              <w:jc w:val="center"/>
              <w:textAlignment w:val="auto"/>
              <w:rPr>
                <w:rFonts w:hint="default" w:ascii="Times New Roman" w:hAnsi="Times New Roman" w:cs="Times New Roman" w:eastAsiaTheme="minorEastAsia"/>
                <w:color w:val="FF0000"/>
                <w:sz w:val="21"/>
                <w:szCs w:val="21"/>
                <w:highlight w:val="none"/>
              </w:rPr>
            </w:pPr>
          </w:p>
        </w:tc>
        <w:tc>
          <w:tcPr>
            <w:tcW w:w="239" w:type="pct"/>
            <w:vMerge w:val="continue"/>
            <w:tcBorders>
              <w:tl2br w:val="nil"/>
              <w:tr2bl w:val="nil"/>
            </w:tcBorders>
            <w:vAlign w:val="center"/>
          </w:tcPr>
          <w:p w14:paraId="4317A00F">
            <w:pPr>
              <w:keepNext w:val="0"/>
              <w:keepLines w:val="0"/>
              <w:pageBreakBefore w:val="0"/>
              <w:widowControl w:val="0"/>
              <w:kinsoku/>
              <w:wordWrap/>
              <w:overflowPunct/>
              <w:autoSpaceDE/>
              <w:autoSpaceDN/>
              <w:bidi w:val="0"/>
              <w:adjustRightInd/>
              <w:snapToGrid w:val="0"/>
              <w:spacing w:line="300" w:lineRule="exact"/>
              <w:ind w:left="0" w:leftChars="0"/>
              <w:jc w:val="center"/>
              <w:textAlignment w:val="auto"/>
              <w:rPr>
                <w:rFonts w:hint="default" w:ascii="Times New Roman" w:hAnsi="Times New Roman" w:cs="Times New Roman" w:eastAsiaTheme="minorEastAsia"/>
                <w:color w:val="FF0000"/>
                <w:sz w:val="21"/>
                <w:szCs w:val="21"/>
                <w:highlight w:val="none"/>
                <w:lang w:eastAsia="zh-CN"/>
              </w:rPr>
            </w:pPr>
          </w:p>
        </w:tc>
        <w:tc>
          <w:tcPr>
            <w:tcW w:w="462" w:type="pct"/>
            <w:tcBorders>
              <w:tl2br w:val="nil"/>
              <w:tr2bl w:val="nil"/>
            </w:tcBorders>
            <w:vAlign w:val="center"/>
          </w:tcPr>
          <w:p w14:paraId="3CAF6743">
            <w:pPr>
              <w:keepNext w:val="0"/>
              <w:keepLines w:val="0"/>
              <w:pageBreakBefore w:val="0"/>
              <w:widowControl w:val="0"/>
              <w:kinsoku/>
              <w:wordWrap/>
              <w:overflowPunct/>
              <w:autoSpaceDE/>
              <w:autoSpaceDN/>
              <w:bidi w:val="0"/>
              <w:adjustRightInd/>
              <w:snapToGrid w:val="0"/>
              <w:spacing w:line="300" w:lineRule="exact"/>
              <w:ind w:left="0" w:left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箱变</w:t>
            </w:r>
          </w:p>
        </w:tc>
        <w:tc>
          <w:tcPr>
            <w:tcW w:w="3000" w:type="pct"/>
            <w:tcBorders>
              <w:tl2br w:val="nil"/>
              <w:tr2bl w:val="nil"/>
            </w:tcBorders>
            <w:vAlign w:val="center"/>
          </w:tcPr>
          <w:p w14:paraId="3B11FE7B">
            <w:pPr>
              <w:keepNext w:val="0"/>
              <w:keepLines w:val="0"/>
              <w:pageBreakBefore w:val="0"/>
              <w:widowControl w:val="0"/>
              <w:kinsoku/>
              <w:wordWrap/>
              <w:overflowPunct/>
              <w:autoSpaceDE/>
              <w:autoSpaceDN/>
              <w:bidi w:val="0"/>
              <w:adjustRightInd/>
              <w:snapToGrid w:val="0"/>
              <w:spacing w:line="300" w:lineRule="exact"/>
              <w:ind w:left="0" w:left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本项目所有箱变均采用干式变压器，不会有事故废变压器油产生</w:t>
            </w:r>
          </w:p>
        </w:tc>
        <w:tc>
          <w:tcPr>
            <w:tcW w:w="1081" w:type="pct"/>
            <w:tcBorders>
              <w:tl2br w:val="nil"/>
              <w:tr2bl w:val="nil"/>
            </w:tcBorders>
            <w:vAlign w:val="center"/>
          </w:tcPr>
          <w:p w14:paraId="00AC256A">
            <w:pPr>
              <w:keepNext w:val="0"/>
              <w:keepLines w:val="0"/>
              <w:pageBreakBefore w:val="0"/>
              <w:widowControl w:val="0"/>
              <w:kinsoku/>
              <w:wordWrap w:val="0"/>
              <w:overflowPunct/>
              <w:topLinePunct/>
              <w:autoSpaceDE/>
              <w:autoSpaceDN/>
              <w:bidi w:val="0"/>
              <w:adjustRightInd/>
              <w:snapToGrid w:val="0"/>
              <w:spacing w:line="300" w:lineRule="exact"/>
              <w:ind w:left="0" w:left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w:t>
            </w:r>
          </w:p>
        </w:tc>
      </w:tr>
      <w:tr w14:paraId="7CCEB6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15" w:type="pct"/>
            <w:vMerge w:val="continue"/>
            <w:tcBorders>
              <w:tl2br w:val="nil"/>
              <w:tr2bl w:val="nil"/>
            </w:tcBorders>
            <w:vAlign w:val="center"/>
          </w:tcPr>
          <w:p w14:paraId="5710808F">
            <w:pPr>
              <w:keepNext w:val="0"/>
              <w:keepLines w:val="0"/>
              <w:pageBreakBefore w:val="0"/>
              <w:widowControl w:val="0"/>
              <w:kinsoku/>
              <w:wordWrap/>
              <w:overflowPunct/>
              <w:autoSpaceDE/>
              <w:autoSpaceDN/>
              <w:bidi w:val="0"/>
              <w:adjustRightInd/>
              <w:snapToGrid w:val="0"/>
              <w:spacing w:line="300" w:lineRule="exact"/>
              <w:ind w:left="0" w:leftChars="0"/>
              <w:jc w:val="center"/>
              <w:textAlignment w:val="auto"/>
              <w:rPr>
                <w:rFonts w:hint="default" w:ascii="Times New Roman" w:hAnsi="Times New Roman" w:cs="Times New Roman" w:eastAsiaTheme="minorEastAsia"/>
                <w:color w:val="FF0000"/>
                <w:sz w:val="21"/>
                <w:szCs w:val="21"/>
                <w:highlight w:val="none"/>
              </w:rPr>
            </w:pPr>
          </w:p>
        </w:tc>
        <w:tc>
          <w:tcPr>
            <w:tcW w:w="239" w:type="pct"/>
            <w:vMerge w:val="continue"/>
            <w:tcBorders>
              <w:tl2br w:val="nil"/>
              <w:tr2bl w:val="nil"/>
            </w:tcBorders>
            <w:vAlign w:val="center"/>
          </w:tcPr>
          <w:p w14:paraId="026BE198">
            <w:pPr>
              <w:keepNext w:val="0"/>
              <w:keepLines w:val="0"/>
              <w:pageBreakBefore w:val="0"/>
              <w:widowControl w:val="0"/>
              <w:kinsoku/>
              <w:wordWrap/>
              <w:overflowPunct/>
              <w:autoSpaceDE/>
              <w:autoSpaceDN/>
              <w:bidi w:val="0"/>
              <w:adjustRightInd/>
              <w:snapToGrid w:val="0"/>
              <w:spacing w:line="300" w:lineRule="exact"/>
              <w:ind w:left="0" w:leftChars="0"/>
              <w:jc w:val="center"/>
              <w:textAlignment w:val="auto"/>
              <w:rPr>
                <w:rFonts w:hint="default" w:ascii="Times New Roman" w:hAnsi="Times New Roman" w:cs="Times New Roman" w:eastAsiaTheme="minorEastAsia"/>
                <w:color w:val="FF0000"/>
                <w:sz w:val="21"/>
                <w:szCs w:val="21"/>
                <w:highlight w:val="none"/>
                <w:lang w:eastAsia="zh-CN"/>
              </w:rPr>
            </w:pPr>
          </w:p>
        </w:tc>
        <w:tc>
          <w:tcPr>
            <w:tcW w:w="462" w:type="pct"/>
            <w:tcBorders>
              <w:tl2br w:val="nil"/>
              <w:tr2bl w:val="nil"/>
            </w:tcBorders>
            <w:vAlign w:val="center"/>
          </w:tcPr>
          <w:p w14:paraId="0C0EA5A3">
            <w:pPr>
              <w:keepNext w:val="0"/>
              <w:keepLines w:val="0"/>
              <w:pageBreakBefore w:val="0"/>
              <w:widowControl w:val="0"/>
              <w:kinsoku/>
              <w:wordWrap/>
              <w:overflowPunct/>
              <w:autoSpaceDE/>
              <w:autoSpaceDN/>
              <w:bidi w:val="0"/>
              <w:adjustRightInd/>
              <w:snapToGrid w:val="0"/>
              <w:spacing w:line="300" w:lineRule="exact"/>
              <w:ind w:left="0" w:left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危险废物</w:t>
            </w:r>
          </w:p>
        </w:tc>
        <w:tc>
          <w:tcPr>
            <w:tcW w:w="3000" w:type="pct"/>
            <w:tcBorders>
              <w:tl2br w:val="nil"/>
              <w:tr2bl w:val="nil"/>
            </w:tcBorders>
            <w:vAlign w:val="center"/>
          </w:tcPr>
          <w:p w14:paraId="42ADF83D">
            <w:pPr>
              <w:keepNext w:val="0"/>
              <w:keepLines w:val="0"/>
              <w:pageBreakBefore w:val="0"/>
              <w:widowControl w:val="0"/>
              <w:kinsoku/>
              <w:wordWrap/>
              <w:overflowPunct/>
              <w:autoSpaceDE/>
              <w:autoSpaceDN/>
              <w:bidi w:val="0"/>
              <w:adjustRightInd/>
              <w:snapToGrid w:val="0"/>
              <w:spacing w:line="300" w:lineRule="exact"/>
              <w:ind w:left="0" w:left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检修过程中产生的</w:t>
            </w:r>
            <w:r>
              <w:rPr>
                <w:rFonts w:hint="default" w:ascii="Times New Roman" w:hAnsi="Times New Roman" w:cs="Times New Roman" w:eastAsiaTheme="minorEastAsia"/>
                <w:color w:val="auto"/>
                <w:sz w:val="21"/>
                <w:szCs w:val="21"/>
                <w:highlight w:val="none"/>
              </w:rPr>
              <w:t>废</w:t>
            </w:r>
            <w:r>
              <w:rPr>
                <w:rFonts w:hint="eastAsia" w:cs="Times New Roman" w:eastAsiaTheme="minorEastAsia"/>
                <w:color w:val="auto"/>
                <w:sz w:val="21"/>
                <w:szCs w:val="21"/>
                <w:highlight w:val="none"/>
                <w:lang w:val="en-US" w:eastAsia="zh-CN"/>
              </w:rPr>
              <w:t>矿物</w:t>
            </w:r>
            <w:r>
              <w:rPr>
                <w:rFonts w:hint="default" w:ascii="Times New Roman" w:hAnsi="Times New Roman" w:cs="Times New Roman" w:eastAsiaTheme="minorEastAsia"/>
                <w:color w:val="auto"/>
                <w:sz w:val="21"/>
                <w:szCs w:val="21"/>
                <w:highlight w:val="none"/>
              </w:rPr>
              <w:t>油、含油抹布和废手套分类集中收集后，</w:t>
            </w:r>
            <w:r>
              <w:rPr>
                <w:rFonts w:hint="eastAsia" w:cs="Times New Roman" w:eastAsiaTheme="minorEastAsia"/>
                <w:color w:val="auto"/>
                <w:sz w:val="21"/>
                <w:szCs w:val="21"/>
                <w:highlight w:val="none"/>
                <w:lang w:val="en-US" w:eastAsia="zh-CN"/>
              </w:rPr>
              <w:t>即产即清</w:t>
            </w:r>
            <w:r>
              <w:rPr>
                <w:rFonts w:hint="default" w:ascii="Times New Roman" w:hAnsi="Times New Roman" w:cs="Times New Roman" w:eastAsiaTheme="minorEastAsia"/>
                <w:color w:val="auto"/>
                <w:sz w:val="21"/>
                <w:szCs w:val="21"/>
                <w:highlight w:val="none"/>
              </w:rPr>
              <w:t>，</w:t>
            </w:r>
            <w:r>
              <w:rPr>
                <w:rFonts w:hint="eastAsia" w:cs="Times New Roman" w:eastAsiaTheme="minorEastAsia"/>
                <w:color w:val="auto"/>
                <w:sz w:val="21"/>
                <w:szCs w:val="21"/>
                <w:highlight w:val="none"/>
                <w:lang w:val="en-US" w:eastAsia="zh-CN"/>
              </w:rPr>
              <w:t>不在场内贮存，</w:t>
            </w:r>
            <w:r>
              <w:rPr>
                <w:rFonts w:hint="default" w:ascii="Times New Roman" w:hAnsi="Times New Roman" w:cs="Times New Roman" w:eastAsiaTheme="minorEastAsia"/>
                <w:color w:val="auto"/>
                <w:sz w:val="21"/>
                <w:szCs w:val="21"/>
                <w:highlight w:val="none"/>
              </w:rPr>
              <w:t>委托有资质单位处置。</w:t>
            </w:r>
          </w:p>
        </w:tc>
        <w:tc>
          <w:tcPr>
            <w:tcW w:w="1081" w:type="pct"/>
            <w:tcBorders>
              <w:tl2br w:val="nil"/>
              <w:tr2bl w:val="nil"/>
            </w:tcBorders>
            <w:vAlign w:val="center"/>
          </w:tcPr>
          <w:p w14:paraId="258B1F4C">
            <w:pPr>
              <w:keepNext w:val="0"/>
              <w:keepLines w:val="0"/>
              <w:pageBreakBefore w:val="0"/>
              <w:widowControl w:val="0"/>
              <w:kinsoku/>
              <w:wordWrap w:val="0"/>
              <w:overflowPunct/>
              <w:topLinePunct/>
              <w:autoSpaceDE/>
              <w:autoSpaceDN/>
              <w:bidi w:val="0"/>
              <w:adjustRightInd/>
              <w:snapToGrid w:val="0"/>
              <w:spacing w:line="300" w:lineRule="exact"/>
              <w:ind w:left="0" w:leftChars="0"/>
              <w:jc w:val="both"/>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满足《危险废物贮存污染控制标准》</w:t>
            </w:r>
            <w:r>
              <w:rPr>
                <w:rFonts w:hint="default" w:ascii="Times New Roman" w:hAnsi="Times New Roman" w:cs="Times New Roman" w:eastAsiaTheme="minorEastAsia"/>
                <w:color w:val="auto"/>
                <w:sz w:val="21"/>
                <w:szCs w:val="21"/>
                <w:highlight w:val="none"/>
                <w:lang w:eastAsia="zh-CN"/>
              </w:rPr>
              <w:t>(</w:t>
            </w:r>
            <w:r>
              <w:rPr>
                <w:rFonts w:hint="default" w:ascii="Times New Roman" w:hAnsi="Times New Roman" w:cs="Times New Roman" w:eastAsiaTheme="minorEastAsia"/>
                <w:color w:val="auto"/>
                <w:sz w:val="21"/>
                <w:szCs w:val="21"/>
                <w:highlight w:val="none"/>
              </w:rPr>
              <w:t>GB18597-20</w:t>
            </w:r>
            <w:r>
              <w:rPr>
                <w:rFonts w:hint="default" w:ascii="Times New Roman" w:hAnsi="Times New Roman" w:cs="Times New Roman" w:eastAsiaTheme="minorEastAsia"/>
                <w:color w:val="auto"/>
                <w:sz w:val="21"/>
                <w:szCs w:val="21"/>
                <w:highlight w:val="none"/>
                <w:lang w:val="en-US" w:eastAsia="zh-CN"/>
              </w:rPr>
              <w:t>23</w:t>
            </w:r>
            <w:r>
              <w:rPr>
                <w:rFonts w:hint="default" w:ascii="Times New Roman" w:hAnsi="Times New Roman" w:cs="Times New Roman" w:eastAsiaTheme="minorEastAsia"/>
                <w:color w:val="auto"/>
                <w:sz w:val="21"/>
                <w:szCs w:val="21"/>
                <w:highlight w:val="none"/>
                <w:lang w:eastAsia="zh-CN"/>
              </w:rPr>
              <w:t>)</w:t>
            </w:r>
            <w:r>
              <w:rPr>
                <w:rFonts w:hint="default" w:ascii="Times New Roman" w:hAnsi="Times New Roman" w:cs="Times New Roman" w:eastAsiaTheme="minorEastAsia"/>
                <w:color w:val="auto"/>
                <w:sz w:val="21"/>
                <w:szCs w:val="21"/>
                <w:highlight w:val="none"/>
                <w:lang w:val="en-US" w:eastAsia="zh-CN"/>
              </w:rPr>
              <w:t>《危险废物收集 贮存 运输技术规范》(HJ2025-2012)《危险废物贮存污染控制标准》(GB18597-2023)</w:t>
            </w:r>
            <w:r>
              <w:rPr>
                <w:rFonts w:hint="default" w:ascii="Times New Roman" w:hAnsi="Times New Roman" w:cs="Times New Roman" w:eastAsiaTheme="minorEastAsia"/>
                <w:color w:val="auto"/>
                <w:sz w:val="21"/>
                <w:szCs w:val="21"/>
                <w:highlight w:val="none"/>
              </w:rPr>
              <w:t>。</w:t>
            </w:r>
          </w:p>
        </w:tc>
      </w:tr>
      <w:tr w14:paraId="60F540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15" w:type="pct"/>
            <w:vMerge w:val="continue"/>
            <w:tcBorders>
              <w:tl2br w:val="nil"/>
              <w:tr2bl w:val="nil"/>
            </w:tcBorders>
            <w:vAlign w:val="center"/>
          </w:tcPr>
          <w:p w14:paraId="73F30DF1">
            <w:pPr>
              <w:keepNext w:val="0"/>
              <w:keepLines w:val="0"/>
              <w:pageBreakBefore w:val="0"/>
              <w:widowControl w:val="0"/>
              <w:kinsoku/>
              <w:wordWrap/>
              <w:overflowPunct/>
              <w:autoSpaceDE/>
              <w:autoSpaceDN/>
              <w:bidi w:val="0"/>
              <w:adjustRightInd/>
              <w:snapToGrid w:val="0"/>
              <w:spacing w:line="300" w:lineRule="exact"/>
              <w:ind w:left="0" w:leftChars="0"/>
              <w:jc w:val="center"/>
              <w:textAlignment w:val="auto"/>
              <w:rPr>
                <w:rFonts w:hint="default" w:ascii="Times New Roman" w:hAnsi="Times New Roman" w:cs="Times New Roman" w:eastAsiaTheme="minorEastAsia"/>
                <w:color w:val="FF0000"/>
                <w:sz w:val="21"/>
                <w:szCs w:val="21"/>
                <w:highlight w:val="none"/>
              </w:rPr>
            </w:pPr>
          </w:p>
        </w:tc>
        <w:tc>
          <w:tcPr>
            <w:tcW w:w="239" w:type="pct"/>
            <w:vMerge w:val="continue"/>
            <w:tcBorders>
              <w:tl2br w:val="nil"/>
              <w:tr2bl w:val="nil"/>
            </w:tcBorders>
            <w:vAlign w:val="center"/>
          </w:tcPr>
          <w:p w14:paraId="52133449">
            <w:pPr>
              <w:keepNext w:val="0"/>
              <w:keepLines w:val="0"/>
              <w:pageBreakBefore w:val="0"/>
              <w:widowControl w:val="0"/>
              <w:kinsoku/>
              <w:wordWrap/>
              <w:overflowPunct/>
              <w:autoSpaceDE/>
              <w:autoSpaceDN/>
              <w:bidi w:val="0"/>
              <w:adjustRightInd/>
              <w:snapToGrid w:val="0"/>
              <w:spacing w:line="300" w:lineRule="exact"/>
              <w:ind w:left="0" w:leftChars="0"/>
              <w:jc w:val="center"/>
              <w:textAlignment w:val="auto"/>
              <w:rPr>
                <w:rFonts w:hint="default" w:ascii="Times New Roman" w:hAnsi="Times New Roman" w:cs="Times New Roman" w:eastAsiaTheme="minorEastAsia"/>
                <w:color w:val="auto"/>
                <w:sz w:val="21"/>
                <w:szCs w:val="21"/>
                <w:highlight w:val="none"/>
                <w:lang w:eastAsia="zh-CN"/>
              </w:rPr>
            </w:pPr>
          </w:p>
        </w:tc>
        <w:tc>
          <w:tcPr>
            <w:tcW w:w="462" w:type="pct"/>
            <w:tcBorders>
              <w:tl2br w:val="nil"/>
              <w:tr2bl w:val="nil"/>
            </w:tcBorders>
            <w:vAlign w:val="center"/>
          </w:tcPr>
          <w:p w14:paraId="49197B11">
            <w:pPr>
              <w:keepNext w:val="0"/>
              <w:keepLines w:val="0"/>
              <w:pageBreakBefore w:val="0"/>
              <w:widowControl w:val="0"/>
              <w:kinsoku/>
              <w:wordWrap/>
              <w:overflowPunct/>
              <w:autoSpaceDE/>
              <w:autoSpaceDN/>
              <w:bidi w:val="0"/>
              <w:adjustRightInd/>
              <w:snapToGrid w:val="0"/>
              <w:spacing w:line="300" w:lineRule="exact"/>
              <w:ind w:left="0" w:left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突发环境事件应急预案</w:t>
            </w:r>
          </w:p>
        </w:tc>
        <w:tc>
          <w:tcPr>
            <w:tcW w:w="3000" w:type="pct"/>
            <w:tcBorders>
              <w:tl2br w:val="nil"/>
              <w:tr2bl w:val="nil"/>
            </w:tcBorders>
            <w:vAlign w:val="center"/>
          </w:tcPr>
          <w:p w14:paraId="37B3EAB4">
            <w:pPr>
              <w:keepNext w:val="0"/>
              <w:keepLines w:val="0"/>
              <w:pageBreakBefore w:val="0"/>
              <w:widowControl w:val="0"/>
              <w:kinsoku/>
              <w:wordWrap/>
              <w:overflowPunct/>
              <w:autoSpaceDE/>
              <w:autoSpaceDN/>
              <w:bidi w:val="0"/>
              <w:adjustRightInd/>
              <w:snapToGrid w:val="0"/>
              <w:spacing w:line="300" w:lineRule="exact"/>
              <w:ind w:left="0" w:left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编制突发环境事件应急预案、备案并定期演练</w:t>
            </w:r>
          </w:p>
        </w:tc>
        <w:tc>
          <w:tcPr>
            <w:tcW w:w="1081" w:type="pct"/>
            <w:tcBorders>
              <w:tl2br w:val="nil"/>
              <w:tr2bl w:val="nil"/>
            </w:tcBorders>
            <w:vAlign w:val="center"/>
          </w:tcPr>
          <w:p w14:paraId="2BBFFF54">
            <w:pPr>
              <w:keepNext w:val="0"/>
              <w:keepLines w:val="0"/>
              <w:pageBreakBefore w:val="0"/>
              <w:widowControl w:val="0"/>
              <w:kinsoku/>
              <w:wordWrap w:val="0"/>
              <w:overflowPunct/>
              <w:topLinePunct/>
              <w:autoSpaceDE/>
              <w:autoSpaceDN/>
              <w:bidi w:val="0"/>
              <w:adjustRightInd/>
              <w:snapToGrid w:val="0"/>
              <w:spacing w:line="300" w:lineRule="exact"/>
              <w:ind w:left="0" w:left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w:t>
            </w:r>
          </w:p>
        </w:tc>
      </w:tr>
      <w:tr w14:paraId="510618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15" w:type="pct"/>
            <w:vMerge w:val="continue"/>
            <w:tcBorders>
              <w:tl2br w:val="nil"/>
              <w:tr2bl w:val="nil"/>
            </w:tcBorders>
            <w:vAlign w:val="center"/>
          </w:tcPr>
          <w:p w14:paraId="23E1F9F4">
            <w:pPr>
              <w:keepNext w:val="0"/>
              <w:keepLines w:val="0"/>
              <w:pageBreakBefore w:val="0"/>
              <w:widowControl w:val="0"/>
              <w:kinsoku/>
              <w:wordWrap/>
              <w:overflowPunct/>
              <w:autoSpaceDE/>
              <w:autoSpaceDN/>
              <w:bidi w:val="0"/>
              <w:adjustRightInd/>
              <w:snapToGrid w:val="0"/>
              <w:spacing w:line="300" w:lineRule="exact"/>
              <w:ind w:left="0" w:leftChars="0"/>
              <w:jc w:val="center"/>
              <w:textAlignment w:val="auto"/>
              <w:rPr>
                <w:rFonts w:hint="default" w:ascii="Times New Roman" w:hAnsi="Times New Roman" w:cs="Times New Roman" w:eastAsiaTheme="minorEastAsia"/>
                <w:color w:val="FF0000"/>
                <w:sz w:val="21"/>
                <w:szCs w:val="21"/>
                <w:highlight w:val="none"/>
              </w:rPr>
            </w:pPr>
          </w:p>
        </w:tc>
        <w:tc>
          <w:tcPr>
            <w:tcW w:w="239" w:type="pct"/>
            <w:tcBorders>
              <w:tl2br w:val="nil"/>
              <w:tr2bl w:val="nil"/>
            </w:tcBorders>
            <w:vAlign w:val="center"/>
          </w:tcPr>
          <w:p w14:paraId="099DEC7B">
            <w:pPr>
              <w:keepNext w:val="0"/>
              <w:keepLines w:val="0"/>
              <w:pageBreakBefore w:val="0"/>
              <w:widowControl w:val="0"/>
              <w:kinsoku/>
              <w:wordWrap/>
              <w:overflowPunct/>
              <w:autoSpaceDE/>
              <w:autoSpaceDN/>
              <w:bidi w:val="0"/>
              <w:adjustRightInd/>
              <w:snapToGrid w:val="0"/>
              <w:spacing w:line="300" w:lineRule="exact"/>
              <w:ind w:left="0" w:leftChars="0"/>
              <w:jc w:val="center"/>
              <w:textAlignment w:val="auto"/>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eastAsiaTheme="minorEastAsia"/>
                <w:color w:val="auto"/>
                <w:sz w:val="21"/>
                <w:szCs w:val="21"/>
                <w:highlight w:val="none"/>
              </w:rPr>
              <w:t>生态</w:t>
            </w:r>
          </w:p>
        </w:tc>
        <w:tc>
          <w:tcPr>
            <w:tcW w:w="462" w:type="pct"/>
            <w:tcBorders>
              <w:tl2br w:val="nil"/>
              <w:tr2bl w:val="nil"/>
            </w:tcBorders>
            <w:vAlign w:val="center"/>
          </w:tcPr>
          <w:p w14:paraId="3B32D754">
            <w:pPr>
              <w:keepNext w:val="0"/>
              <w:keepLines w:val="0"/>
              <w:pageBreakBefore w:val="0"/>
              <w:widowControl w:val="0"/>
              <w:kinsoku/>
              <w:wordWrap/>
              <w:overflowPunct/>
              <w:autoSpaceDE/>
              <w:autoSpaceDN/>
              <w:bidi w:val="0"/>
              <w:adjustRightInd/>
              <w:snapToGrid w:val="0"/>
              <w:spacing w:line="300" w:lineRule="exact"/>
              <w:ind w:left="0" w:left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鸟类资源</w:t>
            </w:r>
          </w:p>
          <w:p w14:paraId="6EE67215">
            <w:pPr>
              <w:keepNext w:val="0"/>
              <w:keepLines w:val="0"/>
              <w:pageBreakBefore w:val="0"/>
              <w:widowControl w:val="0"/>
              <w:kinsoku/>
              <w:wordWrap/>
              <w:overflowPunct/>
              <w:autoSpaceDE/>
              <w:autoSpaceDN/>
              <w:bidi w:val="0"/>
              <w:adjustRightInd/>
              <w:snapToGrid w:val="0"/>
              <w:spacing w:line="300" w:lineRule="exact"/>
              <w:ind w:left="0" w:left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保护措施</w:t>
            </w:r>
          </w:p>
        </w:tc>
        <w:tc>
          <w:tcPr>
            <w:tcW w:w="3000" w:type="pct"/>
            <w:tcBorders>
              <w:tl2br w:val="nil"/>
              <w:tr2bl w:val="nil"/>
            </w:tcBorders>
            <w:vAlign w:val="center"/>
          </w:tcPr>
          <w:p w14:paraId="7AB31062">
            <w:pPr>
              <w:keepNext w:val="0"/>
              <w:keepLines w:val="0"/>
              <w:pageBreakBefore w:val="0"/>
              <w:widowControl w:val="0"/>
              <w:kinsoku/>
              <w:wordWrap/>
              <w:overflowPunct/>
              <w:autoSpaceDE/>
              <w:autoSpaceDN/>
              <w:bidi w:val="0"/>
              <w:adjustRightInd/>
              <w:snapToGrid w:val="0"/>
              <w:spacing w:line="300" w:lineRule="exact"/>
              <w:ind w:left="0" w:left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i w:val="0"/>
                <w:iCs w:val="0"/>
                <w:color w:val="auto"/>
                <w:sz w:val="21"/>
                <w:szCs w:val="21"/>
                <w:highlight w:val="none"/>
                <w:vertAlign w:val="baseline"/>
                <w:lang w:val="en-US" w:eastAsia="zh-CN"/>
              </w:rPr>
              <w:t>运营期风机叶片设置警示色、驱鸟器；集电线路上安装红色或黄色的绝缘保护套</w:t>
            </w:r>
            <w:r>
              <w:rPr>
                <w:rFonts w:hint="default" w:ascii="Times New Roman" w:hAnsi="Times New Roman" w:cs="Times New Roman" w:eastAsiaTheme="minorEastAsia"/>
                <w:color w:val="auto"/>
                <w:sz w:val="21"/>
                <w:szCs w:val="21"/>
                <w:highlight w:val="none"/>
                <w:lang w:eastAsia="zh-CN"/>
              </w:rPr>
              <w:t>。</w:t>
            </w:r>
          </w:p>
        </w:tc>
        <w:tc>
          <w:tcPr>
            <w:tcW w:w="1081" w:type="pct"/>
            <w:tcBorders>
              <w:tl2br w:val="nil"/>
              <w:tr2bl w:val="nil"/>
            </w:tcBorders>
            <w:vAlign w:val="center"/>
          </w:tcPr>
          <w:p w14:paraId="7C49877C">
            <w:pPr>
              <w:keepNext w:val="0"/>
              <w:keepLines w:val="0"/>
              <w:pageBreakBefore w:val="0"/>
              <w:widowControl w:val="0"/>
              <w:kinsoku/>
              <w:wordWrap/>
              <w:overflowPunct/>
              <w:autoSpaceDE/>
              <w:autoSpaceDN/>
              <w:bidi w:val="0"/>
              <w:adjustRightInd/>
              <w:snapToGrid w:val="0"/>
              <w:spacing w:line="300" w:lineRule="exact"/>
              <w:ind w:left="0" w:left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w:t>
            </w:r>
          </w:p>
        </w:tc>
      </w:tr>
      <w:tr w14:paraId="3C76EA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15" w:type="pct"/>
            <w:vMerge w:val="continue"/>
            <w:tcBorders>
              <w:tl2br w:val="nil"/>
              <w:tr2bl w:val="nil"/>
            </w:tcBorders>
            <w:vAlign w:val="center"/>
          </w:tcPr>
          <w:p w14:paraId="61D768D6">
            <w:pPr>
              <w:keepNext w:val="0"/>
              <w:keepLines w:val="0"/>
              <w:pageBreakBefore w:val="0"/>
              <w:widowControl w:val="0"/>
              <w:kinsoku/>
              <w:wordWrap/>
              <w:overflowPunct/>
              <w:autoSpaceDE/>
              <w:autoSpaceDN/>
              <w:bidi w:val="0"/>
              <w:adjustRightInd/>
              <w:snapToGrid w:val="0"/>
              <w:spacing w:line="300" w:lineRule="exact"/>
              <w:ind w:left="0" w:leftChars="0"/>
              <w:jc w:val="center"/>
              <w:textAlignment w:val="auto"/>
              <w:rPr>
                <w:rFonts w:hint="default" w:ascii="Times New Roman" w:hAnsi="Times New Roman" w:cs="Times New Roman" w:eastAsiaTheme="minorEastAsia"/>
                <w:color w:val="FF0000"/>
                <w:sz w:val="21"/>
                <w:szCs w:val="21"/>
                <w:highlight w:val="none"/>
              </w:rPr>
            </w:pPr>
          </w:p>
        </w:tc>
        <w:tc>
          <w:tcPr>
            <w:tcW w:w="702" w:type="pct"/>
            <w:gridSpan w:val="2"/>
            <w:tcBorders>
              <w:tl2br w:val="nil"/>
              <w:tr2bl w:val="nil"/>
            </w:tcBorders>
            <w:vAlign w:val="center"/>
          </w:tcPr>
          <w:p w14:paraId="30725FB0">
            <w:pPr>
              <w:keepNext w:val="0"/>
              <w:keepLines w:val="0"/>
              <w:pageBreakBefore w:val="0"/>
              <w:widowControl w:val="0"/>
              <w:kinsoku/>
              <w:wordWrap/>
              <w:overflowPunct/>
              <w:autoSpaceDE/>
              <w:autoSpaceDN/>
              <w:bidi w:val="0"/>
              <w:adjustRightInd/>
              <w:snapToGrid w:val="0"/>
              <w:spacing w:line="300" w:lineRule="exact"/>
              <w:ind w:left="0" w:left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地表水</w:t>
            </w:r>
          </w:p>
        </w:tc>
        <w:tc>
          <w:tcPr>
            <w:tcW w:w="3000" w:type="pct"/>
            <w:tcBorders>
              <w:tl2br w:val="nil"/>
              <w:tr2bl w:val="nil"/>
            </w:tcBorders>
            <w:vAlign w:val="center"/>
          </w:tcPr>
          <w:p w14:paraId="0BC63F90">
            <w:pPr>
              <w:keepNext w:val="0"/>
              <w:keepLines w:val="0"/>
              <w:pageBreakBefore w:val="0"/>
              <w:widowControl w:val="0"/>
              <w:kinsoku/>
              <w:wordWrap/>
              <w:overflowPunct/>
              <w:autoSpaceDE/>
              <w:autoSpaceDN/>
              <w:bidi w:val="0"/>
              <w:adjustRightInd/>
              <w:snapToGrid w:val="0"/>
              <w:spacing w:line="300" w:lineRule="exact"/>
              <w:ind w:left="0" w:leftChars="0"/>
              <w:jc w:val="center"/>
              <w:textAlignment w:val="auto"/>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rPr>
              <w:t>严禁在水源保护区、准保护区、项目区周边地表水体、附近冲沟排放污染物，禁止设排污口。不得从项目区周边地表水体取水。</w:t>
            </w:r>
          </w:p>
        </w:tc>
        <w:tc>
          <w:tcPr>
            <w:tcW w:w="1081" w:type="pct"/>
            <w:tcBorders>
              <w:tl2br w:val="nil"/>
              <w:tr2bl w:val="nil"/>
            </w:tcBorders>
            <w:vAlign w:val="center"/>
          </w:tcPr>
          <w:p w14:paraId="3A6AFF39">
            <w:pPr>
              <w:keepNext w:val="0"/>
              <w:keepLines w:val="0"/>
              <w:pageBreakBefore w:val="0"/>
              <w:widowControl w:val="0"/>
              <w:kinsoku/>
              <w:wordWrap/>
              <w:overflowPunct/>
              <w:autoSpaceDE/>
              <w:autoSpaceDN/>
              <w:bidi w:val="0"/>
              <w:adjustRightInd/>
              <w:snapToGrid w:val="0"/>
              <w:spacing w:line="300" w:lineRule="exact"/>
              <w:ind w:left="0" w:left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w:t>
            </w:r>
          </w:p>
        </w:tc>
      </w:tr>
      <w:tr w14:paraId="2AE910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15" w:type="pct"/>
            <w:vMerge w:val="continue"/>
            <w:tcBorders>
              <w:tl2br w:val="nil"/>
              <w:tr2bl w:val="nil"/>
            </w:tcBorders>
            <w:vAlign w:val="center"/>
          </w:tcPr>
          <w:p w14:paraId="12851EA5">
            <w:pPr>
              <w:keepNext w:val="0"/>
              <w:keepLines w:val="0"/>
              <w:pageBreakBefore w:val="0"/>
              <w:widowControl w:val="0"/>
              <w:kinsoku/>
              <w:wordWrap/>
              <w:overflowPunct/>
              <w:autoSpaceDE/>
              <w:autoSpaceDN/>
              <w:bidi w:val="0"/>
              <w:adjustRightInd/>
              <w:snapToGrid w:val="0"/>
              <w:spacing w:line="300" w:lineRule="exact"/>
              <w:ind w:left="0" w:leftChars="0"/>
              <w:jc w:val="center"/>
              <w:textAlignment w:val="auto"/>
              <w:rPr>
                <w:rFonts w:hint="default" w:ascii="Times New Roman" w:hAnsi="Times New Roman" w:cs="Times New Roman" w:eastAsiaTheme="minorEastAsia"/>
                <w:color w:val="FF0000"/>
                <w:sz w:val="21"/>
                <w:szCs w:val="21"/>
                <w:highlight w:val="none"/>
              </w:rPr>
            </w:pPr>
          </w:p>
        </w:tc>
        <w:tc>
          <w:tcPr>
            <w:tcW w:w="702" w:type="pct"/>
            <w:gridSpan w:val="2"/>
            <w:tcBorders>
              <w:tl2br w:val="nil"/>
              <w:tr2bl w:val="nil"/>
            </w:tcBorders>
            <w:vAlign w:val="center"/>
          </w:tcPr>
          <w:p w14:paraId="48D567EF">
            <w:pPr>
              <w:keepNext w:val="0"/>
              <w:keepLines w:val="0"/>
              <w:pageBreakBefore w:val="0"/>
              <w:widowControl w:val="0"/>
              <w:kinsoku/>
              <w:wordWrap/>
              <w:overflowPunct/>
              <w:autoSpaceDE/>
              <w:autoSpaceDN/>
              <w:bidi w:val="0"/>
              <w:adjustRightInd/>
              <w:snapToGrid w:val="0"/>
              <w:spacing w:line="300" w:lineRule="exact"/>
              <w:ind w:left="0" w:leftChars="0"/>
              <w:jc w:val="center"/>
              <w:textAlignment w:val="auto"/>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eastAsiaTheme="minorEastAsia"/>
                <w:color w:val="auto"/>
                <w:sz w:val="21"/>
                <w:szCs w:val="21"/>
                <w:highlight w:val="none"/>
                <w:lang w:eastAsia="zh-CN"/>
              </w:rPr>
              <w:t>地下水</w:t>
            </w:r>
          </w:p>
        </w:tc>
        <w:tc>
          <w:tcPr>
            <w:tcW w:w="4082" w:type="pct"/>
            <w:gridSpan w:val="2"/>
            <w:tcBorders>
              <w:tl2br w:val="nil"/>
              <w:tr2bl w:val="nil"/>
            </w:tcBorders>
            <w:vAlign w:val="center"/>
          </w:tcPr>
          <w:p w14:paraId="756463E8">
            <w:pPr>
              <w:keepNext w:val="0"/>
              <w:keepLines w:val="0"/>
              <w:pageBreakBefore w:val="0"/>
              <w:widowControl w:val="0"/>
              <w:kinsoku/>
              <w:overflowPunct/>
              <w:autoSpaceDE/>
              <w:autoSpaceDN/>
              <w:bidi w:val="0"/>
              <w:adjustRightInd/>
              <w:snapToGrid w:val="0"/>
              <w:spacing w:line="300" w:lineRule="exact"/>
              <w:ind w:left="0" w:leftChars="0" w:firstLine="0" w:firstLineChars="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eastAsiaTheme="minorEastAsia"/>
                <w:color w:val="auto"/>
                <w:sz w:val="21"/>
                <w:szCs w:val="21"/>
                <w:highlight w:val="none"/>
                <w:lang w:val="en-US" w:eastAsia="zh-CN"/>
              </w:rPr>
              <w:t>采取分区防渗措施。重点防渗区按照《环境影响评价技术导则 地下水环境》(HJ610-2016)相关要求</w:t>
            </w:r>
            <w:r>
              <w:rPr>
                <w:rFonts w:hint="eastAsia" w:ascii="Times New Roman" w:hAnsi="Times New Roman" w:cs="Times New Roman" w:eastAsiaTheme="minorEastAsia"/>
                <w:color w:val="auto"/>
                <w:sz w:val="21"/>
                <w:szCs w:val="21"/>
                <w:highlight w:val="none"/>
                <w:lang w:val="en-US" w:eastAsia="zh-CN"/>
              </w:rPr>
              <w:t>，等效黏土防渗层Mb≧6 米，K≦1×10</w:t>
            </w:r>
            <w:r>
              <w:rPr>
                <w:rFonts w:hint="eastAsia" w:ascii="Times New Roman" w:hAnsi="Times New Roman" w:cs="Times New Roman" w:eastAsiaTheme="minorEastAsia"/>
                <w:color w:val="auto"/>
                <w:sz w:val="21"/>
                <w:szCs w:val="21"/>
                <w:highlight w:val="none"/>
                <w:vertAlign w:val="superscript"/>
                <w:lang w:val="en-US" w:eastAsia="zh-CN"/>
              </w:rPr>
              <w:t>-7</w:t>
            </w:r>
            <w:r>
              <w:rPr>
                <w:rFonts w:hint="eastAsia" w:ascii="Times New Roman" w:hAnsi="Times New Roman" w:cs="Times New Roman" w:eastAsiaTheme="minorEastAsia"/>
                <w:color w:val="auto"/>
                <w:sz w:val="21"/>
                <w:szCs w:val="21"/>
                <w:highlight w:val="none"/>
                <w:lang w:val="en-US" w:eastAsia="zh-CN"/>
              </w:rPr>
              <w:t xml:space="preserve"> 厘米/秒</w:t>
            </w:r>
            <w:r>
              <w:rPr>
                <w:rFonts w:hint="default" w:ascii="Times New Roman" w:hAnsi="Times New Roman" w:cs="Times New Roman" w:eastAsiaTheme="minorEastAsia"/>
                <w:color w:val="auto"/>
                <w:sz w:val="21"/>
                <w:szCs w:val="21"/>
                <w:highlight w:val="none"/>
                <w:lang w:val="en-US" w:eastAsia="zh-CN"/>
              </w:rPr>
              <w:t>。</w:t>
            </w:r>
          </w:p>
        </w:tc>
      </w:tr>
    </w:tbl>
    <w:p w14:paraId="147A6A6D">
      <w:pPr>
        <w:spacing w:beforeLines="0" w:afterLines="0"/>
        <w:jc w:val="left"/>
        <w:rPr>
          <w:rFonts w:hint="default" w:ascii="Times New Roman" w:hAnsi="Times New Roman" w:cs="Times New Roman" w:eastAsiaTheme="minorEastAsia"/>
          <w:color w:val="FF0000"/>
          <w:sz w:val="24"/>
          <w:highlight w:val="none"/>
        </w:rPr>
      </w:pPr>
    </w:p>
    <w:p w14:paraId="7ECE6785">
      <w:pPr>
        <w:pageBreakBefore w:val="0"/>
        <w:widowControl w:val="0"/>
        <w:kinsoku/>
        <w:wordWrap/>
        <w:overflowPunct/>
        <w:topLinePunct w:val="0"/>
        <w:autoSpaceDE/>
        <w:autoSpaceDN/>
        <w:bidi w:val="0"/>
        <w:adjustRightInd/>
        <w:snapToGrid/>
        <w:spacing w:line="360" w:lineRule="auto"/>
        <w:ind w:firstLine="480" w:firstLineChars="200"/>
        <w:rPr>
          <w:rFonts w:hint="default" w:ascii="Times New Roman" w:hAnsi="Times New Roman" w:cs="Times New Roman" w:eastAsiaTheme="minorEastAsia"/>
          <w:color w:val="FF0000"/>
          <w:sz w:val="24"/>
          <w:highlight w:val="none"/>
          <w:lang w:val="en-US" w:eastAsia="zh-CN"/>
        </w:rPr>
      </w:pPr>
    </w:p>
    <w:p w14:paraId="0C4BEB69">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outlineLvl w:val="0"/>
        <w:rPr>
          <w:rFonts w:hint="default" w:ascii="Times New Roman" w:hAnsi="Times New Roman" w:cs="Times New Roman" w:eastAsiaTheme="minorEastAsia"/>
          <w:color w:val="FF0000"/>
          <w:highlight w:val="none"/>
        </w:rPr>
        <w:sectPr>
          <w:pgSz w:w="16838" w:h="11906" w:orient="landscape"/>
          <w:pgMar w:top="1587" w:right="1418" w:bottom="1361" w:left="1418" w:header="1304" w:footer="992" w:gutter="0"/>
          <w:pgBorders>
            <w:top w:val="none" w:sz="0" w:space="0"/>
            <w:left w:val="none" w:sz="0" w:space="0"/>
            <w:bottom w:val="none" w:sz="0" w:space="0"/>
            <w:right w:val="none" w:sz="0" w:space="0"/>
          </w:pgBorders>
          <w:pgNumType w:fmt="decimal"/>
          <w:cols w:space="720" w:num="1"/>
          <w:docGrid w:type="linesAndChars" w:linePitch="312" w:charSpace="0"/>
        </w:sectPr>
      </w:pPr>
    </w:p>
    <w:p w14:paraId="28742624">
      <w:pPr>
        <w:keepNext w:val="0"/>
        <w:keepLines w:val="0"/>
        <w:pageBreakBefore w:val="0"/>
        <w:widowControl w:val="0"/>
        <w:kinsoku/>
        <w:wordWrap/>
        <w:overflowPunct/>
        <w:topLinePunct w:val="0"/>
        <w:autoSpaceDE/>
        <w:autoSpaceDN/>
        <w:bidi w:val="0"/>
        <w:adjustRightInd/>
        <w:snapToGrid w:val="0"/>
        <w:spacing w:line="360" w:lineRule="auto"/>
        <w:ind w:left="0" w:leftChars="0"/>
        <w:textAlignment w:val="auto"/>
        <w:outlineLvl w:val="0"/>
        <w:rPr>
          <w:rFonts w:hint="default" w:ascii="Times New Roman" w:hAnsi="Times New Roman" w:cs="Times New Roman" w:eastAsiaTheme="minorEastAsia"/>
          <w:color w:val="auto"/>
          <w:sz w:val="35"/>
          <w:szCs w:val="35"/>
          <w:highlight w:val="none"/>
        </w:rPr>
      </w:pPr>
      <w:bookmarkStart w:id="558" w:name="_bookmark53"/>
      <w:bookmarkEnd w:id="558"/>
      <w:bookmarkStart w:id="559" w:name="_Toc21065"/>
      <w:bookmarkStart w:id="560" w:name="_Toc4215"/>
      <w:bookmarkStart w:id="561" w:name="_Toc1842"/>
      <w:r>
        <w:rPr>
          <w:rFonts w:hint="default" w:ascii="Times New Roman" w:hAnsi="Times New Roman" w:cs="Times New Roman" w:eastAsiaTheme="minorEastAsia"/>
          <w:b/>
          <w:color w:val="auto"/>
          <w:kern w:val="44"/>
          <w:sz w:val="32"/>
          <w:highlight w:val="none"/>
          <w:lang w:val="en-US" w:eastAsia="zh-CN"/>
        </w:rPr>
        <w:t>9 环境影响评价结论</w:t>
      </w:r>
      <w:bookmarkEnd w:id="559"/>
      <w:bookmarkEnd w:id="560"/>
      <w:bookmarkEnd w:id="561"/>
    </w:p>
    <w:p w14:paraId="4448A9A9">
      <w:pPr>
        <w:pStyle w:val="4"/>
        <w:keepNext/>
        <w:keepLines/>
        <w:pageBreakBefore w:val="0"/>
        <w:widowControl w:val="0"/>
        <w:numPr>
          <w:ilvl w:val="0"/>
          <w:numId w:val="0"/>
        </w:numPr>
        <w:tabs>
          <w:tab w:val="left" w:pos="630"/>
          <w:tab w:val="left" w:pos="3403"/>
        </w:tabs>
        <w:kinsoku/>
        <w:wordWrap w:val="0"/>
        <w:overflowPunct/>
        <w:topLinePunct w:val="0"/>
        <w:autoSpaceDE/>
        <w:autoSpaceDN/>
        <w:bidi w:val="0"/>
        <w:adjustRightInd/>
        <w:snapToGrid w:val="0"/>
        <w:spacing w:beforeLines="0" w:after="0" w:afterLines="0" w:line="360" w:lineRule="auto"/>
        <w:ind w:left="0" w:leftChars="0"/>
        <w:textAlignment w:val="auto"/>
        <w:outlineLvl w:val="1"/>
        <w:rPr>
          <w:rFonts w:hint="default" w:ascii="Times New Roman" w:hAnsi="Times New Roman" w:cs="Times New Roman" w:eastAsiaTheme="minorEastAsia"/>
          <w:color w:val="auto"/>
          <w:sz w:val="30"/>
          <w:highlight w:val="none"/>
          <w:lang w:val="en-US" w:eastAsia="zh-CN"/>
        </w:rPr>
      </w:pPr>
      <w:bookmarkStart w:id="562" w:name="_bookmark54"/>
      <w:bookmarkEnd w:id="562"/>
      <w:bookmarkStart w:id="563" w:name="_Toc8948"/>
      <w:bookmarkStart w:id="564" w:name="_Toc13470"/>
      <w:bookmarkStart w:id="565" w:name="_Toc10275"/>
      <w:r>
        <w:rPr>
          <w:rFonts w:hint="default" w:ascii="Times New Roman" w:hAnsi="Times New Roman" w:cs="Times New Roman" w:eastAsiaTheme="minorEastAsia"/>
          <w:color w:val="auto"/>
          <w:sz w:val="30"/>
          <w:highlight w:val="none"/>
          <w:lang w:val="en-US" w:eastAsia="zh-CN"/>
        </w:rPr>
        <w:t>9.1 评价结论</w:t>
      </w:r>
      <w:bookmarkEnd w:id="563"/>
      <w:bookmarkEnd w:id="564"/>
      <w:bookmarkEnd w:id="565"/>
    </w:p>
    <w:p w14:paraId="2AD5B252">
      <w:pPr>
        <w:pStyle w:val="11"/>
        <w:keepNext/>
        <w:keepLines/>
        <w:pageBreakBefore w:val="0"/>
        <w:widowControl w:val="0"/>
        <w:kinsoku/>
        <w:wordWrap/>
        <w:overflowPunct/>
        <w:topLinePunct w:val="0"/>
        <w:autoSpaceDE/>
        <w:autoSpaceDN/>
        <w:bidi w:val="0"/>
        <w:adjustRightInd/>
        <w:snapToGrid w:val="0"/>
        <w:spacing w:beforeLines="0" w:afterLines="0"/>
        <w:ind w:left="0"/>
        <w:textAlignment w:val="auto"/>
        <w:outlineLvl w:val="2"/>
        <w:rPr>
          <w:rFonts w:hint="default" w:ascii="Times New Roman" w:hAnsi="Times New Roman" w:cs="Times New Roman" w:eastAsiaTheme="minorEastAsia"/>
          <w:color w:val="auto"/>
          <w:highlight w:val="none"/>
          <w:lang w:val="en-US" w:eastAsia="zh-CN"/>
        </w:rPr>
      </w:pPr>
      <w:bookmarkStart w:id="566" w:name="_Toc7511"/>
      <w:r>
        <w:rPr>
          <w:rFonts w:hint="default" w:ascii="Times New Roman" w:hAnsi="Times New Roman" w:cs="Times New Roman" w:eastAsiaTheme="minorEastAsia"/>
          <w:color w:val="auto"/>
          <w:highlight w:val="none"/>
          <w:lang w:val="en-US" w:eastAsia="zh-CN"/>
        </w:rPr>
        <w:t>9.1.1 建设项目概况</w:t>
      </w:r>
      <w:bookmarkEnd w:id="566"/>
    </w:p>
    <w:p w14:paraId="0B3D86AE">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color w:val="auto"/>
          <w:sz w:val="24"/>
          <w:highlight w:val="none"/>
          <w:lang w:val="en-US" w:eastAsia="zh-CN"/>
        </w:rPr>
      </w:pPr>
      <w:r>
        <w:rPr>
          <w:rFonts w:hint="eastAsia" w:ascii="宋体" w:hAnsi="宋体" w:eastAsia="宋体"/>
          <w:color w:val="auto"/>
          <w:sz w:val="24"/>
          <w:lang w:val="en-US" w:eastAsia="zh-CN"/>
        </w:rPr>
        <w:t>电投融和沙依巴克区15万千瓦风</w:t>
      </w:r>
      <w:r>
        <w:rPr>
          <w:rFonts w:hint="eastAsia" w:ascii="宋体" w:hAnsi="宋体" w:eastAsia="宋体" w:cs="宋体"/>
          <w:color w:val="auto"/>
          <w:sz w:val="24"/>
          <w:lang w:val="en-US" w:eastAsia="zh-CN"/>
        </w:rPr>
        <w:t>电项目由</w:t>
      </w:r>
      <w:r>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乌鲁木齐市沙依巴克区电投融和新</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能源</w:t>
      </w:r>
      <w:r>
        <w:rPr>
          <w:rFonts w:hint="eastAsia"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有</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限公司</w:t>
      </w:r>
      <w:r>
        <w:rPr>
          <w:rFonts w:hint="eastAsia" w:cs="Times New Roman" w:eastAsiaTheme="minorEastAsia"/>
          <w:snapToGrid w:val="0"/>
          <w:color w:val="000000" w:themeColor="text1"/>
          <w:sz w:val="24"/>
          <w:highlight w:val="none"/>
          <w:lang w:val="en-US" w:eastAsia="zh-CN"/>
          <w14:textFill>
            <w14:solidFill>
              <w14:schemeClr w14:val="tx1"/>
            </w14:solidFill>
          </w14:textFill>
        </w:rPr>
        <w:t>投资建设，</w:t>
      </w:r>
      <w:r>
        <w:rPr>
          <w:rFonts w:hint="eastAsia" w:ascii="宋体" w:hAnsi="宋体" w:eastAsia="宋体" w:cs="宋体"/>
          <w:color w:val="auto"/>
          <w:sz w:val="24"/>
          <w:lang w:val="en-US" w:eastAsia="zh-CN"/>
        </w:rPr>
        <w:t>拟选场区位于新疆维吾尔自治区乌鲁木齐市沙依巴克区，总</w:t>
      </w:r>
      <w:r>
        <w:rPr>
          <w:rFonts w:hint="eastAsia" w:ascii="宋体" w:hAnsi="宋体" w:eastAsia="宋体" w:cs="宋体"/>
          <w:color w:val="auto"/>
          <w:sz w:val="24"/>
          <w:highlight w:val="none"/>
          <w:lang w:val="en-US" w:eastAsia="zh-CN"/>
        </w:rPr>
        <w:t>装机容量15万千瓦，规划布设</w:t>
      </w:r>
      <w:r>
        <w:rPr>
          <w:rFonts w:hint="eastAsia" w:cs="Times New Roman" w:eastAsiaTheme="minorEastAsia"/>
          <w:b w:val="0"/>
          <w:bCs w:val="0"/>
          <w:snapToGrid w:val="0"/>
          <w:color w:val="000000" w:themeColor="text1"/>
          <w:sz w:val="24"/>
          <w:highlight w:val="none"/>
          <w:lang w:val="en-US" w:eastAsia="zh-CN"/>
          <w14:textFill>
            <w14:solidFill>
              <w14:schemeClr w14:val="tx1"/>
            </w14:solidFill>
          </w14:textFill>
        </w:rPr>
        <w:t>20</w:t>
      </w:r>
      <w:r>
        <w:rPr>
          <w:rFonts w:hint="eastAsia" w:ascii="Times New Roman" w:hAnsi="Times New Roman" w:cs="Times New Roman" w:eastAsiaTheme="minorEastAsia"/>
          <w:b w:val="0"/>
          <w:bCs w:val="0"/>
          <w:snapToGrid w:val="0"/>
          <w:color w:val="000000" w:themeColor="text1"/>
          <w:sz w:val="24"/>
          <w:highlight w:val="none"/>
          <w:lang w:val="en-US" w:eastAsia="zh-CN"/>
          <w14:textFill>
            <w14:solidFill>
              <w14:schemeClr w14:val="tx1"/>
            </w14:solidFill>
          </w14:textFill>
        </w:rPr>
        <w:t>台单机容量为7150kW的风力发电机组</w:t>
      </w:r>
      <w:r>
        <w:rPr>
          <w:rFonts w:hint="eastAsia" w:ascii="宋体" w:hAnsi="宋体" w:eastAsia="宋体" w:cs="宋体"/>
          <w:color w:val="auto"/>
          <w:sz w:val="24"/>
          <w:highlight w:val="none"/>
          <w:lang w:val="en-US" w:eastAsia="zh-CN"/>
        </w:rPr>
        <w:t>，项目建成后年</w:t>
      </w:r>
      <w:r>
        <w:rPr>
          <w:rFonts w:hint="eastAsia" w:ascii="宋体" w:hAnsi="宋体" w:eastAsia="宋体" w:cs="宋体"/>
          <w:color w:val="auto"/>
          <w:sz w:val="24"/>
        </w:rPr>
        <w:t>均上网电量为</w:t>
      </w:r>
      <w:r>
        <w:rPr>
          <w:rFonts w:hint="eastAsia" w:ascii="宋体" w:hAnsi="宋体" w:eastAsia="宋体" w:cs="宋体"/>
          <w:color w:val="auto"/>
          <w:sz w:val="24"/>
          <w:lang w:val="en-US" w:eastAsia="zh-CN"/>
        </w:rPr>
        <w:t>345900</w:t>
      </w:r>
      <w:r>
        <w:rPr>
          <w:rFonts w:hint="eastAsia" w:ascii="宋体" w:hAnsi="宋体" w:eastAsia="宋体" w:cs="宋体"/>
          <w:color w:val="auto"/>
          <w:sz w:val="24"/>
        </w:rPr>
        <w:t>MWh</w:t>
      </w:r>
      <w:r>
        <w:rPr>
          <w:rFonts w:hint="eastAsia" w:ascii="宋体" w:hAnsi="宋体" w:eastAsia="宋体" w:cs="宋体"/>
          <w:color w:val="auto"/>
          <w:sz w:val="24"/>
          <w:lang w:eastAsia="zh-CN"/>
        </w:rPr>
        <w:t>，</w:t>
      </w:r>
      <w:r>
        <w:rPr>
          <w:rFonts w:hint="default" w:ascii="Times New Roman" w:hAnsi="Times New Roman" w:eastAsia="宋体" w:cs="Times New Roman"/>
          <w:color w:val="auto"/>
          <w:spacing w:val="0"/>
          <w:sz w:val="24"/>
          <w:szCs w:val="24"/>
        </w:rPr>
        <w:t>总占地面积</w:t>
      </w:r>
      <w:r>
        <w:rPr>
          <w:rFonts w:hint="eastAsia" w:eastAsia="宋体" w:cs="Times New Roman"/>
          <w:color w:val="auto"/>
          <w:spacing w:val="0"/>
          <w:sz w:val="24"/>
          <w:szCs w:val="24"/>
          <w:lang w:val="en-US" w:eastAsia="zh-CN"/>
        </w:rPr>
        <w:t>333855m</w:t>
      </w:r>
      <w:r>
        <w:rPr>
          <w:rFonts w:hint="eastAsia" w:eastAsia="宋体" w:cs="Times New Roman"/>
          <w:color w:val="auto"/>
          <w:spacing w:val="0"/>
          <w:sz w:val="24"/>
          <w:szCs w:val="24"/>
          <w:vertAlign w:val="superscript"/>
          <w:lang w:val="en-US" w:eastAsia="zh-CN"/>
        </w:rPr>
        <w:t>2</w:t>
      </w:r>
      <w:r>
        <w:rPr>
          <w:rFonts w:hint="default" w:ascii="Times New Roman" w:hAnsi="Times New Roman" w:eastAsia="宋体" w:cs="Times New Roman"/>
          <w:color w:val="auto"/>
          <w:spacing w:val="0"/>
          <w:sz w:val="24"/>
          <w:szCs w:val="24"/>
        </w:rPr>
        <w:t xml:space="preserve">，永久占地总占地面积约 </w:t>
      </w:r>
      <w:r>
        <w:rPr>
          <w:rFonts w:hint="eastAsia" w:eastAsia="宋体" w:cs="Times New Roman"/>
          <w:color w:val="auto"/>
          <w:spacing w:val="0"/>
          <w:sz w:val="24"/>
          <w:szCs w:val="24"/>
          <w:lang w:val="en-US" w:eastAsia="zh-CN"/>
        </w:rPr>
        <w:t>150955</w:t>
      </w:r>
      <w:r>
        <w:rPr>
          <w:rFonts w:hint="default" w:ascii="Times New Roman" w:hAnsi="Times New Roman" w:eastAsia="宋体" w:cs="Times New Roman"/>
          <w:color w:val="auto"/>
          <w:spacing w:val="0"/>
          <w:sz w:val="24"/>
          <w:szCs w:val="24"/>
        </w:rPr>
        <w:t>m</w:t>
      </w:r>
      <w:r>
        <w:rPr>
          <w:rFonts w:hint="default" w:ascii="Times New Roman" w:hAnsi="Times New Roman" w:eastAsia="宋体" w:cs="Times New Roman"/>
          <w:color w:val="auto"/>
          <w:spacing w:val="0"/>
          <w:position w:val="8"/>
          <w:sz w:val="15"/>
          <w:szCs w:val="15"/>
        </w:rPr>
        <w:t>2</w:t>
      </w:r>
      <w:r>
        <w:rPr>
          <w:rFonts w:hint="default" w:ascii="Times New Roman" w:hAnsi="Times New Roman" w:eastAsia="宋体" w:cs="Times New Roman"/>
          <w:color w:val="auto"/>
          <w:spacing w:val="0"/>
          <w:sz w:val="24"/>
          <w:szCs w:val="24"/>
        </w:rPr>
        <w:t>，临时占地面积约</w:t>
      </w:r>
      <w:r>
        <w:rPr>
          <w:rFonts w:hint="eastAsia" w:eastAsia="宋体" w:cs="Times New Roman"/>
          <w:color w:val="auto"/>
          <w:spacing w:val="0"/>
          <w:sz w:val="24"/>
          <w:szCs w:val="24"/>
          <w:lang w:val="en-US" w:eastAsia="zh-CN"/>
        </w:rPr>
        <w:t>182900m</w:t>
      </w:r>
      <w:r>
        <w:rPr>
          <w:rFonts w:hint="eastAsia" w:eastAsia="宋体" w:cs="Times New Roman"/>
          <w:color w:val="auto"/>
          <w:spacing w:val="0"/>
          <w:sz w:val="24"/>
          <w:szCs w:val="24"/>
          <w:vertAlign w:val="superscript"/>
          <w:lang w:val="en-US" w:eastAsia="zh-CN"/>
        </w:rPr>
        <w:t>2</w:t>
      </w:r>
      <w:r>
        <w:rPr>
          <w:rFonts w:hint="eastAsia" w:eastAsia="宋体" w:cs="Times New Roman"/>
          <w:color w:val="auto"/>
          <w:spacing w:val="0"/>
          <w:sz w:val="24"/>
          <w:szCs w:val="24"/>
          <w:vertAlign w:val="baseline"/>
          <w:lang w:val="en-US" w:eastAsia="zh-CN"/>
        </w:rPr>
        <w:t>,</w:t>
      </w:r>
      <w:r>
        <w:rPr>
          <w:rFonts w:hint="default" w:ascii="Times New Roman" w:hAnsi="Times New Roman" w:cs="Times New Roman" w:eastAsiaTheme="minorEastAsia"/>
          <w:color w:val="auto"/>
          <w:sz w:val="24"/>
          <w:highlight w:val="none"/>
          <w:lang w:val="en-US" w:eastAsia="zh-CN"/>
        </w:rPr>
        <w:t>计划202</w:t>
      </w:r>
      <w:r>
        <w:rPr>
          <w:rFonts w:hint="eastAsia" w:cs="Times New Roman" w:eastAsiaTheme="minorEastAsia"/>
          <w:color w:val="auto"/>
          <w:sz w:val="24"/>
          <w:highlight w:val="none"/>
          <w:lang w:val="en-US" w:eastAsia="zh-CN"/>
        </w:rPr>
        <w:t>5</w:t>
      </w:r>
      <w:r>
        <w:rPr>
          <w:rFonts w:hint="default" w:ascii="Times New Roman" w:hAnsi="Times New Roman" w:cs="Times New Roman" w:eastAsiaTheme="minorEastAsia"/>
          <w:color w:val="auto"/>
          <w:sz w:val="24"/>
          <w:highlight w:val="none"/>
          <w:lang w:val="en-US" w:eastAsia="zh-CN"/>
        </w:rPr>
        <w:t>年</w:t>
      </w:r>
      <w:r>
        <w:rPr>
          <w:rFonts w:hint="eastAsia" w:cs="Times New Roman" w:eastAsiaTheme="minorEastAsia"/>
          <w:color w:val="auto"/>
          <w:sz w:val="24"/>
          <w:highlight w:val="none"/>
          <w:lang w:val="en-US" w:eastAsia="zh-CN"/>
        </w:rPr>
        <w:t>9月</w:t>
      </w:r>
      <w:r>
        <w:rPr>
          <w:rFonts w:hint="default" w:ascii="Times New Roman" w:hAnsi="Times New Roman" w:cs="Times New Roman" w:eastAsiaTheme="minorEastAsia"/>
          <w:color w:val="auto"/>
          <w:sz w:val="24"/>
          <w:highlight w:val="none"/>
          <w:lang w:val="en-US" w:eastAsia="zh-CN"/>
        </w:rPr>
        <w:t>开工建设，建设周期为</w:t>
      </w:r>
      <w:r>
        <w:rPr>
          <w:rFonts w:hint="eastAsia" w:cs="Times New Roman" w:eastAsiaTheme="minorEastAsia"/>
          <w:color w:val="auto"/>
          <w:sz w:val="24"/>
          <w:highlight w:val="none"/>
          <w:lang w:val="en-US" w:eastAsia="zh-CN"/>
        </w:rPr>
        <w:t>12</w:t>
      </w:r>
      <w:r>
        <w:rPr>
          <w:rFonts w:hint="default" w:ascii="Times New Roman" w:hAnsi="Times New Roman" w:cs="Times New Roman" w:eastAsiaTheme="minorEastAsia"/>
          <w:color w:val="auto"/>
          <w:sz w:val="24"/>
          <w:highlight w:val="none"/>
          <w:lang w:val="en-US" w:eastAsia="zh-CN"/>
        </w:rPr>
        <w:t>个月。</w:t>
      </w:r>
    </w:p>
    <w:p w14:paraId="7E6C1B9F">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项目总投资</w:t>
      </w:r>
      <w:r>
        <w:rPr>
          <w:rFonts w:hint="eastAsia" w:ascii="宋体" w:hAnsi="宋体" w:eastAsia="宋体"/>
          <w:color w:val="auto"/>
          <w:sz w:val="24"/>
          <w:lang w:val="en-US" w:eastAsia="zh-CN"/>
        </w:rPr>
        <w:t>56898</w:t>
      </w:r>
      <w:r>
        <w:rPr>
          <w:rFonts w:hint="default" w:ascii="Times New Roman" w:hAnsi="Times New Roman" w:cs="Times New Roman" w:eastAsiaTheme="minorEastAsia"/>
          <w:color w:val="auto"/>
          <w:sz w:val="24"/>
          <w:highlight w:val="none"/>
          <w:lang w:val="en-US" w:eastAsia="zh-CN"/>
        </w:rPr>
        <w:t>万元，其中建设项目环保投资共</w:t>
      </w:r>
      <w:r>
        <w:rPr>
          <w:rFonts w:hint="eastAsia" w:cs="Times New Roman" w:eastAsiaTheme="minorEastAsia"/>
          <w:color w:val="auto"/>
          <w:sz w:val="24"/>
          <w:highlight w:val="none"/>
          <w:lang w:val="en-US" w:eastAsia="zh-CN"/>
        </w:rPr>
        <w:t>910</w:t>
      </w:r>
      <w:r>
        <w:rPr>
          <w:rFonts w:hint="default" w:ascii="Times New Roman" w:hAnsi="Times New Roman" w:cs="Times New Roman" w:eastAsiaTheme="minorEastAsia"/>
          <w:color w:val="auto"/>
          <w:sz w:val="24"/>
          <w:highlight w:val="none"/>
          <w:lang w:val="en-US" w:eastAsia="zh-CN"/>
        </w:rPr>
        <w:t>万元，占项目总投资的</w:t>
      </w:r>
      <w:r>
        <w:rPr>
          <w:rFonts w:hint="eastAsia" w:ascii="Times New Roman" w:hAnsi="Times New Roman" w:cs="Times New Roman" w:eastAsiaTheme="minorEastAsia"/>
          <w:color w:val="auto"/>
          <w:sz w:val="24"/>
          <w:highlight w:val="none"/>
          <w:lang w:val="en-US" w:eastAsia="zh-CN"/>
        </w:rPr>
        <w:t>1.</w:t>
      </w:r>
      <w:r>
        <w:rPr>
          <w:rFonts w:hint="eastAsia" w:cs="Times New Roman" w:eastAsiaTheme="minorEastAsia"/>
          <w:color w:val="auto"/>
          <w:sz w:val="24"/>
          <w:highlight w:val="none"/>
          <w:lang w:val="en-US" w:eastAsia="zh-CN"/>
        </w:rPr>
        <w:t>6</w:t>
      </w:r>
      <w:r>
        <w:rPr>
          <w:rFonts w:hint="eastAsia" w:ascii="Times New Roman" w:hAnsi="Times New Roman" w:cs="Times New Roman" w:eastAsiaTheme="minorEastAsia"/>
          <w:color w:val="auto"/>
          <w:sz w:val="24"/>
          <w:highlight w:val="none"/>
          <w:lang w:val="en-US" w:eastAsia="zh-CN"/>
        </w:rPr>
        <w:t>%</w:t>
      </w:r>
      <w:r>
        <w:rPr>
          <w:rFonts w:hint="default" w:ascii="Times New Roman" w:hAnsi="Times New Roman" w:cs="Times New Roman" w:eastAsiaTheme="minorEastAsia"/>
          <w:color w:val="auto"/>
          <w:sz w:val="24"/>
          <w:highlight w:val="none"/>
          <w:lang w:val="en-US" w:eastAsia="zh-CN"/>
        </w:rPr>
        <w:t>。</w:t>
      </w:r>
    </w:p>
    <w:p w14:paraId="020FF17B">
      <w:pPr>
        <w:pStyle w:val="11"/>
        <w:keepNext/>
        <w:keepLines/>
        <w:pageBreakBefore w:val="0"/>
        <w:widowControl w:val="0"/>
        <w:kinsoku/>
        <w:wordWrap/>
        <w:overflowPunct/>
        <w:topLinePunct w:val="0"/>
        <w:autoSpaceDE/>
        <w:autoSpaceDN/>
        <w:bidi w:val="0"/>
        <w:adjustRightInd/>
        <w:snapToGrid w:val="0"/>
        <w:spacing w:beforeLines="0" w:afterLines="0"/>
        <w:ind w:left="0"/>
        <w:textAlignment w:val="auto"/>
        <w:outlineLvl w:val="2"/>
        <w:rPr>
          <w:rFonts w:hint="default" w:ascii="Times New Roman" w:hAnsi="Times New Roman" w:cs="Times New Roman" w:eastAsiaTheme="minorEastAsia"/>
          <w:color w:val="auto"/>
          <w:highlight w:val="none"/>
          <w:lang w:val="en-US" w:eastAsia="zh-CN"/>
        </w:rPr>
      </w:pPr>
      <w:bookmarkStart w:id="567" w:name="_Toc21779"/>
      <w:r>
        <w:rPr>
          <w:rFonts w:hint="default" w:ascii="Times New Roman" w:hAnsi="Times New Roman" w:cs="Times New Roman" w:eastAsiaTheme="minorEastAsia"/>
          <w:color w:val="auto"/>
          <w:highlight w:val="none"/>
          <w:lang w:val="en-US" w:eastAsia="zh-CN"/>
        </w:rPr>
        <w:t>9.1.2 产业政策符合性结论</w:t>
      </w:r>
      <w:bookmarkEnd w:id="567"/>
      <w:r>
        <w:rPr>
          <w:rFonts w:hint="default" w:ascii="Times New Roman" w:hAnsi="Times New Roman" w:cs="Times New Roman" w:eastAsiaTheme="minorEastAsia"/>
          <w:color w:val="auto"/>
          <w:highlight w:val="none"/>
          <w:lang w:val="en-US" w:eastAsia="zh-CN"/>
        </w:rPr>
        <w:t xml:space="preserve"> </w:t>
      </w:r>
    </w:p>
    <w:p w14:paraId="05118A6F">
      <w:pPr>
        <w:keepNext w:val="0"/>
        <w:keepLines w:val="0"/>
        <w:pageBreakBefore w:val="0"/>
        <w:widowControl w:val="0"/>
        <w:kinsoku/>
        <w:wordWrap w:val="0"/>
        <w:overflowPunct/>
        <w:topLinePunct/>
        <w:autoSpaceDE/>
        <w:autoSpaceDN/>
        <w:bidi w:val="0"/>
        <w:adjustRightInd/>
        <w:snapToGrid w:val="0"/>
        <w:spacing w:line="360" w:lineRule="auto"/>
        <w:ind w:left="0" w:leftChars="0" w:firstLine="480" w:firstLineChars="200"/>
        <w:textAlignment w:val="auto"/>
        <w:outlineLvl w:val="9"/>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本项目为风力发电工程，不属于《产业结构调整指导目录(2024年本)》(国家发展和改革委员会令第7号)中规定的“鼓励类”“限制类”及“淘汰类”，视为允许类项目，符合国家产业政策。</w:t>
      </w:r>
    </w:p>
    <w:p w14:paraId="74794372">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根据中华人民共和国国家发展和改革委员会令第40号《西部地区鼓励类产业目录(2020年本)》，本项目属于“(十)新疆维吾尔自治区(含新疆生产建设兵团)3.风力、光伏发电场建设及运营，太阳能发电系统制造。”</w:t>
      </w:r>
    </w:p>
    <w:p w14:paraId="11A5EF7A">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综上，本项目建设符合国家产业政策。</w:t>
      </w:r>
    </w:p>
    <w:p w14:paraId="4E1A0A41">
      <w:pPr>
        <w:pStyle w:val="11"/>
        <w:keepNext/>
        <w:keepLines/>
        <w:pageBreakBefore w:val="0"/>
        <w:widowControl w:val="0"/>
        <w:kinsoku/>
        <w:wordWrap/>
        <w:overflowPunct/>
        <w:topLinePunct w:val="0"/>
        <w:autoSpaceDE/>
        <w:autoSpaceDN/>
        <w:bidi w:val="0"/>
        <w:adjustRightInd/>
        <w:snapToGrid w:val="0"/>
        <w:spacing w:beforeLines="0" w:afterLines="0"/>
        <w:ind w:left="0"/>
        <w:textAlignment w:val="auto"/>
        <w:outlineLvl w:val="2"/>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lang w:val="en-US" w:eastAsia="zh-CN"/>
        </w:rPr>
        <w:t xml:space="preserve">9.1.3 相关规划符合性结论 </w:t>
      </w:r>
    </w:p>
    <w:p w14:paraId="7D67EC22">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sz w:val="24"/>
          <w:highlight w:val="none"/>
          <w:lang w:val="en-US" w:eastAsia="zh-CN"/>
        </w:rPr>
        <w:t>本项目的建设符合《</w:t>
      </w:r>
      <w:r>
        <w:rPr>
          <w:rFonts w:hint="default" w:ascii="Times New Roman" w:hAnsi="Times New Roman" w:cs="Times New Roman" w:eastAsiaTheme="minorEastAsia"/>
          <w:snapToGrid w:val="0"/>
          <w:color w:val="auto"/>
          <w:sz w:val="24"/>
          <w:highlight w:val="none"/>
          <w:lang w:val="en-US" w:eastAsia="zh-CN"/>
        </w:rPr>
        <w:t>新疆维吾尔自治区重点行业生态环境准入条件(2024年)》</w:t>
      </w:r>
      <w:r>
        <w:rPr>
          <w:rFonts w:hint="default" w:ascii="Times New Roman" w:hAnsi="Times New Roman" w:cs="Times New Roman" w:eastAsiaTheme="minorEastAsia"/>
          <w:color w:val="auto"/>
          <w:sz w:val="24"/>
          <w:highlight w:val="none"/>
          <w:lang w:val="en-US" w:eastAsia="zh-CN"/>
        </w:rPr>
        <w:t>，符合《中华人民共和国水污染防治法》《饮用水水源保护区污染防治管理规定》(2010年修正本)《集中式饮用水水源环境保护指南(试行)》的通知(环办〔2012〕50号)等水源保护区的相关要求，符合《乌鲁木齐市生态环境分区管控动态更新成果(2023)》，符合《新疆维吾尔自治区“十四五”电力发展规划》</w:t>
      </w:r>
      <w:bookmarkStart w:id="568" w:name="_Toc17370"/>
      <w:r>
        <w:rPr>
          <w:rFonts w:hint="default" w:ascii="Times New Roman" w:hAnsi="Times New Roman" w:cs="Times New Roman" w:eastAsiaTheme="minorEastAsia"/>
          <w:color w:val="auto"/>
          <w:sz w:val="24"/>
          <w:highlight w:val="none"/>
          <w:lang w:val="en-US" w:eastAsia="zh-CN"/>
        </w:rPr>
        <w:t>《乌鲁木齐市生态环境保护“十四五”规划》等相关行业、环保规划。</w:t>
      </w:r>
    </w:p>
    <w:p w14:paraId="04588B37">
      <w:pPr>
        <w:pStyle w:val="11"/>
        <w:keepNext/>
        <w:keepLines/>
        <w:pageBreakBefore w:val="0"/>
        <w:widowControl w:val="0"/>
        <w:kinsoku/>
        <w:wordWrap/>
        <w:overflowPunct/>
        <w:topLinePunct w:val="0"/>
        <w:autoSpaceDE/>
        <w:autoSpaceDN/>
        <w:bidi w:val="0"/>
        <w:adjustRightInd/>
        <w:snapToGrid w:val="0"/>
        <w:spacing w:beforeLines="0" w:afterLines="0"/>
        <w:ind w:left="0"/>
        <w:textAlignment w:val="auto"/>
        <w:outlineLvl w:val="2"/>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lang w:val="en-US" w:eastAsia="zh-CN"/>
        </w:rPr>
        <w:t>9.1.4 环境质量现状评价结论</w:t>
      </w:r>
      <w:bookmarkEnd w:id="568"/>
      <w:r>
        <w:rPr>
          <w:rFonts w:hint="default" w:ascii="Times New Roman" w:hAnsi="Times New Roman" w:cs="Times New Roman" w:eastAsiaTheme="minorEastAsia"/>
          <w:color w:val="auto"/>
          <w:highlight w:val="none"/>
          <w:lang w:val="en-US" w:eastAsia="zh-CN"/>
        </w:rPr>
        <w:t xml:space="preserve"> </w:t>
      </w:r>
    </w:p>
    <w:p w14:paraId="200A06F9">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(1)大气环境质量现状评价结论</w:t>
      </w:r>
    </w:p>
    <w:p w14:paraId="563D65FB">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乌鲁木齐市202</w:t>
      </w:r>
      <w:r>
        <w:rPr>
          <w:rFonts w:hint="eastAsia" w:cs="Times New Roman" w:eastAsiaTheme="minorEastAsia"/>
          <w:color w:val="auto"/>
          <w:sz w:val="24"/>
          <w:highlight w:val="none"/>
          <w:lang w:val="en-US" w:eastAsia="zh-CN"/>
        </w:rPr>
        <w:t>4</w:t>
      </w:r>
      <w:r>
        <w:rPr>
          <w:rFonts w:hint="default" w:ascii="Times New Roman" w:hAnsi="Times New Roman" w:cs="Times New Roman" w:eastAsiaTheme="minorEastAsia"/>
          <w:color w:val="auto"/>
          <w:sz w:val="24"/>
          <w:highlight w:val="none"/>
          <w:lang w:val="en-US" w:eastAsia="zh-CN"/>
        </w:rPr>
        <w:t>年基本大气污染物中NO</w:t>
      </w:r>
      <w:r>
        <w:rPr>
          <w:rFonts w:hint="default" w:ascii="Times New Roman" w:hAnsi="Times New Roman" w:cs="Times New Roman" w:eastAsiaTheme="minorEastAsia"/>
          <w:color w:val="auto"/>
          <w:sz w:val="24"/>
          <w:highlight w:val="none"/>
          <w:vertAlign w:val="subscript"/>
          <w:lang w:val="en-US" w:eastAsia="zh-CN"/>
        </w:rPr>
        <w:t>2</w:t>
      </w:r>
      <w:r>
        <w:rPr>
          <w:rFonts w:hint="default" w:ascii="Times New Roman" w:hAnsi="Times New Roman" w:cs="Times New Roman" w:eastAsiaTheme="minorEastAsia"/>
          <w:color w:val="auto"/>
          <w:sz w:val="24"/>
          <w:highlight w:val="none"/>
          <w:lang w:val="en-US" w:eastAsia="zh-CN"/>
        </w:rPr>
        <w:t>、SO</w:t>
      </w:r>
      <w:r>
        <w:rPr>
          <w:rFonts w:hint="default" w:ascii="Times New Roman" w:hAnsi="Times New Roman" w:cs="Times New Roman" w:eastAsiaTheme="minorEastAsia"/>
          <w:color w:val="auto"/>
          <w:sz w:val="24"/>
          <w:highlight w:val="none"/>
          <w:vertAlign w:val="subscript"/>
          <w:lang w:val="en-US" w:eastAsia="zh-CN"/>
        </w:rPr>
        <w:t>2</w:t>
      </w:r>
      <w:r>
        <w:rPr>
          <w:rFonts w:hint="default" w:ascii="Times New Roman" w:hAnsi="Times New Roman" w:cs="Times New Roman" w:eastAsiaTheme="minorEastAsia"/>
          <w:color w:val="auto"/>
          <w:sz w:val="24"/>
          <w:highlight w:val="none"/>
          <w:vertAlign w:val="baseline"/>
          <w:lang w:val="en-US" w:eastAsia="zh-CN"/>
        </w:rPr>
        <w:t>、</w:t>
      </w:r>
      <w:r>
        <w:rPr>
          <w:rFonts w:hint="default" w:ascii="Times New Roman" w:hAnsi="Times New Roman" w:cs="Times New Roman" w:eastAsiaTheme="minorEastAsia"/>
          <w:color w:val="auto"/>
          <w:sz w:val="24"/>
          <w:highlight w:val="none"/>
          <w:lang w:val="en-US" w:eastAsia="zh-CN"/>
        </w:rPr>
        <w:t>PM</w:t>
      </w:r>
      <w:r>
        <w:rPr>
          <w:rFonts w:hint="default" w:ascii="Times New Roman" w:hAnsi="Times New Roman" w:cs="Times New Roman" w:eastAsiaTheme="minorEastAsia"/>
          <w:color w:val="auto"/>
          <w:sz w:val="24"/>
          <w:highlight w:val="none"/>
          <w:vertAlign w:val="subscript"/>
          <w:lang w:val="en-US" w:eastAsia="zh-CN"/>
        </w:rPr>
        <w:t>10</w:t>
      </w:r>
      <w:r>
        <w:rPr>
          <w:rFonts w:hint="default" w:ascii="Times New Roman" w:hAnsi="Times New Roman" w:cs="Times New Roman" w:eastAsiaTheme="minorEastAsia"/>
          <w:color w:val="auto"/>
          <w:sz w:val="24"/>
          <w:highlight w:val="none"/>
          <w:vertAlign w:val="baseline"/>
          <w:lang w:val="en-US" w:eastAsia="zh-CN"/>
        </w:rPr>
        <w:t>、</w:t>
      </w:r>
      <w:r>
        <w:rPr>
          <w:rFonts w:hint="default" w:ascii="Times New Roman" w:hAnsi="Times New Roman" w:cs="Times New Roman" w:eastAsiaTheme="minorEastAsia"/>
          <w:color w:val="auto"/>
          <w:sz w:val="24"/>
          <w:highlight w:val="none"/>
          <w:lang w:val="en-US" w:eastAsia="zh-CN"/>
        </w:rPr>
        <w:t>PM</w:t>
      </w:r>
      <w:r>
        <w:rPr>
          <w:rFonts w:hint="default" w:ascii="Times New Roman" w:hAnsi="Times New Roman" w:cs="Times New Roman" w:eastAsiaTheme="minorEastAsia"/>
          <w:color w:val="auto"/>
          <w:sz w:val="24"/>
          <w:highlight w:val="none"/>
          <w:vertAlign w:val="subscript"/>
          <w:lang w:val="en-US" w:eastAsia="zh-CN"/>
        </w:rPr>
        <w:t>2.5</w:t>
      </w:r>
      <w:r>
        <w:rPr>
          <w:rFonts w:hint="default" w:ascii="Times New Roman" w:hAnsi="Times New Roman" w:cs="Times New Roman" w:eastAsiaTheme="minorEastAsia"/>
          <w:color w:val="auto"/>
          <w:sz w:val="24"/>
          <w:highlight w:val="none"/>
          <w:lang w:val="en-US" w:eastAsia="zh-CN"/>
        </w:rPr>
        <w:t>年均值、CO的24小时平均浓度第95百分位数和O</w:t>
      </w:r>
      <w:r>
        <w:rPr>
          <w:rFonts w:hint="default" w:ascii="Times New Roman" w:hAnsi="Times New Roman" w:cs="Times New Roman" w:eastAsiaTheme="minorEastAsia"/>
          <w:color w:val="auto"/>
          <w:sz w:val="24"/>
          <w:highlight w:val="none"/>
          <w:vertAlign w:val="subscript"/>
          <w:lang w:val="en-US" w:eastAsia="zh-CN"/>
        </w:rPr>
        <w:t>3</w:t>
      </w:r>
      <w:r>
        <w:rPr>
          <w:rFonts w:hint="default" w:ascii="Times New Roman" w:hAnsi="Times New Roman" w:cs="Times New Roman" w:eastAsiaTheme="minorEastAsia"/>
          <w:color w:val="auto"/>
          <w:sz w:val="24"/>
          <w:highlight w:val="none"/>
          <w:lang w:val="en-US" w:eastAsia="zh-CN"/>
        </w:rPr>
        <w:t>日最大8小时平均浓度第90百分位数均能够满足《环境空气质量标准》(GB3092-2012)二级标准，本项目所在区域为达标区。</w:t>
      </w:r>
    </w:p>
    <w:p w14:paraId="56CAFA8D">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(2)地表水环境质量现状评价结论</w:t>
      </w:r>
    </w:p>
    <w:p w14:paraId="6944A9DD">
      <w:pPr>
        <w:pageBreakBefore w:val="0"/>
        <w:widowControl w:val="0"/>
        <w:kinsoku/>
        <w:overflowPunct/>
        <w:autoSpaceDE/>
        <w:autoSpaceDN/>
        <w:bidi w:val="0"/>
        <w:snapToGrid w:val="0"/>
        <w:ind w:left="0" w:leftChars="0" w:firstLine="480" w:firstLineChars="200"/>
        <w:jc w:val="left"/>
        <w:rPr>
          <w:rFonts w:hint="eastAsia" w:ascii="宋体" w:hAnsi="宋体" w:eastAsia="宋体"/>
          <w:color w:val="auto"/>
          <w:sz w:val="24"/>
        </w:rPr>
      </w:pPr>
      <w:r>
        <w:rPr>
          <w:rFonts w:hint="eastAsia" w:ascii="宋体" w:hAnsi="宋体" w:eastAsia="宋体"/>
          <w:sz w:val="24"/>
          <w:lang w:val="en-US" w:eastAsia="zh-CN"/>
        </w:rPr>
        <w:t>根据</w:t>
      </w:r>
      <w:r>
        <w:rPr>
          <w:rFonts w:hint="eastAsia" w:ascii="宋体" w:hAnsi="宋体" w:eastAsia="宋体"/>
          <w:sz w:val="24"/>
        </w:rPr>
        <w:t>《</w:t>
      </w:r>
      <w:r>
        <w:rPr>
          <w:rFonts w:hint="eastAsia" w:ascii="TimesNewRomanPSMT" w:hAnsi="TimesNewRomanPSMT" w:eastAsia="TimesNewRomanPSMT"/>
          <w:sz w:val="24"/>
        </w:rPr>
        <w:t xml:space="preserve">2024 </w:t>
      </w:r>
      <w:r>
        <w:rPr>
          <w:rFonts w:hint="eastAsia" w:ascii="宋体" w:hAnsi="宋体" w:eastAsia="宋体"/>
          <w:sz w:val="24"/>
        </w:rPr>
        <w:t>年第一季度乌鲁木齐市水质状况报告》显示，一季度，乌鲁木齐市地表水体对乌鲁木齐河、乌拉泊水库开展监测，地表水河流各断面及乌拉泊水库出水断面每月监测</w:t>
      </w:r>
      <w:r>
        <w:rPr>
          <w:rFonts w:hint="eastAsia" w:ascii="TimesNewRomanPSMT" w:hAnsi="TimesNewRomanPSMT" w:eastAsia="TimesNewRomanPSMT"/>
          <w:sz w:val="24"/>
        </w:rPr>
        <w:t xml:space="preserve">1 </w:t>
      </w:r>
      <w:r>
        <w:rPr>
          <w:rFonts w:hint="eastAsia" w:ascii="宋体" w:hAnsi="宋体" w:eastAsia="宋体"/>
          <w:sz w:val="24"/>
        </w:rPr>
        <w:t>次，</w:t>
      </w:r>
      <w:r>
        <w:rPr>
          <w:rFonts w:hint="eastAsia" w:ascii="TimesNewRomanPSMT" w:hAnsi="TimesNewRomanPSMT" w:eastAsia="TimesNewRomanPSMT"/>
          <w:sz w:val="24"/>
        </w:rPr>
        <w:t xml:space="preserve">2024 </w:t>
      </w:r>
      <w:r>
        <w:rPr>
          <w:rFonts w:hint="eastAsia" w:ascii="宋体" w:hAnsi="宋体" w:eastAsia="宋体"/>
          <w:sz w:val="24"/>
        </w:rPr>
        <w:t>年第一季度乌鲁木齐河跃进桥（红五月桥）断面为</w:t>
      </w:r>
      <w:r>
        <w:rPr>
          <w:rFonts w:hint="eastAsia" w:ascii="TimesNewRomanPSMT" w:hAnsi="TimesNewRomanPSMT" w:eastAsia="TimesNewRomanPSMT"/>
          <w:sz w:val="24"/>
        </w:rPr>
        <w:t xml:space="preserve">II </w:t>
      </w:r>
      <w:r>
        <w:rPr>
          <w:rFonts w:hint="eastAsia" w:ascii="宋体" w:hAnsi="宋体" w:eastAsia="宋体"/>
          <w:sz w:val="24"/>
        </w:rPr>
        <w:t>类水质，英雄桥河青年渠断面均为</w:t>
      </w:r>
      <w:r>
        <w:rPr>
          <w:rFonts w:hint="eastAsia" w:ascii="TimesNewRomanPSMT" w:hAnsi="TimesNewRomanPSMT" w:eastAsia="TimesNewRomanPSMT"/>
          <w:sz w:val="24"/>
        </w:rPr>
        <w:t xml:space="preserve">I </w:t>
      </w:r>
      <w:r>
        <w:rPr>
          <w:rFonts w:hint="eastAsia" w:ascii="宋体" w:hAnsi="宋体" w:eastAsia="宋体"/>
          <w:sz w:val="24"/>
        </w:rPr>
        <w:t>类水质，水质状况均为优。乌拉泊水库出水口一季度为</w:t>
      </w:r>
      <w:r>
        <w:rPr>
          <w:rFonts w:hint="eastAsia" w:ascii="TimesNewRomanPSMT" w:hAnsi="TimesNewRomanPSMT" w:eastAsia="TimesNewRomanPSMT"/>
          <w:sz w:val="24"/>
        </w:rPr>
        <w:t xml:space="preserve">I </w:t>
      </w:r>
      <w:r>
        <w:rPr>
          <w:rFonts w:hint="eastAsia" w:ascii="宋体" w:hAnsi="宋体" w:eastAsia="宋体"/>
          <w:sz w:val="24"/>
        </w:rPr>
        <w:t>类水质，</w:t>
      </w:r>
      <w:r>
        <w:rPr>
          <w:rFonts w:hint="eastAsia" w:ascii="TimesNewRomanPSMT" w:hAnsi="TimesNewRomanPSMT" w:eastAsia="TimesNewRomanPSMT"/>
          <w:sz w:val="24"/>
        </w:rPr>
        <w:t xml:space="preserve">21 </w:t>
      </w:r>
      <w:r>
        <w:rPr>
          <w:rFonts w:hint="eastAsia" w:ascii="宋体" w:hAnsi="宋体" w:eastAsia="宋体"/>
          <w:sz w:val="24"/>
        </w:rPr>
        <w:t>个基本项目全部达到《地表水环境质量标准》（</w:t>
      </w:r>
      <w:r>
        <w:rPr>
          <w:rFonts w:hint="eastAsia" w:ascii="TimesNewRomanPSMT" w:hAnsi="TimesNewRomanPSMT" w:eastAsia="TimesNewRomanPSMT"/>
          <w:sz w:val="24"/>
        </w:rPr>
        <w:t>GB3838-2002</w:t>
      </w:r>
      <w:r>
        <w:rPr>
          <w:rFonts w:hint="eastAsia" w:ascii="宋体" w:hAnsi="宋体" w:eastAsia="宋体"/>
          <w:sz w:val="24"/>
        </w:rPr>
        <w:t>）中</w:t>
      </w:r>
      <w:r>
        <w:rPr>
          <w:rFonts w:hint="eastAsia" w:ascii="TimesNewRomanPSMT" w:hAnsi="TimesNewRomanPSMT" w:eastAsia="TimesNewRomanPSMT"/>
          <w:sz w:val="24"/>
        </w:rPr>
        <w:t xml:space="preserve">I </w:t>
      </w:r>
      <w:r>
        <w:rPr>
          <w:rFonts w:hint="eastAsia" w:ascii="宋体" w:hAnsi="宋体" w:eastAsia="宋体"/>
          <w:sz w:val="24"/>
        </w:rPr>
        <w:t>类水质</w:t>
      </w:r>
      <w:r>
        <w:rPr>
          <w:rFonts w:hint="eastAsia" w:ascii="宋体" w:hAnsi="宋体" w:eastAsia="宋体"/>
          <w:color w:val="auto"/>
          <w:sz w:val="24"/>
        </w:rPr>
        <w:t>标准要求，水质状况为优，水库营养化程度表现为中营养。</w:t>
      </w:r>
    </w:p>
    <w:p w14:paraId="6C4A1749">
      <w:pPr>
        <w:pageBreakBefore w:val="0"/>
        <w:widowControl w:val="0"/>
        <w:kinsoku/>
        <w:overflowPunct/>
        <w:autoSpaceDE/>
        <w:autoSpaceDN/>
        <w:bidi w:val="0"/>
        <w:snapToGrid w:val="0"/>
        <w:ind w:left="0" w:leftChars="0" w:firstLine="480" w:firstLineChars="200"/>
        <w:jc w:val="left"/>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(3)地下水环境质量现状评价结论</w:t>
      </w:r>
    </w:p>
    <w:p w14:paraId="7208519C">
      <w:pPr>
        <w:pageBreakBefore w:val="0"/>
        <w:widowControl w:val="0"/>
        <w:kinsoku/>
        <w:overflowPunct/>
        <w:autoSpaceDE/>
        <w:autoSpaceDN/>
        <w:bidi w:val="0"/>
        <w:snapToGrid w:val="0"/>
        <w:ind w:left="0" w:leftChars="0" w:firstLine="480" w:firstLineChars="200"/>
        <w:jc w:val="left"/>
        <w:rPr>
          <w:rFonts w:hint="eastAsia" w:ascii="TimesNewRomanPSMT" w:hAnsi="TimesNewRomanPSMT" w:eastAsia="TimesNewRomanPSMT"/>
          <w:color w:val="auto"/>
          <w:sz w:val="24"/>
        </w:rPr>
      </w:pPr>
      <w:r>
        <w:rPr>
          <w:rFonts w:hint="eastAsia" w:ascii="TimesNewRomanPSMT" w:hAnsi="TimesNewRomanPSMT" w:eastAsia="TimesNewRomanPSMT"/>
          <w:color w:val="auto"/>
          <w:sz w:val="24"/>
        </w:rPr>
        <w:t>根据乌鲁木齐市人民政府网站公布的《乌鲁木齐市集中式饮用水水源地2024 年6 月水质状况报告》（网址：http://www.urumqi.gov.cn/cfyys/syd/573006.htm）显示，2024 年6月，甘河子水源地参与评价的39 个项目达到《地下水质量标准》(GB/T14848-2017)Ⅱ类标准限值。</w:t>
      </w:r>
    </w:p>
    <w:p w14:paraId="512C70B9">
      <w:pPr>
        <w:pageBreakBefore w:val="0"/>
        <w:widowControl w:val="0"/>
        <w:kinsoku/>
        <w:overflowPunct/>
        <w:autoSpaceDE/>
        <w:autoSpaceDN/>
        <w:bidi w:val="0"/>
        <w:snapToGrid w:val="0"/>
        <w:ind w:left="0" w:leftChars="0" w:firstLine="480" w:firstLineChars="200"/>
        <w:jc w:val="left"/>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(4)声环境质量现状评价结论</w:t>
      </w:r>
    </w:p>
    <w:p w14:paraId="0125E563">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snapToGrid w:val="0"/>
          <w:color w:val="auto"/>
          <w:sz w:val="24"/>
          <w:highlight w:val="none"/>
          <w:lang w:val="en-US" w:eastAsia="zh-CN"/>
        </w:rPr>
        <w:t>本次环评由新疆鼎耀工程咨询有限公司对项目区声环境现状进行现场监测。根据监测结果，</w:t>
      </w:r>
      <w:r>
        <w:rPr>
          <w:rFonts w:hint="default" w:ascii="Times New Roman" w:hAnsi="Times New Roman" w:cs="Times New Roman" w:eastAsiaTheme="minorEastAsia"/>
          <w:color w:val="auto"/>
          <w:sz w:val="24"/>
          <w:highlight w:val="none"/>
          <w:lang w:val="en-US" w:eastAsia="zh-CN"/>
        </w:rPr>
        <w:t>风电场</w:t>
      </w:r>
      <w:r>
        <w:rPr>
          <w:rFonts w:hint="eastAsia" w:cs="Times New Roman" w:eastAsiaTheme="minorEastAsia"/>
          <w:color w:val="auto"/>
          <w:sz w:val="24"/>
          <w:highlight w:val="none"/>
          <w:lang w:val="en-US" w:eastAsia="zh-CN"/>
        </w:rPr>
        <w:t>典型风机拟建塔位处</w:t>
      </w:r>
      <w:r>
        <w:rPr>
          <w:rFonts w:hint="default" w:ascii="Times New Roman" w:hAnsi="Times New Roman" w:cs="Times New Roman" w:eastAsiaTheme="minorEastAsia"/>
          <w:color w:val="auto"/>
          <w:sz w:val="24"/>
          <w:highlight w:val="none"/>
          <w:lang w:val="en-US" w:eastAsia="zh-CN"/>
        </w:rPr>
        <w:t>声环境质量现状监测值均满足</w:t>
      </w:r>
      <w:r>
        <w:rPr>
          <w:rFonts w:hint="default" w:ascii="Times New Roman" w:hAnsi="Times New Roman" w:cs="Times New Roman" w:eastAsiaTheme="minorEastAsia"/>
          <w:color w:val="auto"/>
          <w:sz w:val="24"/>
          <w:highlight w:val="none"/>
        </w:rPr>
        <w:t>《声环境质量标准》</w:t>
      </w:r>
      <w:r>
        <w:rPr>
          <w:rFonts w:hint="default" w:ascii="Times New Roman" w:hAnsi="Times New Roman" w:cs="Times New Roman" w:eastAsiaTheme="minorEastAsia"/>
          <w:color w:val="auto"/>
          <w:sz w:val="24"/>
          <w:highlight w:val="none"/>
          <w:lang w:eastAsia="zh-CN"/>
        </w:rPr>
        <w:t>(</w:t>
      </w:r>
      <w:r>
        <w:rPr>
          <w:rFonts w:hint="default" w:ascii="Times New Roman" w:hAnsi="Times New Roman" w:cs="Times New Roman" w:eastAsiaTheme="minorEastAsia"/>
          <w:color w:val="auto"/>
          <w:sz w:val="24"/>
          <w:highlight w:val="none"/>
        </w:rPr>
        <w:t>GB3096-2008</w:t>
      </w:r>
      <w:r>
        <w:rPr>
          <w:rFonts w:hint="default" w:ascii="Times New Roman" w:hAnsi="Times New Roman" w:cs="Times New Roman" w:eastAsiaTheme="minorEastAsia"/>
          <w:color w:val="auto"/>
          <w:sz w:val="24"/>
          <w:highlight w:val="none"/>
          <w:lang w:eastAsia="zh-CN"/>
        </w:rPr>
        <w:t>)</w:t>
      </w:r>
      <w:r>
        <w:rPr>
          <w:rFonts w:hint="default" w:ascii="Times New Roman" w:hAnsi="Times New Roman" w:cs="Times New Roman" w:eastAsiaTheme="minorEastAsia"/>
          <w:color w:val="auto"/>
          <w:sz w:val="24"/>
          <w:highlight w:val="none"/>
        </w:rPr>
        <w:t>中2类区标准</w:t>
      </w:r>
      <w:r>
        <w:rPr>
          <w:rFonts w:hint="default" w:ascii="Times New Roman" w:hAnsi="Times New Roman" w:cs="Times New Roman" w:eastAsiaTheme="minorEastAsia"/>
          <w:color w:val="auto"/>
          <w:sz w:val="24"/>
          <w:highlight w:val="none"/>
          <w:lang w:eastAsia="zh-CN"/>
        </w:rPr>
        <w:t>(</w:t>
      </w:r>
      <w:r>
        <w:rPr>
          <w:rFonts w:hint="default" w:ascii="Times New Roman" w:hAnsi="Times New Roman" w:cs="Times New Roman" w:eastAsiaTheme="minorEastAsia"/>
          <w:color w:val="auto"/>
          <w:sz w:val="24"/>
          <w:highlight w:val="none"/>
        </w:rPr>
        <w:t>昼间60dB</w:t>
      </w:r>
      <w:r>
        <w:rPr>
          <w:rFonts w:hint="default" w:ascii="Times New Roman" w:hAnsi="Times New Roman" w:cs="Times New Roman" w:eastAsiaTheme="minorEastAsia"/>
          <w:color w:val="auto"/>
          <w:sz w:val="24"/>
          <w:highlight w:val="none"/>
          <w:lang w:eastAsia="zh-CN"/>
        </w:rPr>
        <w:t>(</w:t>
      </w:r>
      <w:r>
        <w:rPr>
          <w:rFonts w:hint="default" w:ascii="Times New Roman" w:hAnsi="Times New Roman" w:cs="Times New Roman" w:eastAsiaTheme="minorEastAsia"/>
          <w:color w:val="auto"/>
          <w:sz w:val="24"/>
          <w:highlight w:val="none"/>
        </w:rPr>
        <w:t>A</w:t>
      </w:r>
      <w:r>
        <w:rPr>
          <w:rFonts w:hint="default" w:ascii="Times New Roman" w:hAnsi="Times New Roman" w:cs="Times New Roman" w:eastAsiaTheme="minorEastAsia"/>
          <w:color w:val="auto"/>
          <w:sz w:val="24"/>
          <w:highlight w:val="none"/>
          <w:lang w:eastAsia="zh-CN"/>
        </w:rPr>
        <w:t>)</w:t>
      </w:r>
      <w:r>
        <w:rPr>
          <w:rFonts w:hint="default" w:ascii="Times New Roman" w:hAnsi="Times New Roman" w:cs="Times New Roman" w:eastAsiaTheme="minorEastAsia"/>
          <w:color w:val="auto"/>
          <w:sz w:val="24"/>
          <w:highlight w:val="none"/>
        </w:rPr>
        <w:t>、夜间50dB</w:t>
      </w:r>
      <w:r>
        <w:rPr>
          <w:rFonts w:hint="default" w:ascii="Times New Roman" w:hAnsi="Times New Roman" w:cs="Times New Roman" w:eastAsiaTheme="minorEastAsia"/>
          <w:color w:val="auto"/>
          <w:sz w:val="24"/>
          <w:highlight w:val="none"/>
          <w:lang w:eastAsia="zh-CN"/>
        </w:rPr>
        <w:t>(</w:t>
      </w:r>
      <w:r>
        <w:rPr>
          <w:rFonts w:hint="default" w:ascii="Times New Roman" w:hAnsi="Times New Roman" w:cs="Times New Roman" w:eastAsiaTheme="minorEastAsia"/>
          <w:color w:val="auto"/>
          <w:sz w:val="24"/>
          <w:highlight w:val="none"/>
        </w:rPr>
        <w:t>A</w:t>
      </w:r>
      <w:r>
        <w:rPr>
          <w:rFonts w:hint="default" w:ascii="Times New Roman" w:hAnsi="Times New Roman" w:cs="Times New Roman" w:eastAsiaTheme="minorEastAsia"/>
          <w:color w:val="auto"/>
          <w:sz w:val="24"/>
          <w:highlight w:val="none"/>
          <w:lang w:eastAsia="zh-CN"/>
        </w:rPr>
        <w:t>))</w:t>
      </w:r>
      <w:r>
        <w:rPr>
          <w:rFonts w:hint="default" w:ascii="Times New Roman" w:hAnsi="Times New Roman" w:cs="Times New Roman" w:eastAsiaTheme="minorEastAsia"/>
          <w:color w:val="auto"/>
          <w:sz w:val="24"/>
          <w:highlight w:val="none"/>
          <w:lang w:val="en-US" w:eastAsia="zh-CN"/>
        </w:rPr>
        <w:t>的要求。</w:t>
      </w:r>
    </w:p>
    <w:p w14:paraId="75E18887">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w:t>
      </w:r>
      <w:r>
        <w:rPr>
          <w:rFonts w:hint="eastAsia" w:cs="Times New Roman" w:eastAsiaTheme="minorEastAsia"/>
          <w:color w:val="000000" w:themeColor="text1"/>
          <w:sz w:val="24"/>
          <w:highlight w:val="none"/>
          <w:lang w:val="en-US" w:eastAsia="zh-CN"/>
          <w14:textFill>
            <w14:solidFill>
              <w14:schemeClr w14:val="tx1"/>
            </w14:solidFill>
          </w14:textFill>
        </w:rPr>
        <w:t>5</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)生态环境现状评价结论</w:t>
      </w:r>
    </w:p>
    <w:p w14:paraId="4A3CD934">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本项目区域土地利用现状</w:t>
      </w:r>
      <w:r>
        <w:rPr>
          <w:rFonts w:hint="eastAsia" w:cs="Times New Roman" w:eastAsiaTheme="minorEastAsia"/>
          <w:color w:val="000000" w:themeColor="text1"/>
          <w:sz w:val="24"/>
          <w:highlight w:val="none"/>
          <w:lang w:val="en-US" w:eastAsia="zh-CN"/>
          <w14:textFill>
            <w14:solidFill>
              <w14:schemeClr w14:val="tx1"/>
            </w14:solidFill>
          </w14:textFill>
        </w:rPr>
        <w:t>以</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天然牧草地</w:t>
      </w:r>
      <w:r>
        <w:rPr>
          <w:rFonts w:hint="eastAsia" w:cs="Times New Roman" w:eastAsiaTheme="minorEastAsia"/>
          <w:color w:val="000000" w:themeColor="text1"/>
          <w:sz w:val="24"/>
          <w:highlight w:val="none"/>
          <w:lang w:val="en-US" w:eastAsia="zh-CN"/>
          <w14:textFill>
            <w14:solidFill>
              <w14:schemeClr w14:val="tx1"/>
            </w14:solidFill>
          </w14:textFill>
        </w:rPr>
        <w:t>为主</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w:t>
      </w:r>
      <w:r>
        <w:rPr>
          <w:rFonts w:hint="eastAsia" w:cs="Times New Roman" w:eastAsiaTheme="minorEastAsia"/>
          <w:color w:val="000000" w:themeColor="text1"/>
          <w:sz w:val="24"/>
          <w:highlight w:val="none"/>
          <w:lang w:val="en-US" w:eastAsia="zh-CN"/>
          <w14:textFill>
            <w14:solidFill>
              <w14:schemeClr w14:val="tx1"/>
            </w14:solidFill>
          </w14:textFill>
        </w:rPr>
        <w:t>兼顾其他草地、水浇地、其他林地、采矿用地，</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地貌为冲洪积平原。</w:t>
      </w:r>
      <w:r>
        <w:rPr>
          <w:rFonts w:hint="default" w:ascii="Times New Roman" w:hAnsi="Times New Roman" w:cs="Times New Roman" w:eastAsiaTheme="minorEastAsia"/>
          <w:color w:val="auto"/>
          <w:sz w:val="24"/>
          <w:highlight w:val="none"/>
          <w:lang w:val="en-US" w:eastAsia="zh-CN"/>
        </w:rPr>
        <w:t>本项目所在区域干旱少雨、蒸发强烈，多风，区域地表植被为干旱、半干</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旱地区荒漠植被，</w:t>
      </w:r>
      <w:r>
        <w:rPr>
          <w:rFonts w:hint="default" w:ascii="Times New Roman" w:hAnsi="Times New Roman" w:cs="Times New Roman" w:eastAsiaTheme="minorEastAsia"/>
          <w:snapToGrid w:val="0"/>
          <w:color w:val="000000" w:themeColor="text1"/>
          <w:sz w:val="24"/>
          <w:highlight w:val="none"/>
          <w:lang w:val="en-US" w:eastAsia="zh-CN"/>
          <w14:textFill>
            <w14:solidFill>
              <w14:schemeClr w14:val="tx1"/>
            </w14:solidFill>
          </w14:textFill>
        </w:rPr>
        <w:t>主要植物物种有盐穗木、合头草、蒿叶猪毛菜、木本猪毛菜、梭梭柴等。</w:t>
      </w:r>
    </w:p>
    <w:p w14:paraId="364C8076">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jc w:val="both"/>
        <w:textAlignment w:val="auto"/>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本项目所在区域主要为冲洪积荒漠</w:t>
      </w:r>
      <w:r>
        <w:rPr>
          <w:rFonts w:hint="eastAsia" w:ascii="Times New Roman" w:hAnsi="Times New Roman" w:cs="Times New Roman" w:eastAsiaTheme="minorEastAsia"/>
          <w:color w:val="000000" w:themeColor="text1"/>
          <w:sz w:val="24"/>
          <w:highlight w:val="none"/>
          <w:lang w:val="en-US" w:eastAsia="zh-CN"/>
          <w14:textFill>
            <w14:solidFill>
              <w14:schemeClr w14:val="tx1"/>
            </w14:solidFill>
          </w14:textFill>
        </w:rPr>
        <w:t>平原区域</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，评价区内无大型野生哺乳动物存在，只有鼠类、蜥蜴等小型动物、少许鸟类，在踏</w:t>
      </w:r>
      <w:r>
        <w:rPr>
          <w:rFonts w:hint="default" w:ascii="Times New Roman" w:hAnsi="Times New Roman" w:cs="Times New Roman" w:eastAsiaTheme="minorEastAsia"/>
          <w:color w:val="auto"/>
          <w:sz w:val="24"/>
          <w:highlight w:val="none"/>
          <w:lang w:val="en-US" w:eastAsia="zh-CN"/>
        </w:rPr>
        <w:t>勘期间，未在评价范围内发现国家、自治区级野生保护动物。项目区不涉及自然保护区、风景名胜区及基本农田、基本草原、天然林、野生动物栖息地等自然资源分布。</w:t>
      </w:r>
    </w:p>
    <w:p w14:paraId="0A945100">
      <w:pPr>
        <w:pStyle w:val="11"/>
        <w:keepNext/>
        <w:keepLines/>
        <w:pageBreakBefore w:val="0"/>
        <w:widowControl w:val="0"/>
        <w:kinsoku/>
        <w:wordWrap/>
        <w:overflowPunct/>
        <w:topLinePunct w:val="0"/>
        <w:autoSpaceDE/>
        <w:autoSpaceDN/>
        <w:bidi w:val="0"/>
        <w:adjustRightInd/>
        <w:snapToGrid w:val="0"/>
        <w:spacing w:beforeLines="0" w:afterLines="0"/>
        <w:ind w:left="0"/>
        <w:textAlignment w:val="auto"/>
        <w:outlineLvl w:val="2"/>
        <w:rPr>
          <w:rFonts w:hint="default" w:ascii="Times New Roman" w:hAnsi="Times New Roman" w:cs="Times New Roman" w:eastAsiaTheme="minorEastAsia"/>
          <w:color w:val="auto"/>
          <w:highlight w:val="none"/>
          <w:lang w:val="en-US" w:eastAsia="zh-CN"/>
        </w:rPr>
      </w:pPr>
      <w:bookmarkStart w:id="569" w:name="_Toc32432"/>
      <w:r>
        <w:rPr>
          <w:rFonts w:hint="default" w:ascii="Times New Roman" w:hAnsi="Times New Roman" w:cs="Times New Roman" w:eastAsiaTheme="minorEastAsia"/>
          <w:color w:val="auto"/>
          <w:highlight w:val="none"/>
          <w:lang w:val="en-US" w:eastAsia="zh-CN"/>
        </w:rPr>
        <w:t>9.1.4 环境影响分析与评价结论</w:t>
      </w:r>
      <w:bookmarkEnd w:id="569"/>
      <w:r>
        <w:rPr>
          <w:rFonts w:hint="default" w:ascii="Times New Roman" w:hAnsi="Times New Roman" w:cs="Times New Roman" w:eastAsiaTheme="minorEastAsia"/>
          <w:color w:val="auto"/>
          <w:highlight w:val="none"/>
          <w:lang w:val="en-US" w:eastAsia="zh-CN"/>
        </w:rPr>
        <w:t xml:space="preserve"> </w:t>
      </w:r>
    </w:p>
    <w:p w14:paraId="2B3A58AD">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(1)大气环境影响分析与评价结论</w:t>
      </w:r>
    </w:p>
    <w:p w14:paraId="3CCCD2FA">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本项目风电场</w:t>
      </w:r>
      <w:r>
        <w:rPr>
          <w:rFonts w:hint="eastAsia" w:cs="Times New Roman" w:eastAsiaTheme="minorEastAsia"/>
          <w:color w:val="auto"/>
          <w:sz w:val="24"/>
          <w:highlight w:val="none"/>
          <w:lang w:val="en-US" w:eastAsia="zh-CN"/>
        </w:rPr>
        <w:t>及集电</w:t>
      </w:r>
      <w:r>
        <w:rPr>
          <w:rFonts w:hint="default" w:ascii="Times New Roman" w:hAnsi="Times New Roman" w:cs="Times New Roman" w:eastAsiaTheme="minorEastAsia"/>
          <w:color w:val="auto"/>
          <w:sz w:val="24"/>
          <w:highlight w:val="none"/>
          <w:lang w:val="en-US" w:eastAsia="zh-CN"/>
        </w:rPr>
        <w:t>线路等在运营阶段主要为道路扬尘。道路扬尘产生量较少，运营期车辆限速行驶并保持路面清洁，对评价区域大气环境基本无影响。</w:t>
      </w:r>
    </w:p>
    <w:p w14:paraId="7E012CDE">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(2)地表水环境影响分析与评价结论</w:t>
      </w:r>
    </w:p>
    <w:p w14:paraId="67327100">
      <w:pPr>
        <w:pageBreakBefore w:val="0"/>
        <w:widowControl w:val="0"/>
        <w:kinsoku/>
        <w:overflowPunct/>
        <w:autoSpaceDE/>
        <w:autoSpaceDN/>
        <w:bidi w:val="0"/>
        <w:snapToGrid w:val="0"/>
        <w:ind w:left="0" w:leftChars="0" w:firstLine="480" w:firstLineChars="200"/>
        <w:jc w:val="left"/>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本项目</w:t>
      </w:r>
      <w:r>
        <w:rPr>
          <w:rFonts w:hint="eastAsia" w:cs="Times New Roman" w:eastAsiaTheme="minorEastAsia"/>
          <w:color w:val="auto"/>
          <w:sz w:val="24"/>
          <w:highlight w:val="none"/>
          <w:lang w:val="en-US" w:eastAsia="zh-CN"/>
        </w:rPr>
        <w:t>风电场</w:t>
      </w:r>
      <w:r>
        <w:rPr>
          <w:rFonts w:hint="default" w:ascii="Times New Roman" w:hAnsi="Times New Roman" w:cs="Times New Roman" w:eastAsiaTheme="minorEastAsia"/>
          <w:color w:val="auto"/>
          <w:sz w:val="24"/>
          <w:highlight w:val="none"/>
          <w:lang w:val="en-US" w:eastAsia="zh-CN"/>
        </w:rPr>
        <w:t>运营期</w:t>
      </w:r>
      <w:r>
        <w:rPr>
          <w:rFonts w:hint="eastAsia" w:cs="Times New Roman" w:eastAsiaTheme="minorEastAsia"/>
          <w:color w:val="auto"/>
          <w:sz w:val="24"/>
          <w:highlight w:val="none"/>
          <w:lang w:val="en-US" w:eastAsia="zh-CN"/>
        </w:rPr>
        <w:t>无废水产生</w:t>
      </w:r>
      <w:r>
        <w:rPr>
          <w:rFonts w:hint="default" w:ascii="Times New Roman" w:hAnsi="Times New Roman" w:cs="Times New Roman" w:eastAsiaTheme="minorEastAsia"/>
          <w:color w:val="auto"/>
          <w:sz w:val="24"/>
          <w:highlight w:val="none"/>
          <w:lang w:val="en-US" w:eastAsia="zh-CN"/>
        </w:rPr>
        <w:t>。</w:t>
      </w:r>
      <w:r>
        <w:rPr>
          <w:rFonts w:hint="eastAsia" w:ascii="宋体" w:hAnsi="宋体" w:eastAsia="宋体"/>
          <w:color w:val="auto"/>
          <w:sz w:val="24"/>
        </w:rPr>
        <w:t>本项目采用永磁风电机组，配套干式箱式变压器。在严格落实各种管理及防护措施后，运营期各项废水不会对项目区周边水环境带来明显影响。</w:t>
      </w:r>
    </w:p>
    <w:p w14:paraId="69548556">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(3)地下水环境影响分析与评价结论</w:t>
      </w:r>
    </w:p>
    <w:p w14:paraId="4DC656BD">
      <w:pPr>
        <w:pageBreakBefore w:val="0"/>
        <w:widowControl w:val="0"/>
        <w:kinsoku/>
        <w:overflowPunct/>
        <w:autoSpaceDE/>
        <w:autoSpaceDN/>
        <w:bidi w:val="0"/>
        <w:snapToGrid w:val="0"/>
        <w:ind w:left="0" w:leftChars="0" w:firstLine="480" w:firstLineChars="200"/>
        <w:jc w:val="left"/>
        <w:rPr>
          <w:rFonts w:hint="eastAsia" w:ascii="宋体" w:hAnsi="宋体" w:eastAsia="宋体"/>
          <w:sz w:val="24"/>
        </w:rPr>
      </w:pPr>
      <w:r>
        <w:rPr>
          <w:rFonts w:hint="eastAsia" w:ascii="宋体" w:hAnsi="宋体" w:eastAsia="宋体"/>
          <w:sz w:val="24"/>
        </w:rPr>
        <w:t>本项目运营期无废水产生。环评要求建设单位加强运营期管理，禁止设置排污口，避免跑冒滴漏现象发生。风电机组为密闭系统，风机转动部件自身配有空气过滤器、高效油过滤器，能防止油洒落在地面。风机塔基础采用混凝土浇筑，底座铺设防渗材料等，可有效防止油品渗入土壤及地下水环境。</w:t>
      </w:r>
    </w:p>
    <w:p w14:paraId="728A41E8">
      <w:pPr>
        <w:pageBreakBefore w:val="0"/>
        <w:widowControl w:val="0"/>
        <w:kinsoku/>
        <w:overflowPunct/>
        <w:autoSpaceDE/>
        <w:autoSpaceDN/>
        <w:bidi w:val="0"/>
        <w:snapToGrid w:val="0"/>
        <w:jc w:val="left"/>
        <w:rPr>
          <w:rFonts w:hint="eastAsia" w:ascii="宋体" w:hAnsi="宋体" w:eastAsia="宋体"/>
          <w:sz w:val="24"/>
        </w:rPr>
      </w:pPr>
      <w:r>
        <w:rPr>
          <w:rFonts w:hint="eastAsia" w:ascii="宋体" w:hAnsi="宋体" w:eastAsia="宋体"/>
          <w:sz w:val="24"/>
        </w:rPr>
        <w:t>本项目箱式变压器均采用干式变压器。在严格落实各项管理及防护措施后，运营</w:t>
      </w:r>
    </w:p>
    <w:p w14:paraId="3F7BA844">
      <w:pPr>
        <w:pageBreakBefore w:val="0"/>
        <w:widowControl w:val="0"/>
        <w:kinsoku/>
        <w:overflowPunct/>
        <w:autoSpaceDE/>
        <w:autoSpaceDN/>
        <w:bidi w:val="0"/>
        <w:snapToGrid w:val="0"/>
        <w:ind w:left="0" w:leftChars="0" w:firstLine="0" w:firstLineChars="0"/>
        <w:jc w:val="left"/>
        <w:rPr>
          <w:rFonts w:hint="eastAsia" w:ascii="宋体" w:hAnsi="宋体" w:eastAsia="宋体"/>
          <w:sz w:val="24"/>
        </w:rPr>
      </w:pPr>
      <w:r>
        <w:rPr>
          <w:rFonts w:hint="eastAsia" w:ascii="宋体" w:hAnsi="宋体" w:eastAsia="宋体"/>
          <w:sz w:val="24"/>
        </w:rPr>
        <w:t>期各项废水不会对项目区地下水环境带来明显影响。</w:t>
      </w:r>
    </w:p>
    <w:p w14:paraId="00CC3177">
      <w:pPr>
        <w:pageBreakBefore w:val="0"/>
        <w:widowControl w:val="0"/>
        <w:kinsoku/>
        <w:overflowPunct/>
        <w:autoSpaceDE/>
        <w:autoSpaceDN/>
        <w:bidi w:val="0"/>
        <w:snapToGrid w:val="0"/>
        <w:jc w:val="left"/>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(4)声环境影响分析与评价结论</w:t>
      </w:r>
    </w:p>
    <w:p w14:paraId="0B313783">
      <w:pPr>
        <w:pStyle w:val="27"/>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center"/>
        <w:rPr>
          <w:rFonts w:hint="default" w:ascii="Times New Roman" w:hAnsi="Times New Roman" w:cs="Times New Roman" w:eastAsiaTheme="minorEastAsia"/>
          <w:color w:val="FF0000"/>
          <w:sz w:val="24"/>
          <w:szCs w:val="24"/>
          <w:highlight w:val="none"/>
          <w:lang w:val="en-US" w:eastAsia="zh-CN"/>
        </w:rPr>
      </w:pP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由预测结果可知，风电场单个风机，昼间在水平距离50m外、夜间在水平距离160m外的噪声满足《声环境质量标准》(GB3096-2008）中的2类标准，即昼间60dB(A)、夜间50dB(A）的要求。</w:t>
      </w:r>
    </w:p>
    <w:p w14:paraId="517E8896">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 xml:space="preserve">(5)固体废物环境影响分析与评价结论 </w:t>
      </w:r>
    </w:p>
    <w:p w14:paraId="3E314AB3">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项目施工期和运营期各项固体废物均得到了合理妥善处置，不会对环境造成影响。</w:t>
      </w:r>
    </w:p>
    <w:p w14:paraId="366E96FF">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(6)生态环境影响评价结论</w:t>
      </w:r>
    </w:p>
    <w:p w14:paraId="240123A7">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施工期：根据项目的建设内容及性质，本项目对生态环境的影响主要在施工期。施工期对区域生态环境有一定影响，但从整个区域来讲，其影响是局部的，且是临时性的，随着施工结束影响基本消失。</w:t>
      </w:r>
    </w:p>
    <w:p w14:paraId="5F6B8463">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运营期：本项目建成后，永久建筑改变了用地类型，占地范围内的植被将完全被破坏，但可以通过生态恢复方式减少由此造成的植被损失。风电设施运行、维护人员的活动等会干扰影响周边野生动物的生存环境。根据现场调查，评价区内人为活动频繁，评价区内分布的动物以区域内常见种为主，且适应性、抗干扰性强。因此，项目运营期对生态影响较小。</w:t>
      </w:r>
    </w:p>
    <w:p w14:paraId="3C323990">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w:t>
      </w:r>
      <w:r>
        <w:rPr>
          <w:rFonts w:hint="eastAsia" w:cs="Times New Roman" w:eastAsiaTheme="minorEastAsia"/>
          <w:color w:val="auto"/>
          <w:sz w:val="24"/>
          <w:highlight w:val="none"/>
          <w:lang w:val="en-US" w:eastAsia="zh-CN"/>
        </w:rPr>
        <w:t>7</w:t>
      </w:r>
      <w:r>
        <w:rPr>
          <w:rFonts w:hint="default" w:ascii="Times New Roman" w:hAnsi="Times New Roman" w:cs="Times New Roman" w:eastAsiaTheme="minorEastAsia"/>
          <w:color w:val="auto"/>
          <w:sz w:val="24"/>
          <w:highlight w:val="none"/>
          <w:lang w:val="en-US" w:eastAsia="zh-CN"/>
        </w:rPr>
        <w:t xml:space="preserve">)环境风险影响预测与评价结论 </w:t>
      </w:r>
    </w:p>
    <w:p w14:paraId="5A9E982B">
      <w:pPr>
        <w:pageBreakBefore w:val="0"/>
        <w:widowControl w:val="0"/>
        <w:kinsoku/>
        <w:overflowPunct/>
        <w:autoSpaceDE/>
        <w:autoSpaceDN/>
        <w:bidi w:val="0"/>
        <w:snapToGrid w:val="0"/>
        <w:ind w:left="0" w:leftChars="0" w:firstLine="480" w:firstLineChars="200"/>
        <w:jc w:val="left"/>
        <w:rPr>
          <w:rFonts w:hint="default" w:ascii="Times New Roman" w:hAnsi="Times New Roman" w:cs="Times New Roman" w:eastAsiaTheme="minorEastAsia"/>
          <w:color w:val="auto"/>
          <w:sz w:val="24"/>
          <w:highlight w:val="none"/>
          <w:lang w:val="en-US" w:eastAsia="zh-CN"/>
        </w:rPr>
      </w:pPr>
      <w:r>
        <w:rPr>
          <w:rFonts w:hint="eastAsia" w:ascii="宋体" w:hAnsi="宋体" w:eastAsia="宋体"/>
          <w:color w:val="auto"/>
          <w:sz w:val="24"/>
        </w:rPr>
        <w:t>本项目环境风险潜势为</w:t>
      </w:r>
      <w:r>
        <w:rPr>
          <w:rFonts w:hint="eastAsia" w:ascii="TimesNewRomanPSMT" w:hAnsi="TimesNewRomanPSMT" w:eastAsia="TimesNewRomanPSMT"/>
          <w:color w:val="auto"/>
          <w:sz w:val="24"/>
        </w:rPr>
        <w:t>Ⅰ</w:t>
      </w:r>
      <w:r>
        <w:rPr>
          <w:rFonts w:hint="eastAsia" w:ascii="宋体" w:hAnsi="宋体" w:eastAsia="宋体"/>
          <w:color w:val="auto"/>
          <w:sz w:val="24"/>
        </w:rPr>
        <w:t>，为简单分析。本项目涉及的主要危险性物质主要为润滑油、液压油。项目存在发生风险事故的可能，但概率很低，且由于其不属于重大危险源，发生环境风险事故的后果较小，在可以接受的范围内。通过加强防范措施及配备相应应急救援物资并编制突发环境事件应急预案，可以最大限度地减少风险事故的。该项目环境风险处于可接受水平，制定的风险管理措施和应急预案有效可靠，从环境风险角度分析该项目建设可行</w:t>
      </w:r>
      <w:r>
        <w:rPr>
          <w:rFonts w:hint="default" w:ascii="Times New Roman" w:hAnsi="Times New Roman" w:cs="Times New Roman" w:eastAsiaTheme="minorEastAsia"/>
          <w:color w:val="auto"/>
          <w:sz w:val="24"/>
          <w:highlight w:val="none"/>
          <w:lang w:val="en-US" w:eastAsia="zh-CN"/>
        </w:rPr>
        <w:t>。</w:t>
      </w:r>
    </w:p>
    <w:p w14:paraId="7E967A11">
      <w:pPr>
        <w:pStyle w:val="11"/>
        <w:keepNext/>
        <w:keepLines/>
        <w:pageBreakBefore w:val="0"/>
        <w:widowControl w:val="0"/>
        <w:kinsoku/>
        <w:wordWrap/>
        <w:overflowPunct/>
        <w:topLinePunct w:val="0"/>
        <w:autoSpaceDE/>
        <w:autoSpaceDN/>
        <w:bidi w:val="0"/>
        <w:adjustRightInd/>
        <w:snapToGrid w:val="0"/>
        <w:spacing w:beforeLines="0" w:afterLines="0"/>
        <w:ind w:left="0"/>
        <w:textAlignment w:val="auto"/>
        <w:outlineLvl w:val="2"/>
        <w:rPr>
          <w:rFonts w:hint="default" w:ascii="Times New Roman" w:hAnsi="Times New Roman" w:cs="Times New Roman" w:eastAsiaTheme="minorEastAsia"/>
          <w:color w:val="auto"/>
          <w:highlight w:val="none"/>
          <w:lang w:val="en-US" w:eastAsia="zh-CN"/>
        </w:rPr>
      </w:pPr>
      <w:bookmarkStart w:id="570" w:name="_Toc20195"/>
      <w:r>
        <w:rPr>
          <w:rFonts w:hint="default" w:ascii="Times New Roman" w:hAnsi="Times New Roman" w:cs="Times New Roman" w:eastAsiaTheme="minorEastAsia"/>
          <w:color w:val="auto"/>
          <w:highlight w:val="none"/>
          <w:lang w:val="en-US" w:eastAsia="zh-CN"/>
        </w:rPr>
        <w:t>9.1.</w:t>
      </w:r>
      <w:r>
        <w:rPr>
          <w:rFonts w:hint="eastAsia" w:cs="Times New Roman" w:eastAsiaTheme="minorEastAsia"/>
          <w:color w:val="auto"/>
          <w:highlight w:val="none"/>
          <w:lang w:val="en-US" w:eastAsia="zh-CN"/>
        </w:rPr>
        <w:t>5</w:t>
      </w:r>
      <w:r>
        <w:rPr>
          <w:rFonts w:hint="default" w:ascii="Times New Roman" w:hAnsi="Times New Roman" w:cs="Times New Roman" w:eastAsiaTheme="minorEastAsia"/>
          <w:color w:val="auto"/>
          <w:highlight w:val="none"/>
          <w:lang w:val="en-US" w:eastAsia="zh-CN"/>
        </w:rPr>
        <w:t xml:space="preserve"> 综合结论</w:t>
      </w:r>
      <w:bookmarkEnd w:id="570"/>
    </w:p>
    <w:p w14:paraId="39727483">
      <w:pPr>
        <w:pageBreakBefore w:val="0"/>
        <w:widowControl w:val="0"/>
        <w:kinsoku/>
        <w:overflowPunct/>
        <w:autoSpaceDE/>
        <w:autoSpaceDN/>
        <w:bidi w:val="0"/>
        <w:snapToGrid w:val="0"/>
        <w:ind w:left="0" w:leftChars="0" w:firstLine="480" w:firstLineChars="200"/>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color w:val="auto"/>
          <w:sz w:val="24"/>
          <w:szCs w:val="24"/>
          <w:highlight w:val="none"/>
          <w:lang w:val="en-US" w:eastAsia="zh-CN"/>
        </w:rPr>
        <w:t>本项目的建设符合国家产业政策、相关规划及环保政策要求，项目施工所产生的废水、废气、噪声和固体废物等不利影响属短期影响，施工期、运营期严格按照本次评价提出的各项污染防治措施，对</w:t>
      </w:r>
      <w:r>
        <w:rPr>
          <w:rFonts w:hint="eastAsia" w:ascii="Times New Roman" w:hAnsi="Times New Roman" w:cs="Times New Roman" w:eastAsiaTheme="minorEastAsia"/>
          <w:b w:val="0"/>
          <w:bCs w:val="0"/>
          <w:color w:val="auto"/>
          <w:spacing w:val="5"/>
          <w:position w:val="1"/>
          <w:sz w:val="24"/>
          <w:szCs w:val="24"/>
          <w:highlight w:val="none"/>
          <w:lang w:val="en-US" w:eastAsia="zh-CN"/>
        </w:rPr>
        <w:t>西山地下饮用水源地二级保护区</w:t>
      </w:r>
      <w:r>
        <w:rPr>
          <w:rFonts w:hint="eastAsia" w:ascii="Times New Roman" w:hAnsi="Times New Roman" w:cs="Times New Roman"/>
          <w:b w:val="0"/>
          <w:bCs w:val="0"/>
          <w:color w:val="auto"/>
          <w:spacing w:val="5"/>
          <w:position w:val="1"/>
          <w:sz w:val="24"/>
          <w:szCs w:val="24"/>
          <w:highlight w:val="none"/>
          <w:lang w:val="en-US" w:eastAsia="zh-CN"/>
        </w:rPr>
        <w:t>、</w:t>
      </w:r>
      <w:r>
        <w:rPr>
          <w:rFonts w:hint="eastAsia" w:ascii="Times New Roman" w:hAnsi="Times New Roman" w:cs="Times New Roman" w:eastAsiaTheme="minorEastAsia"/>
          <w:b w:val="0"/>
          <w:bCs w:val="0"/>
          <w:color w:val="auto"/>
          <w:spacing w:val="5"/>
          <w:position w:val="1"/>
          <w:sz w:val="24"/>
          <w:szCs w:val="24"/>
          <w:highlight w:val="none"/>
          <w:lang w:val="en-US" w:eastAsia="zh-CN"/>
        </w:rPr>
        <w:t>甘河子（含铁路专供）地下饮用水源地二级保护区</w:t>
      </w:r>
      <w:r>
        <w:rPr>
          <w:rFonts w:hint="eastAsia" w:cs="Times New Roman" w:eastAsiaTheme="minorEastAsia"/>
          <w:b w:val="0"/>
          <w:bCs w:val="0"/>
          <w:color w:val="auto"/>
          <w:spacing w:val="5"/>
          <w:position w:val="1"/>
          <w:sz w:val="24"/>
          <w:szCs w:val="24"/>
          <w:highlight w:val="none"/>
          <w:lang w:val="en-US" w:eastAsia="zh-CN"/>
        </w:rPr>
        <w:t>及</w:t>
      </w:r>
      <w:r>
        <w:rPr>
          <w:rFonts w:hint="default" w:ascii="Times New Roman" w:hAnsi="Times New Roman" w:cs="Times New Roman" w:eastAsiaTheme="minorEastAsia"/>
          <w:color w:val="auto"/>
          <w:sz w:val="24"/>
          <w:szCs w:val="24"/>
          <w:highlight w:val="none"/>
          <w:lang w:val="en-US" w:eastAsia="zh-CN"/>
        </w:rPr>
        <w:t>乌拉泊、柴西、柴北、西山、甘河子（含铁路专供）准保护区影响较小。</w:t>
      </w:r>
    </w:p>
    <w:p w14:paraId="2F6F99C9">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color w:val="auto"/>
          <w:sz w:val="24"/>
          <w:szCs w:val="24"/>
          <w:highlight w:val="none"/>
          <w:lang w:val="en-US" w:eastAsia="zh-CN"/>
        </w:rPr>
        <w:t>在认真落实各项生态保护措施和相应的污染治理措施后，本项目对区域生态及环境的影响可以控制在可接受的水平；公众参与期间未收到群众反馈意见。</w:t>
      </w:r>
    </w:p>
    <w:p w14:paraId="1768EA2A">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color w:val="auto"/>
          <w:sz w:val="24"/>
          <w:szCs w:val="24"/>
          <w:highlight w:val="none"/>
          <w:lang w:val="en-US" w:eastAsia="zh-CN"/>
        </w:rPr>
        <w:t>在落实并保证以上条件实施的前提下，从环保角度分析，该项目的建设是可行的。</w:t>
      </w:r>
    </w:p>
    <w:p w14:paraId="31F8792A">
      <w:pPr>
        <w:pStyle w:val="4"/>
        <w:keepNext/>
        <w:keepLines/>
        <w:pageBreakBefore w:val="0"/>
        <w:widowControl w:val="0"/>
        <w:numPr>
          <w:ilvl w:val="0"/>
          <w:numId w:val="0"/>
        </w:numPr>
        <w:tabs>
          <w:tab w:val="left" w:pos="630"/>
          <w:tab w:val="left" w:pos="3403"/>
        </w:tabs>
        <w:kinsoku/>
        <w:wordWrap w:val="0"/>
        <w:overflowPunct/>
        <w:topLinePunct w:val="0"/>
        <w:autoSpaceDE/>
        <w:autoSpaceDN/>
        <w:bidi w:val="0"/>
        <w:adjustRightInd/>
        <w:snapToGrid w:val="0"/>
        <w:spacing w:beforeLines="0" w:after="0" w:afterLines="0" w:line="360" w:lineRule="auto"/>
        <w:ind w:left="0" w:leftChars="0"/>
        <w:textAlignment w:val="auto"/>
        <w:outlineLvl w:val="1"/>
        <w:rPr>
          <w:rFonts w:hint="default" w:ascii="Times New Roman" w:hAnsi="Times New Roman" w:cs="Times New Roman" w:eastAsiaTheme="minorEastAsia"/>
          <w:color w:val="auto"/>
          <w:sz w:val="30"/>
          <w:highlight w:val="none"/>
          <w:lang w:val="en-US" w:eastAsia="zh-CN"/>
        </w:rPr>
      </w:pPr>
      <w:bookmarkStart w:id="571" w:name="_bookmark56"/>
      <w:bookmarkEnd w:id="571"/>
      <w:bookmarkStart w:id="572" w:name="_Toc20330"/>
      <w:bookmarkStart w:id="573" w:name="_Toc31442"/>
      <w:bookmarkStart w:id="574" w:name="_Toc1997"/>
      <w:r>
        <w:rPr>
          <w:rFonts w:hint="default" w:ascii="Times New Roman" w:hAnsi="Times New Roman" w:cs="Times New Roman" w:eastAsiaTheme="minorEastAsia"/>
          <w:color w:val="auto"/>
          <w:sz w:val="30"/>
          <w:highlight w:val="none"/>
          <w:lang w:val="en-US" w:eastAsia="zh-CN"/>
        </w:rPr>
        <w:t>9.2 要求与建议</w:t>
      </w:r>
      <w:bookmarkEnd w:id="572"/>
      <w:bookmarkEnd w:id="573"/>
      <w:bookmarkEnd w:id="574"/>
    </w:p>
    <w:p w14:paraId="413B4CB1">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(1)倡导文明施工，保护好周边植被，尽最大可能防止产生新的水土流失，无法避免的必须在完工时及时进行生态恢复。</w:t>
      </w:r>
    </w:p>
    <w:p w14:paraId="44E83D27">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(2)严格落实本次评价提出的各项对水源保护区、准保护区等环境保护目标的环境保护措施。</w:t>
      </w:r>
    </w:p>
    <w:p w14:paraId="1DCFD4BE">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(3)项目运营后严格管理，加强巡视，以防发生风险时对水源地水质造成危害。</w:t>
      </w:r>
    </w:p>
    <w:p w14:paraId="1B909D1B">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rPr>
          <w:rFonts w:hint="default" w:ascii="Times New Roman" w:hAnsi="Times New Roman" w:cs="Times New Roman" w:eastAsiaTheme="minorEastAsia"/>
          <w:color w:val="FF0000"/>
          <w:highlight w:val="none"/>
          <w:lang w:val="en-US" w:eastAsia="zh-CN"/>
        </w:rPr>
      </w:pPr>
    </w:p>
    <w:sectPr>
      <w:pgSz w:w="11906" w:h="16838"/>
      <w:pgMar w:top="1418" w:right="1361" w:bottom="1418" w:left="1587" w:header="1077" w:footer="992" w:gutter="0"/>
      <w:pgBorders>
        <w:top w:val="none" w:sz="0" w:space="0"/>
        <w:left w:val="none" w:sz="0" w:space="0"/>
        <w:bottom w:val="none" w:sz="0" w:space="0"/>
        <w:right w:val="none" w:sz="0" w:space="0"/>
      </w:pgBorders>
      <w:pgNumType w:fmt="decimal"/>
      <w:cols w:space="720" w:num="1"/>
      <w:docGrid w:type="linesAndChar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left="560"/>
      </w:pPr>
      <w:r>
        <w:separator/>
      </w:r>
    </w:p>
  </w:endnote>
  <w:endnote w:type="continuationSeparator" w:id="1">
    <w:p>
      <w:pPr>
        <w:spacing w:line="240" w:lineRule="auto"/>
        <w:ind w:left="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楷体">
    <w:panose1 w:val="02010609060101010101"/>
    <w:charset w:val="86"/>
    <w:family w:val="modern"/>
    <w:pitch w:val="default"/>
    <w:sig w:usb0="800002BF" w:usb1="38CF7CFA" w:usb2="00000016" w:usb3="00000000" w:csb0="00040001" w:csb1="00000000"/>
  </w:font>
  <w:font w:name="Courier">
    <w:altName w:val="Courier New"/>
    <w:panose1 w:val="02060409020205020404"/>
    <w:charset w:val="00"/>
    <w:family w:val="auto"/>
    <w:pitch w:val="default"/>
    <w:sig w:usb0="00000000" w:usb1="00000000" w:usb2="00000000" w:usb3="00000000" w:csb0="00000000" w:csb1="00000000"/>
  </w:font>
  <w:font w:name="Geneva">
    <w:altName w:val="Arial"/>
    <w:panose1 w:val="020B0503030404040204"/>
    <w:charset w:val="00"/>
    <w:family w:val="swiss"/>
    <w:pitch w:val="default"/>
    <w:sig w:usb0="00000000" w:usb1="00000000" w:usb2="00000000" w:usb3="00000000" w:csb0="00000000" w:csb1="00000000"/>
  </w:font>
  <w:font w:name="ˎ̥">
    <w:altName w:val="Times New Roman"/>
    <w:panose1 w:val="00000000000000000000"/>
    <w:charset w:val="00"/>
    <w:family w:val="roman"/>
    <w:pitch w:val="default"/>
    <w:sig w:usb0="00000000" w:usb1="00000000" w:usb2="00000000" w:usb3="00000000" w:csb0="00040001" w:csb1="00000000"/>
  </w:font>
  <w:font w:name="Verdana, Arial, 宋体">
    <w:altName w:val="宋体"/>
    <w:panose1 w:val="00000000000000000000"/>
    <w:charset w:val="86"/>
    <w:family w:val="roman"/>
    <w:pitch w:val="default"/>
    <w:sig w:usb0="00000000" w:usb1="00000000" w:usb2="00000010" w:usb3="00000000" w:csb0="00040000" w:csb1="00000000"/>
  </w:font>
  <w:font w:name="_x0010_">
    <w:altName w:val="Times New Roman"/>
    <w:panose1 w:val="00000000000000000000"/>
    <w:charset w:val="00"/>
    <w:family w:val="roman"/>
    <w:pitch w:val="default"/>
    <w:sig w:usb0="00000000" w:usb1="00000000" w:usb2="00000000" w:usb3="00000000" w:csb0="00040001" w:csb1="00000000"/>
  </w:font>
  <w:font w:name="Arial Black">
    <w:panose1 w:val="020B0A04020102020204"/>
    <w:charset w:val="00"/>
    <w:family w:val="swiss"/>
    <w:pitch w:val="default"/>
    <w:sig w:usb0="00000287" w:usb1="00000000" w:usb2="00000000" w:usb3="00000000" w:csb0="2000009F" w:csb1="DFD70000"/>
  </w:font>
  <w:font w:name="华文仿宋">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10006FF" w:usb1="4000205B" w:usb2="00000010" w:usb3="00000000" w:csb0="2000019F" w:csb1="00000000"/>
  </w:font>
  <w:font w:name="HiddenHorzOCl">
    <w:altName w:val="宋体"/>
    <w:panose1 w:val="00000000000000000000"/>
    <w:charset w:val="86"/>
    <w:family w:val="swiss"/>
    <w:pitch w:val="default"/>
    <w:sig w:usb0="00000000" w:usb1="00000000" w:usb2="00000010" w:usb3="00000000" w:csb0="00040000" w:csb1="00000000"/>
  </w:font>
  <w:font w:name="五">
    <w:altName w:val="黑体"/>
    <w:panose1 w:val="00000000000000000000"/>
    <w:charset w:val="86"/>
    <w:family w:val="auto"/>
    <w:pitch w:val="default"/>
    <w:sig w:usb0="00000000" w:usb1="00000000" w:usb2="00000010" w:usb3="00000000" w:csb0="00040000" w:csb1="00000000"/>
  </w:font>
  <w:font w:name="华文楷体">
    <w:panose1 w:val="02010600040101010101"/>
    <w:charset w:val="86"/>
    <w:family w:val="auto"/>
    <w:pitch w:val="default"/>
    <w:sig w:usb0="00000287" w:usb1="080F0000" w:usb2="00000000" w:usb3="00000000" w:csb0="0004009F" w:csb1="DFD70000"/>
  </w:font>
  <w:font w:name="楷体_GB2312">
    <w:altName w:val="楷体"/>
    <w:panose1 w:val="02010609030101010101"/>
    <w:charset w:val="86"/>
    <w:family w:val="modern"/>
    <w:pitch w:val="default"/>
    <w:sig w:usb0="00000000" w:usb1="0000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Tahoma">
    <w:panose1 w:val="020B0604030504040204"/>
    <w:charset w:val="00"/>
    <w:family w:val="swiss"/>
    <w:pitch w:val="default"/>
    <w:sig w:usb0="E1002EFF" w:usb1="C000605B" w:usb2="00000029" w:usb3="00000000" w:csb0="200101FF" w:csb1="20280000"/>
  </w:font>
  <w:font w:name="TimesNewRomanPSMT">
    <w:altName w:val="Times New Roman"/>
    <w:panose1 w:val="00000000000000000000"/>
    <w:charset w:val="80"/>
    <w:family w:val="auto"/>
    <w:pitch w:val="default"/>
    <w:sig w:usb0="00000000" w:usb1="00000000" w:usb2="00000000" w:usb3="00000000" w:csb0="00020000" w:csb1="00000000"/>
  </w:font>
  <w:font w:name="Wingdings 2">
    <w:panose1 w:val="05020102010507070707"/>
    <w:charset w:val="00"/>
    <w:family w:val="auto"/>
    <w:pitch w:val="default"/>
    <w:sig w:usb0="00000000" w:usb1="00000000" w:usb2="00000000" w:usb3="00000000" w:csb0="80000000"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2B185D">
    <w:pPr>
      <w:pStyle w:val="52"/>
      <w:jc w:val="both"/>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4C8F53">
    <w:pPr>
      <w:pStyle w:val="52"/>
      <w:tabs>
        <w:tab w:val="center" w:pos="4479"/>
        <w:tab w:val="clear" w:pos="4153"/>
      </w:tabs>
      <w:jc w:val="both"/>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2" name="文本框 2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444886">
                          <w:pPr>
                            <w:pStyle w:val="52"/>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M6iWgNAIAAGUEAAAOAAAAAAAAAAEAIAAAAB8BAABkcnMvZTJvRG9jLnhtbFBL&#10;BQYAAAAABgAGAFkBAADFBQAAAAA=&#10;">
              <v:fill on="f" focussize="0,0"/>
              <v:stroke on="f" weight="0.5pt"/>
              <v:imagedata o:title=""/>
              <o:lock v:ext="edit" aspectratio="f"/>
              <v:textbox inset="0mm,0mm,0mm,0mm" style="mso-fit-shape-to-text:t;">
                <w:txbxContent>
                  <w:p w14:paraId="08444886">
                    <w:pPr>
                      <w:pStyle w:val="52"/>
                    </w:pPr>
                    <w:r>
                      <w:fldChar w:fldCharType="begin"/>
                    </w:r>
                    <w:r>
                      <w:instrText xml:space="preserve"> PAGE  \* MERGEFORMAT </w:instrText>
                    </w:r>
                    <w:r>
                      <w:fldChar w:fldCharType="separate"/>
                    </w:r>
                    <w:r>
                      <w:t>I</w:t>
                    </w:r>
                    <w:r>
                      <w:fldChar w:fldCharType="end"/>
                    </w:r>
                  </w:p>
                </w:txbxContent>
              </v:textbox>
            </v:shape>
          </w:pict>
        </mc:Fallback>
      </mc:AlternateContent>
    </w:r>
    <w:r>
      <w:rPr>
        <w:rFonts w:hint="eastAsia"/>
        <w:lang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F25C40">
    <w:pPr>
      <w:spacing w:line="240" w:lineRule="auto"/>
      <w:ind w:firstLine="720" w:firstLineChars="300"/>
      <w:rPr>
        <w:rFonts w:hint="eastAsia" w:ascii="宋体" w:hAnsi="宋体" w:eastAsia="宋体" w:cs="宋体"/>
        <w:sz w:val="18"/>
        <w:szCs w:val="18"/>
        <w:lang w:val="en-US" w:eastAsia="zh-CN"/>
      </w:rPr>
    </w:pPr>
    <w:r>
      <w:rPr>
        <w:sz w:val="24"/>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5" name="文本框 2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D5C260">
                          <w:pPr>
                            <w:pStyle w:val="52"/>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HsE0AgAAZ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f0x7BNAIAAGUEAAAOAAAAAAAAAAEAIAAAAB8BAABkcnMvZTJvRG9jLnhtbFBL&#10;BQYAAAAABgAGAFkBAADFBQAAAAA=&#10;">
              <v:fill on="f" focussize="0,0"/>
              <v:stroke on="f" weight="0.5pt"/>
              <v:imagedata o:title=""/>
              <o:lock v:ext="edit" aspectratio="f"/>
              <v:textbox inset="0mm,0mm,0mm,0mm" style="mso-fit-shape-to-text:t;">
                <w:txbxContent>
                  <w:p w14:paraId="27D5C260">
                    <w:pPr>
                      <w:pStyle w:val="52"/>
                    </w:pPr>
                    <w:r>
                      <w:fldChar w:fldCharType="begin"/>
                    </w:r>
                    <w:r>
                      <w:instrText xml:space="preserve"> PAGE  \* MERGEFORMAT </w:instrText>
                    </w:r>
                    <w:r>
                      <w:fldChar w:fldCharType="separate"/>
                    </w:r>
                    <w:r>
                      <w:t>I</w:t>
                    </w:r>
                    <w:r>
                      <w:fldChar w:fldCharType="end"/>
                    </w:r>
                  </w:p>
                </w:txbxContent>
              </v:textbox>
            </v:shape>
          </w:pict>
        </mc:Fallback>
      </mc:AlternateContent>
    </w:r>
    <w:r>
      <w:ptab w:relativeTo="margin" w:alignment="left" w:leader="none"/>
    </w:r>
    <w:r>
      <w:rPr>
        <w:rFonts w:hint="eastAsia" w:ascii="宋体" w:hAnsi="宋体" w:eastAsia="宋体" w:cs="宋体"/>
        <w:sz w:val="18"/>
        <w:szCs w:val="18"/>
        <w:lang w:val="en-US" w:eastAsia="zh-CN"/>
      </w:rPr>
      <w:tab/>
    </w:r>
  </w:p>
  <w:p w14:paraId="294556D7">
    <w:pPr>
      <w:tabs>
        <w:tab w:val="left" w:pos="5892"/>
      </w:tabs>
      <w:spacing w:line="240" w:lineRule="auto"/>
      <w:ind w:firstLine="720" w:firstLineChars="400"/>
      <w:rPr>
        <w:rFonts w:hint="eastAsia" w:ascii="宋体" w:hAnsi="宋体" w:eastAsia="宋体" w:cs="宋体"/>
        <w:sz w:val="18"/>
        <w:szCs w:val="18"/>
      </w:rPr>
    </w:pPr>
    <w:r>
      <w:rPr>
        <w:rFonts w:hint="eastAsia" w:cs="宋体"/>
        <w:sz w:val="18"/>
        <w:szCs w:val="18"/>
        <w:lang w:val="en-US" w:eastAsia="zh-CN"/>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3035AD">
    <w:pPr>
      <w:spacing w:line="240" w:lineRule="auto"/>
      <w:ind w:firstLine="720" w:firstLineChars="300"/>
      <w:jc w:val="left"/>
      <w:rPr>
        <w:rFonts w:hint="eastAsia" w:ascii="宋体" w:hAnsi="宋体" w:eastAsia="宋体" w:cs="宋体"/>
        <w:sz w:val="18"/>
        <w:szCs w:val="18"/>
        <w:lang w:val="en-US" w:eastAsia="zh-CN"/>
      </w:rPr>
    </w:pPr>
    <w:r>
      <w:rPr>
        <w:sz w:val="24"/>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80" name="文本框 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983167">
                          <w:pPr>
                            <w:pStyle w:val="52"/>
                          </w:pPr>
                          <w:r>
                            <w:fldChar w:fldCharType="begin"/>
                          </w:r>
                          <w:r>
                            <w:instrText xml:space="preserve"> PAGE  \* MERGEFORMAT </w:instrText>
                          </w:r>
                          <w:r>
                            <w:fldChar w:fldCharType="separate"/>
                          </w:r>
                          <w:r>
                            <w:t>LX</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yWR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ziC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7JZFzICAABjBAAADgAAAAAAAAABACAAAAAfAQAAZHJzL2Uyb0RvYy54bWxQSwUG&#10;AAAAAAYABgBZAQAAwwUAAAAA&#10;">
              <v:fill on="f" focussize="0,0"/>
              <v:stroke on="f" weight="0.5pt"/>
              <v:imagedata o:title=""/>
              <o:lock v:ext="edit" aspectratio="f"/>
              <v:textbox inset="0mm,0mm,0mm,0mm" style="mso-fit-shape-to-text:t;">
                <w:txbxContent>
                  <w:p w14:paraId="6F983167">
                    <w:pPr>
                      <w:pStyle w:val="52"/>
                    </w:pPr>
                    <w:r>
                      <w:fldChar w:fldCharType="begin"/>
                    </w:r>
                    <w:r>
                      <w:instrText xml:space="preserve"> PAGE  \* MERGEFORMAT </w:instrText>
                    </w:r>
                    <w:r>
                      <w:fldChar w:fldCharType="separate"/>
                    </w:r>
                    <w:r>
                      <w:t>LX</w:t>
                    </w:r>
                    <w:r>
                      <w:fldChar w:fldCharType="end"/>
                    </w:r>
                  </w:p>
                </w:txbxContent>
              </v:textbox>
            </v:shape>
          </w:pict>
        </mc:Fallback>
      </mc:AlternateContent>
    </w:r>
    <w:r>
      <w:rPr>
        <w:rFonts w:hint="eastAsia" w:ascii="宋体" w:hAnsi="宋体" w:eastAsia="宋体" w:cs="宋体"/>
        <w:sz w:val="18"/>
        <w:szCs w:val="18"/>
        <w:lang w:val="en-US" w:eastAsia="zh-CN"/>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4CEAAA">
    <w:pPr>
      <w:spacing w:line="240" w:lineRule="auto"/>
      <w:ind w:firstLine="720" w:firstLineChars="300"/>
      <w:jc w:val="left"/>
      <w:rPr>
        <w:rFonts w:hint="eastAsia" w:ascii="宋体" w:hAnsi="宋体" w:eastAsia="宋体" w:cs="宋体"/>
        <w:sz w:val="18"/>
        <w:szCs w:val="18"/>
        <w:lang w:val="en-US" w:eastAsia="zh-CN"/>
      </w:rPr>
    </w:pPr>
    <w:r>
      <w:rPr>
        <w:sz w:val="24"/>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6" name="文本框 2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F58921">
                          <w:pPr>
                            <w:pStyle w:val="52"/>
                          </w:pPr>
                          <w:r>
                            <w:fldChar w:fldCharType="begin"/>
                          </w:r>
                          <w:r>
                            <w:instrText xml:space="preserve"> PAGE  \* MERGEFORMAT </w:instrText>
                          </w:r>
                          <w:r>
                            <w:fldChar w:fldCharType="separate"/>
                          </w:r>
                          <w:r>
                            <w:t>LX</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jEcy/NAIAAGUEAAAOAAAAAAAAAAEAIAAAAB8BAABkcnMvZTJvRG9jLnhtbFBL&#10;BQYAAAAABgAGAFkBAADFBQAAAAA=&#10;">
              <v:fill on="f" focussize="0,0"/>
              <v:stroke on="f" weight="0.5pt"/>
              <v:imagedata o:title=""/>
              <o:lock v:ext="edit" aspectratio="f"/>
              <v:textbox inset="0mm,0mm,0mm,0mm" style="mso-fit-shape-to-text:t;">
                <w:txbxContent>
                  <w:p w14:paraId="71F58921">
                    <w:pPr>
                      <w:pStyle w:val="52"/>
                    </w:pPr>
                    <w:r>
                      <w:fldChar w:fldCharType="begin"/>
                    </w:r>
                    <w:r>
                      <w:instrText xml:space="preserve"> PAGE  \* MERGEFORMAT </w:instrText>
                    </w:r>
                    <w:r>
                      <w:fldChar w:fldCharType="separate"/>
                    </w:r>
                    <w:r>
                      <w:t>LX</w:t>
                    </w:r>
                    <w:r>
                      <w:fldChar w:fldCharType="end"/>
                    </w:r>
                  </w:p>
                </w:txbxContent>
              </v:textbox>
            </v:shape>
          </w:pict>
        </mc:Fallback>
      </mc:AlternateContent>
    </w:r>
    <w:r>
      <w:rPr>
        <w:rFonts w:hint="eastAsia" w:ascii="宋体" w:hAnsi="宋体" w:eastAsia="宋体" w:cs="宋体"/>
        <w:sz w:val="18"/>
        <w:szCs w:val="18"/>
        <w:lang w:val="en-US" w:eastAsia="zh-CN"/>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811DC2">
    <w:pPr>
      <w:pStyle w:val="52"/>
      <w:spacing w:line="240" w:lineRule="auto"/>
      <w:ind w:left="0" w:leftChars="0" w:firstLine="0" w:firstLineChars="0"/>
    </w:pPr>
    <w:r>
      <w:rPr>
        <w:sz w:val="18"/>
      </w:rPr>
      <mc:AlternateContent>
        <mc:Choice Requires="wps">
          <w:drawing>
            <wp:anchor distT="0" distB="0" distL="114300" distR="114300" simplePos="0" relativeHeight="251663360" behindDoc="0" locked="0" layoutInCell="1" allowOverlap="1">
              <wp:simplePos x="0" y="0"/>
              <wp:positionH relativeFrom="margin">
                <wp:posOffset>2755265</wp:posOffset>
              </wp:positionH>
              <wp:positionV relativeFrom="paragraph">
                <wp:posOffset>-69215</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223ED3">
                          <w:pPr>
                            <w:pStyle w:val="52"/>
                            <w:ind w:left="0" w:leftChars="0" w:firstLine="0" w:firstLineChars="0"/>
                            <w:jc w:val="both"/>
                          </w:pPr>
                          <w:r>
                            <w:fldChar w:fldCharType="begin"/>
                          </w:r>
                          <w:r>
                            <w:instrText xml:space="preserve"> PAGE  \* MERGEFORMAT </w:instrText>
                          </w:r>
                          <w:r>
                            <w:fldChar w:fldCharType="separate"/>
                          </w:r>
                          <w:r>
                            <w:t>120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16.95pt;margin-top:-5.45pt;height:144pt;width:144pt;mso-position-horizontal-relative:margin;mso-wrap-style:none;z-index:251663360;mso-width-relative:page;mso-height-relative:page;" filled="f" stroked="f" coordsize="21600,21600" o:gfxdata="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32MY72AAAAAsBAAAPAAAAAAAAAAEAIAAAACIAAABkcnMvZG93bnJldi54&#10;bWxQSwECFAAUAAAACACHTuJASvKICDMCAABjBAAADgAAAAAAAAABACAAAAAnAQAAZHJzL2Uyb0Rv&#10;Yy54bWxQSwUGAAAAAAYABgBZAQAAzAUAAAAA&#10;">
              <v:fill on="f" focussize="0,0"/>
              <v:stroke on="f" weight="0.5pt"/>
              <v:imagedata o:title=""/>
              <o:lock v:ext="edit" aspectratio="f"/>
              <v:textbox inset="0mm,0mm,0mm,0mm" style="mso-fit-shape-to-text:t;">
                <w:txbxContent>
                  <w:p w14:paraId="0A223ED3">
                    <w:pPr>
                      <w:pStyle w:val="52"/>
                      <w:ind w:left="0" w:leftChars="0" w:firstLine="0" w:firstLineChars="0"/>
                      <w:jc w:val="both"/>
                    </w:pPr>
                    <w:r>
                      <w:fldChar w:fldCharType="begin"/>
                    </w:r>
                    <w:r>
                      <w:instrText xml:space="preserve"> PAGE  \* MERGEFORMAT </w:instrText>
                    </w:r>
                    <w:r>
                      <w:fldChar w:fldCharType="separate"/>
                    </w:r>
                    <w:r>
                      <w:t>120</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left="560"/>
      </w:pPr>
      <w:r>
        <w:separator/>
      </w:r>
    </w:p>
  </w:footnote>
  <w:footnote w:type="continuationSeparator" w:id="1">
    <w:p>
      <w:pPr>
        <w:spacing w:line="360" w:lineRule="auto"/>
        <w:ind w:left="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F0B849">
    <w:pPr>
      <w:pBdr>
        <w:bottom w:val="none" w:color="auto" w:sz="0" w:space="0"/>
      </w:pBdr>
      <w:ind w:left="48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F14017">
    <w:pPr>
      <w:keepNext w:val="0"/>
      <w:keepLines w:val="0"/>
      <w:pageBreakBefore w:val="0"/>
      <w:widowControl w:val="0"/>
      <w:pBdr>
        <w:bottom w:val="single" w:color="auto" w:sz="4" w:space="0"/>
      </w:pBdr>
      <w:kinsoku/>
      <w:wordWrap/>
      <w:overflowPunct/>
      <w:topLinePunct w:val="0"/>
      <w:bidi w:val="0"/>
      <w:adjustRightInd/>
      <w:snapToGrid/>
      <w:spacing w:line="240" w:lineRule="auto"/>
      <w:ind w:left="0" w:leftChars="0"/>
      <w:jc w:val="center"/>
      <w:textAlignment w:val="auto"/>
      <w:rPr>
        <w:rFonts w:hint="default" w:ascii="Times New Roman" w:hAnsi="Times New Roman" w:cs="Times New Roman"/>
        <w:sz w:val="21"/>
        <w:szCs w:val="21"/>
      </w:rPr>
    </w:pPr>
    <w:r>
      <w:rPr>
        <w:rFonts w:hint="eastAsia" w:ascii="Times New Roman" w:hAnsi="Times New Roman" w:cs="Times New Roman"/>
        <w:sz w:val="21"/>
        <w:szCs w:val="21"/>
        <w:lang w:val="en-US" w:eastAsia="zh-CN"/>
      </w:rPr>
      <w:t>电投融和沙依巴克区15万千瓦风电项目</w:t>
    </w:r>
    <w:r>
      <w:rPr>
        <w:rFonts w:hint="default" w:ascii="Times New Roman" w:hAnsi="Times New Roman" w:cs="Times New Roman"/>
        <w:sz w:val="21"/>
        <w:szCs w:val="21"/>
      </w:rPr>
      <w:t>环境影响报告书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22F0C5">
    <w:pPr>
      <w:keepNext w:val="0"/>
      <w:keepLines w:val="0"/>
      <w:pageBreakBefore w:val="0"/>
      <w:widowControl w:val="0"/>
      <w:pBdr>
        <w:bottom w:val="single" w:color="auto" w:sz="4" w:space="0"/>
      </w:pBdr>
      <w:kinsoku/>
      <w:wordWrap/>
      <w:overflowPunct/>
      <w:topLinePunct w:val="0"/>
      <w:bidi w:val="0"/>
      <w:adjustRightInd w:val="0"/>
      <w:snapToGrid w:val="0"/>
      <w:spacing w:line="240" w:lineRule="auto"/>
      <w:ind w:left="0" w:leftChars="0" w:firstLine="0" w:firstLineChars="0"/>
      <w:jc w:val="center"/>
      <w:textAlignment w:val="auto"/>
      <w:rPr>
        <w:b w:val="0"/>
        <w:bCs w:val="0"/>
        <w:sz w:val="21"/>
        <w:szCs w:val="21"/>
      </w:rPr>
    </w:pPr>
    <w:r>
      <w:rPr>
        <w:rFonts w:hint="eastAsia" w:ascii="Times New Roman" w:hAnsi="Times New Roman" w:cs="Times New Roman"/>
        <w:sz w:val="21"/>
        <w:szCs w:val="21"/>
        <w:lang w:val="en-US" w:eastAsia="zh-CN"/>
      </w:rPr>
      <w:t>电投融和沙依巴克区15万千瓦风电项目</w:t>
    </w:r>
    <w:r>
      <w:rPr>
        <w:rFonts w:hint="default" w:ascii="Times New Roman" w:hAnsi="Times New Roman" w:cs="Times New Roman"/>
        <w:sz w:val="21"/>
        <w:szCs w:val="21"/>
      </w:rPr>
      <w:t>环境影响报告书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116A10">
    <w:pPr>
      <w:keepNext w:val="0"/>
      <w:keepLines w:val="0"/>
      <w:pageBreakBefore w:val="0"/>
      <w:widowControl w:val="0"/>
      <w:pBdr>
        <w:bottom w:val="single" w:color="auto" w:sz="4" w:space="0"/>
      </w:pBdr>
      <w:kinsoku/>
      <w:wordWrap/>
      <w:overflowPunct/>
      <w:topLinePunct w:val="0"/>
      <w:bidi w:val="0"/>
      <w:adjustRightInd w:val="0"/>
      <w:snapToGrid w:val="0"/>
      <w:spacing w:line="240" w:lineRule="auto"/>
      <w:ind w:left="0" w:leftChars="0" w:firstLine="0" w:firstLineChars="0"/>
      <w:jc w:val="center"/>
      <w:textAlignment w:val="auto"/>
    </w:pPr>
    <w:r>
      <w:rPr>
        <w:rFonts w:hint="eastAsia" w:ascii="Times New Roman" w:hAnsi="Times New Roman" w:cs="Times New Roman"/>
        <w:sz w:val="21"/>
        <w:szCs w:val="21"/>
        <w:lang w:val="en-US" w:eastAsia="zh-CN"/>
      </w:rPr>
      <w:t>电投融和沙依巴克区15万千瓦风电项目</w:t>
    </w:r>
    <w:r>
      <w:rPr>
        <w:rFonts w:hint="default" w:ascii="Times New Roman" w:hAnsi="Times New Roman" w:cs="Times New Roman"/>
        <w:sz w:val="21"/>
        <w:szCs w:val="21"/>
      </w:rPr>
      <w:t>环境影响报告书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8E445B"/>
    <w:multiLevelType w:val="singleLevel"/>
    <w:tmpl w:val="958E445B"/>
    <w:lvl w:ilvl="0" w:tentative="0">
      <w:start w:val="1"/>
      <w:numFmt w:val="decimal"/>
      <w:suff w:val="nothing"/>
      <w:lvlText w:val="%1、"/>
      <w:lvlJc w:val="left"/>
    </w:lvl>
  </w:abstractNum>
  <w:abstractNum w:abstractNumId="1">
    <w:nsid w:val="00000003"/>
    <w:multiLevelType w:val="multilevel"/>
    <w:tmpl w:val="00000003"/>
    <w:lvl w:ilvl="0" w:tentative="0">
      <w:start w:val="1"/>
      <w:numFmt w:val="decimal"/>
      <w:lvlText w:val="%1"/>
      <w:lvlJc w:val="left"/>
      <w:pPr>
        <w:tabs>
          <w:tab w:val="left" w:pos="432"/>
        </w:tabs>
        <w:ind w:left="432" w:hanging="432"/>
      </w:pPr>
      <w:rPr>
        <w:rFonts w:hint="eastAsia"/>
      </w:rPr>
    </w:lvl>
    <w:lvl w:ilvl="1" w:tentative="0">
      <w:start w:val="1"/>
      <w:numFmt w:val="decimal"/>
      <w:lvlText w:val="%1.%2"/>
      <w:lvlJc w:val="left"/>
      <w:pPr>
        <w:tabs>
          <w:tab w:val="left" w:pos="576"/>
        </w:tabs>
        <w:ind w:left="576" w:hanging="576"/>
      </w:pPr>
      <w:rPr>
        <w:rFonts w:hint="eastAsia"/>
      </w:rPr>
    </w:lvl>
    <w:lvl w:ilvl="2" w:tentative="0">
      <w:start w:val="1"/>
      <w:numFmt w:val="decimal"/>
      <w:pStyle w:val="165"/>
      <w:lvlText w:val="%1.%2.%3"/>
      <w:lvlJc w:val="left"/>
      <w:pPr>
        <w:tabs>
          <w:tab w:val="left" w:pos="720"/>
        </w:tabs>
        <w:ind w:left="720" w:hanging="720"/>
      </w:pPr>
      <w:rPr>
        <w:rFonts w:hint="eastAsia"/>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2">
    <w:nsid w:val="00000008"/>
    <w:multiLevelType w:val="multilevel"/>
    <w:tmpl w:val="00000008"/>
    <w:lvl w:ilvl="0" w:tentative="0">
      <w:start w:val="1"/>
      <w:numFmt w:val="decimal"/>
      <w:lvlText w:val="%1."/>
      <w:lvlJc w:val="left"/>
      <w:pPr>
        <w:tabs>
          <w:tab w:val="left" w:pos="425"/>
        </w:tabs>
        <w:ind w:left="425" w:hanging="425"/>
      </w:pPr>
      <w:rPr>
        <w:rFonts w:hint="eastAsia" w:ascii="宋体" w:hAnsi="宋体" w:eastAsia="宋体"/>
        <w:b/>
        <w:i w:val="0"/>
        <w:sz w:val="32"/>
      </w:rPr>
    </w:lvl>
    <w:lvl w:ilvl="1" w:tentative="0">
      <w:start w:val="1"/>
      <w:numFmt w:val="decimal"/>
      <w:lvlText w:val="%1.%2."/>
      <w:lvlJc w:val="left"/>
      <w:pPr>
        <w:tabs>
          <w:tab w:val="left" w:pos="567"/>
        </w:tabs>
        <w:ind w:left="567" w:hanging="424"/>
      </w:pPr>
      <w:rPr>
        <w:rFonts w:hint="default" w:ascii="宋体" w:hAnsi="宋体" w:eastAsia="宋体"/>
        <w:b/>
        <w:i w:val="0"/>
        <w:color w:val="auto"/>
        <w:sz w:val="30"/>
      </w:rPr>
    </w:lvl>
    <w:lvl w:ilvl="2" w:tentative="0">
      <w:start w:val="1"/>
      <w:numFmt w:val="decimal"/>
      <w:pStyle w:val="406"/>
      <w:lvlText w:val="%1.%2.%3."/>
      <w:lvlJc w:val="left"/>
      <w:pPr>
        <w:tabs>
          <w:tab w:val="left" w:pos="2552"/>
        </w:tabs>
        <w:ind w:left="709" w:hanging="709"/>
      </w:pPr>
      <w:rPr>
        <w:rFonts w:hint="eastAsia" w:ascii="宋体" w:hAnsi="宋体" w:eastAsia="宋体"/>
        <w:b/>
        <w:i w:val="0"/>
        <w:color w:val="auto"/>
        <w:sz w:val="28"/>
      </w:rPr>
    </w:lvl>
    <w:lvl w:ilvl="3" w:tentative="0">
      <w:start w:val="1"/>
      <w:numFmt w:val="decimal"/>
      <w:lvlText w:val="%1.%2.%3.%4."/>
      <w:lvlJc w:val="left"/>
      <w:pPr>
        <w:tabs>
          <w:tab w:val="left" w:pos="851"/>
        </w:tabs>
        <w:ind w:left="851" w:hanging="851"/>
      </w:pPr>
      <w:rPr>
        <w:rFonts w:hint="eastAsia" w:ascii="宋体" w:hAnsi="宋体" w:eastAsia="宋体"/>
        <w:b/>
        <w:i w:val="0"/>
        <w:color w:val="auto"/>
        <w:sz w:val="24"/>
      </w:rPr>
    </w:lvl>
    <w:lvl w:ilvl="4" w:tentative="0">
      <w:start w:val="1"/>
      <w:numFmt w:val="decimal"/>
      <w:lvlText w:val="%1.%2.%3.%4.%5."/>
      <w:lvlJc w:val="left"/>
      <w:pPr>
        <w:tabs>
          <w:tab w:val="left" w:pos="992"/>
        </w:tabs>
        <w:ind w:left="992" w:hanging="992"/>
      </w:pPr>
      <w:rPr>
        <w:rFonts w:hint="eastAsia" w:ascii="宋体" w:hAnsi="宋体" w:eastAsia="宋体"/>
        <w:b w:val="0"/>
        <w:color w:val="auto"/>
        <w:sz w:val="24"/>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3">
    <w:nsid w:val="00000009"/>
    <w:multiLevelType w:val="multilevel"/>
    <w:tmpl w:val="00000009"/>
    <w:lvl w:ilvl="0" w:tentative="0">
      <w:start w:val="1"/>
      <w:numFmt w:val="decimal"/>
      <w:lvlText w:val="%1."/>
      <w:lvlJc w:val="left"/>
      <w:pPr>
        <w:tabs>
          <w:tab w:val="left" w:pos="425"/>
        </w:tabs>
        <w:ind w:left="425" w:hanging="425"/>
      </w:pPr>
      <w:rPr>
        <w:rFonts w:hint="eastAsia"/>
        <w:b/>
        <w:i w:val="0"/>
        <w:sz w:val="44"/>
      </w:rPr>
    </w:lvl>
    <w:lvl w:ilvl="1" w:tentative="0">
      <w:start w:val="1"/>
      <w:numFmt w:val="decimal"/>
      <w:lvlText w:val="%1.%2."/>
      <w:lvlJc w:val="left"/>
      <w:pPr>
        <w:tabs>
          <w:tab w:val="left" w:pos="567"/>
        </w:tabs>
        <w:ind w:left="567" w:hanging="567"/>
      </w:pPr>
      <w:rPr>
        <w:rFonts w:hint="eastAsia"/>
        <w:b/>
        <w:i w:val="0"/>
        <w:sz w:val="36"/>
      </w:rPr>
    </w:lvl>
    <w:lvl w:ilvl="2" w:tentative="0">
      <w:start w:val="1"/>
      <w:numFmt w:val="decimal"/>
      <w:lvlText w:val="%1.%2.%3."/>
      <w:lvlJc w:val="left"/>
      <w:pPr>
        <w:tabs>
          <w:tab w:val="left" w:pos="2552"/>
        </w:tabs>
        <w:ind w:left="709" w:hanging="709"/>
      </w:pPr>
      <w:rPr>
        <w:rFonts w:hint="eastAsia" w:eastAsia="宋体"/>
        <w:b/>
        <w:i w:val="0"/>
        <w:sz w:val="32"/>
      </w:rPr>
    </w:lvl>
    <w:lvl w:ilvl="3" w:tentative="0">
      <w:start w:val="1"/>
      <w:numFmt w:val="decimal"/>
      <w:lvlText w:val="%1.%2.%3.%4."/>
      <w:lvlJc w:val="left"/>
      <w:pPr>
        <w:tabs>
          <w:tab w:val="left" w:pos="851"/>
        </w:tabs>
        <w:ind w:left="851" w:hanging="851"/>
      </w:pPr>
      <w:rPr>
        <w:rFonts w:hint="eastAsia" w:eastAsia="宋体"/>
        <w:b/>
        <w:i w:val="0"/>
        <w:sz w:val="28"/>
      </w:rPr>
    </w:lvl>
    <w:lvl w:ilvl="4" w:tentative="0">
      <w:start w:val="1"/>
      <w:numFmt w:val="decimal"/>
      <w:pStyle w:val="73"/>
      <w:lvlText w:val="%1.%2.%3.%4.%5."/>
      <w:lvlJc w:val="left"/>
      <w:pPr>
        <w:tabs>
          <w:tab w:val="left" w:pos="1814"/>
        </w:tabs>
        <w:ind w:left="992" w:hanging="992"/>
      </w:pPr>
      <w:rPr>
        <w:rFonts w:hint="eastAsia" w:ascii="宋体" w:hAnsi="宋体" w:eastAsia="宋体"/>
        <w:b/>
        <w:i w:val="0"/>
        <w:sz w:val="24"/>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4">
    <w:nsid w:val="0000000E"/>
    <w:multiLevelType w:val="multilevel"/>
    <w:tmpl w:val="0000000E"/>
    <w:lvl w:ilvl="0" w:tentative="0">
      <w:start w:val="1"/>
      <w:numFmt w:val="decimal"/>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eastAsia"/>
        <w:sz w:val="28"/>
      </w:rPr>
    </w:lvl>
    <w:lvl w:ilvl="2" w:tentative="0">
      <w:start w:val="1"/>
      <w:numFmt w:val="decimal"/>
      <w:pStyle w:val="443"/>
      <w:lvlText w:val="%1.%2.%3"/>
      <w:lvlJc w:val="left"/>
      <w:pPr>
        <w:tabs>
          <w:tab w:val="left" w:pos="709"/>
        </w:tabs>
        <w:ind w:left="709" w:hanging="709"/>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5">
    <w:nsid w:val="2040619F"/>
    <w:multiLevelType w:val="multilevel"/>
    <w:tmpl w:val="2040619F"/>
    <w:lvl w:ilvl="0" w:tentative="0">
      <w:start w:val="1"/>
      <w:numFmt w:val="decimal"/>
      <w:lvlText w:val="%1"/>
      <w:lvlJc w:val="left"/>
      <w:pPr>
        <w:tabs>
          <w:tab w:val="left" w:pos="432"/>
        </w:tabs>
        <w:ind w:left="432" w:hanging="432"/>
      </w:pPr>
      <w:rPr>
        <w:rFonts w:hint="eastAsia"/>
      </w:rPr>
    </w:lvl>
    <w:lvl w:ilvl="1" w:tentative="0">
      <w:start w:val="1"/>
      <w:numFmt w:val="decimal"/>
      <w:pStyle w:val="525"/>
      <w:lvlText w:val="%1.%2"/>
      <w:lvlJc w:val="left"/>
      <w:pPr>
        <w:tabs>
          <w:tab w:val="left" w:pos="576"/>
        </w:tabs>
        <w:ind w:left="576" w:hanging="576"/>
      </w:pPr>
      <w:rPr>
        <w:rFonts w:hint="eastAsia"/>
      </w:rPr>
    </w:lvl>
    <w:lvl w:ilvl="2" w:tentative="0">
      <w:start w:val="1"/>
      <w:numFmt w:val="decimal"/>
      <w:lvlText w:val="%1.%2.%3"/>
      <w:lvlJc w:val="left"/>
      <w:pPr>
        <w:tabs>
          <w:tab w:val="left" w:pos="720"/>
        </w:tabs>
        <w:ind w:left="720" w:hanging="720"/>
      </w:pPr>
      <w:rPr>
        <w:rFonts w:hint="eastAsia"/>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6">
    <w:nsid w:val="4B09513A"/>
    <w:multiLevelType w:val="multilevel"/>
    <w:tmpl w:val="4B09513A"/>
    <w:lvl w:ilvl="0" w:tentative="0">
      <w:start w:val="1"/>
      <w:numFmt w:val="decimal"/>
      <w:pStyle w:val="576"/>
      <w:lvlText w:val="%1."/>
      <w:lvlJc w:val="left"/>
      <w:pPr>
        <w:tabs>
          <w:tab w:val="left" w:pos="425"/>
        </w:tabs>
        <w:ind w:left="425" w:hanging="425"/>
      </w:pPr>
      <w:rPr>
        <w:rFonts w:hint="eastAsia"/>
      </w:rPr>
    </w:lvl>
    <w:lvl w:ilvl="1" w:tentative="0">
      <w:start w:val="1"/>
      <w:numFmt w:val="decimal"/>
      <w:pStyle w:val="540"/>
      <w:lvlText w:val="%1.%2."/>
      <w:lvlJc w:val="left"/>
      <w:pPr>
        <w:tabs>
          <w:tab w:val="left" w:pos="567"/>
        </w:tabs>
        <w:ind w:left="567" w:hanging="567"/>
      </w:pPr>
      <w:rPr>
        <w:rFonts w:hint="default" w:ascii="宋体" w:hAnsi="宋体" w:eastAsia="宋体" w:cs="宋体"/>
        <w:sz w:val="28"/>
        <w:szCs w:val="28"/>
      </w:rPr>
    </w:lvl>
    <w:lvl w:ilvl="2" w:tentative="0">
      <w:start w:val="1"/>
      <w:numFmt w:val="decimal"/>
      <w:lvlText w:val="%1.%2.%3"/>
      <w:lvlJc w:val="left"/>
      <w:pPr>
        <w:tabs>
          <w:tab w:val="left" w:pos="709"/>
        </w:tabs>
        <w:ind w:left="709" w:hanging="709"/>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num w:numId="1">
    <w:abstractNumId w:val="3"/>
  </w:num>
  <w:num w:numId="2">
    <w:abstractNumId w:val="1"/>
  </w:num>
  <w:num w:numId="3">
    <w:abstractNumId w:val="2"/>
  </w:num>
  <w:num w:numId="4">
    <w:abstractNumId w:val="4"/>
  </w:num>
  <w:num w:numId="5">
    <w:abstractNumId w:val="5"/>
    <w:lvlOverride w:ilvl="0">
      <w:lvl w:ilvl="0" w:tentative="1">
        <w:start w:val="1"/>
        <w:numFmt w:val="decimal"/>
        <w:lvlText w:val="%1"/>
        <w:lvlJc w:val="left"/>
        <w:pPr>
          <w:tabs>
            <w:tab w:val="left" w:pos="432"/>
          </w:tabs>
          <w:ind w:left="432" w:hanging="432"/>
        </w:pPr>
        <w:rPr>
          <w:rFonts w:hint="eastAsia"/>
        </w:rPr>
      </w:lvl>
    </w:lvlOverride>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2100"/>
  <w:hyphenationZone w:val="360"/>
  <w:drawingGridHorizontalSpacing w:val="240"/>
  <w:drawingGridVerticalSpacing w:val="166"/>
  <w:displayHorizontalDrawingGridEvery w:val="1"/>
  <w:displayVerticalDrawingGridEvery w:val="1"/>
  <w:doNotShadeFormData w:val="1"/>
  <w:noPunctuationKerning w:val="1"/>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c1N2ExMzk1ODNlMzA3MjdlNjZlODVmMTNjYjFjODAifQ=="/>
  </w:docVars>
  <w:rsids>
    <w:rsidRoot w:val="00172A27"/>
    <w:rsid w:val="0000193B"/>
    <w:rsid w:val="00002791"/>
    <w:rsid w:val="00003E7F"/>
    <w:rsid w:val="00046340"/>
    <w:rsid w:val="0004793B"/>
    <w:rsid w:val="00076791"/>
    <w:rsid w:val="0009075B"/>
    <w:rsid w:val="000B57A1"/>
    <w:rsid w:val="000B6281"/>
    <w:rsid w:val="000C1FF9"/>
    <w:rsid w:val="00101AE9"/>
    <w:rsid w:val="001232E4"/>
    <w:rsid w:val="001315D9"/>
    <w:rsid w:val="00164C26"/>
    <w:rsid w:val="0016648E"/>
    <w:rsid w:val="00193BCC"/>
    <w:rsid w:val="001A596F"/>
    <w:rsid w:val="001B223C"/>
    <w:rsid w:val="001D0F5A"/>
    <w:rsid w:val="001D4206"/>
    <w:rsid w:val="00207852"/>
    <w:rsid w:val="00220D43"/>
    <w:rsid w:val="0022181C"/>
    <w:rsid w:val="00270BE1"/>
    <w:rsid w:val="002D0ED7"/>
    <w:rsid w:val="00303F39"/>
    <w:rsid w:val="00327CB1"/>
    <w:rsid w:val="003550AC"/>
    <w:rsid w:val="003752C8"/>
    <w:rsid w:val="00377076"/>
    <w:rsid w:val="00382DEE"/>
    <w:rsid w:val="00445595"/>
    <w:rsid w:val="004D4AEB"/>
    <w:rsid w:val="004E616D"/>
    <w:rsid w:val="005874D2"/>
    <w:rsid w:val="00596CE0"/>
    <w:rsid w:val="005A0FB6"/>
    <w:rsid w:val="006000EF"/>
    <w:rsid w:val="00643BE3"/>
    <w:rsid w:val="00661C58"/>
    <w:rsid w:val="00665F07"/>
    <w:rsid w:val="00672070"/>
    <w:rsid w:val="006836D3"/>
    <w:rsid w:val="006B1B18"/>
    <w:rsid w:val="006B31C3"/>
    <w:rsid w:val="006B4F71"/>
    <w:rsid w:val="006B6F40"/>
    <w:rsid w:val="006F304F"/>
    <w:rsid w:val="0078143C"/>
    <w:rsid w:val="00782FF5"/>
    <w:rsid w:val="007A51B4"/>
    <w:rsid w:val="007B1492"/>
    <w:rsid w:val="007E66C0"/>
    <w:rsid w:val="008F6EB2"/>
    <w:rsid w:val="009049D8"/>
    <w:rsid w:val="00923882"/>
    <w:rsid w:val="00936276"/>
    <w:rsid w:val="00963735"/>
    <w:rsid w:val="00997D30"/>
    <w:rsid w:val="009F2FC6"/>
    <w:rsid w:val="00A12741"/>
    <w:rsid w:val="00A65FA9"/>
    <w:rsid w:val="00A87F74"/>
    <w:rsid w:val="00B00BD6"/>
    <w:rsid w:val="00BF706B"/>
    <w:rsid w:val="00C50B26"/>
    <w:rsid w:val="00C823C4"/>
    <w:rsid w:val="00CA115C"/>
    <w:rsid w:val="00CB66A9"/>
    <w:rsid w:val="00D442CF"/>
    <w:rsid w:val="00D9637F"/>
    <w:rsid w:val="00DA5C53"/>
    <w:rsid w:val="00DB635A"/>
    <w:rsid w:val="00DC19CB"/>
    <w:rsid w:val="00DC5E6F"/>
    <w:rsid w:val="00DC64F4"/>
    <w:rsid w:val="00DD78D3"/>
    <w:rsid w:val="00DF3269"/>
    <w:rsid w:val="00E21F15"/>
    <w:rsid w:val="00E53A93"/>
    <w:rsid w:val="00E645F8"/>
    <w:rsid w:val="00ED07F7"/>
    <w:rsid w:val="00F02F04"/>
    <w:rsid w:val="00F40B69"/>
    <w:rsid w:val="00F431B9"/>
    <w:rsid w:val="00F618B9"/>
    <w:rsid w:val="00F66F31"/>
    <w:rsid w:val="00F9432B"/>
    <w:rsid w:val="00FB4547"/>
    <w:rsid w:val="00FC206D"/>
    <w:rsid w:val="00FE5DE6"/>
    <w:rsid w:val="00FE7B94"/>
    <w:rsid w:val="010047FD"/>
    <w:rsid w:val="01064C9A"/>
    <w:rsid w:val="01077A7D"/>
    <w:rsid w:val="0109531D"/>
    <w:rsid w:val="01096597"/>
    <w:rsid w:val="010B1826"/>
    <w:rsid w:val="01101675"/>
    <w:rsid w:val="011108F3"/>
    <w:rsid w:val="01136E63"/>
    <w:rsid w:val="011473B7"/>
    <w:rsid w:val="0116756D"/>
    <w:rsid w:val="01172A03"/>
    <w:rsid w:val="01176EA7"/>
    <w:rsid w:val="01192C1F"/>
    <w:rsid w:val="011A24F4"/>
    <w:rsid w:val="012308D6"/>
    <w:rsid w:val="01260E98"/>
    <w:rsid w:val="012A2737"/>
    <w:rsid w:val="01325A8F"/>
    <w:rsid w:val="01341807"/>
    <w:rsid w:val="01347A59"/>
    <w:rsid w:val="013A1076"/>
    <w:rsid w:val="013C56E1"/>
    <w:rsid w:val="013D5C34"/>
    <w:rsid w:val="013E4434"/>
    <w:rsid w:val="014063FE"/>
    <w:rsid w:val="01422176"/>
    <w:rsid w:val="01442A18"/>
    <w:rsid w:val="01453A14"/>
    <w:rsid w:val="014557C2"/>
    <w:rsid w:val="01457570"/>
    <w:rsid w:val="014707DC"/>
    <w:rsid w:val="014D4677"/>
    <w:rsid w:val="014D5458"/>
    <w:rsid w:val="014F4893"/>
    <w:rsid w:val="01536131"/>
    <w:rsid w:val="01541E88"/>
    <w:rsid w:val="01565C22"/>
    <w:rsid w:val="015754F6"/>
    <w:rsid w:val="015B4FE6"/>
    <w:rsid w:val="015F60C3"/>
    <w:rsid w:val="01606AF6"/>
    <w:rsid w:val="01635C49"/>
    <w:rsid w:val="016814B1"/>
    <w:rsid w:val="016D1EEA"/>
    <w:rsid w:val="016D6AC7"/>
    <w:rsid w:val="016D6B7E"/>
    <w:rsid w:val="016F45ED"/>
    <w:rsid w:val="017E6F26"/>
    <w:rsid w:val="017E78B8"/>
    <w:rsid w:val="01802C9E"/>
    <w:rsid w:val="01826A17"/>
    <w:rsid w:val="018362EB"/>
    <w:rsid w:val="0183769F"/>
    <w:rsid w:val="018874B3"/>
    <w:rsid w:val="01896811"/>
    <w:rsid w:val="018D00B8"/>
    <w:rsid w:val="018E309C"/>
    <w:rsid w:val="0197595E"/>
    <w:rsid w:val="019B3634"/>
    <w:rsid w:val="019D73AC"/>
    <w:rsid w:val="01A06E9D"/>
    <w:rsid w:val="01A2719B"/>
    <w:rsid w:val="01A33B47"/>
    <w:rsid w:val="01A544B3"/>
    <w:rsid w:val="01A63CD7"/>
    <w:rsid w:val="01A87AFF"/>
    <w:rsid w:val="01AA6604"/>
    <w:rsid w:val="01AE3368"/>
    <w:rsid w:val="01AF3641"/>
    <w:rsid w:val="01B07413"/>
    <w:rsid w:val="01B34E22"/>
    <w:rsid w:val="01B6221C"/>
    <w:rsid w:val="01B72B02"/>
    <w:rsid w:val="01BC349C"/>
    <w:rsid w:val="01BD0186"/>
    <w:rsid w:val="01BE60B3"/>
    <w:rsid w:val="01C62F2B"/>
    <w:rsid w:val="01C73ACA"/>
    <w:rsid w:val="01C80014"/>
    <w:rsid w:val="01CA216C"/>
    <w:rsid w:val="01CF32DE"/>
    <w:rsid w:val="01D25F23"/>
    <w:rsid w:val="01D34B7C"/>
    <w:rsid w:val="01E0373D"/>
    <w:rsid w:val="01E21263"/>
    <w:rsid w:val="01E943A0"/>
    <w:rsid w:val="01EA0A5B"/>
    <w:rsid w:val="01F52AA4"/>
    <w:rsid w:val="01F753C4"/>
    <w:rsid w:val="01FA65AD"/>
    <w:rsid w:val="02005B8D"/>
    <w:rsid w:val="02056D00"/>
    <w:rsid w:val="020D728E"/>
    <w:rsid w:val="02181129"/>
    <w:rsid w:val="021A09FD"/>
    <w:rsid w:val="02220517"/>
    <w:rsid w:val="02262979"/>
    <w:rsid w:val="022655F4"/>
    <w:rsid w:val="02290C40"/>
    <w:rsid w:val="022C0730"/>
    <w:rsid w:val="022C6982"/>
    <w:rsid w:val="02315D47"/>
    <w:rsid w:val="023A0DE1"/>
    <w:rsid w:val="023A2E4D"/>
    <w:rsid w:val="023A4BFB"/>
    <w:rsid w:val="023B0DB8"/>
    <w:rsid w:val="023B6BC5"/>
    <w:rsid w:val="023B6DF1"/>
    <w:rsid w:val="023D7B59"/>
    <w:rsid w:val="023F0464"/>
    <w:rsid w:val="02405F8A"/>
    <w:rsid w:val="02441F1E"/>
    <w:rsid w:val="02443B38"/>
    <w:rsid w:val="0249783D"/>
    <w:rsid w:val="02502671"/>
    <w:rsid w:val="0250441F"/>
    <w:rsid w:val="02553C5F"/>
    <w:rsid w:val="02557C87"/>
    <w:rsid w:val="025C1016"/>
    <w:rsid w:val="025D6B3C"/>
    <w:rsid w:val="02624152"/>
    <w:rsid w:val="0264611C"/>
    <w:rsid w:val="02661CD2"/>
    <w:rsid w:val="026779BA"/>
    <w:rsid w:val="026B1259"/>
    <w:rsid w:val="026B3007"/>
    <w:rsid w:val="026E24CC"/>
    <w:rsid w:val="026E74C2"/>
    <w:rsid w:val="02713A03"/>
    <w:rsid w:val="027520D7"/>
    <w:rsid w:val="027A149C"/>
    <w:rsid w:val="027B04B8"/>
    <w:rsid w:val="027C3466"/>
    <w:rsid w:val="027F3A06"/>
    <w:rsid w:val="02810A7C"/>
    <w:rsid w:val="02816469"/>
    <w:rsid w:val="02832A46"/>
    <w:rsid w:val="0284056C"/>
    <w:rsid w:val="028642E4"/>
    <w:rsid w:val="02910588"/>
    <w:rsid w:val="02922C89"/>
    <w:rsid w:val="02A12ECC"/>
    <w:rsid w:val="02A46519"/>
    <w:rsid w:val="02A824AD"/>
    <w:rsid w:val="02A91D81"/>
    <w:rsid w:val="02AD1871"/>
    <w:rsid w:val="02B0310F"/>
    <w:rsid w:val="02B17A69"/>
    <w:rsid w:val="02B2279A"/>
    <w:rsid w:val="02B352CA"/>
    <w:rsid w:val="02BB6F86"/>
    <w:rsid w:val="02BE4753"/>
    <w:rsid w:val="02C0143E"/>
    <w:rsid w:val="02C44E0D"/>
    <w:rsid w:val="02C46BBB"/>
    <w:rsid w:val="02C60B85"/>
    <w:rsid w:val="02C646E1"/>
    <w:rsid w:val="02C74217"/>
    <w:rsid w:val="02C86101"/>
    <w:rsid w:val="02CA2696"/>
    <w:rsid w:val="02CB5403"/>
    <w:rsid w:val="02CD18F8"/>
    <w:rsid w:val="02CE3596"/>
    <w:rsid w:val="02D0730E"/>
    <w:rsid w:val="02D42ABC"/>
    <w:rsid w:val="02D47917"/>
    <w:rsid w:val="02D74B40"/>
    <w:rsid w:val="02DA4630"/>
    <w:rsid w:val="02DB675D"/>
    <w:rsid w:val="02DE1267"/>
    <w:rsid w:val="02E1776D"/>
    <w:rsid w:val="02E512D5"/>
    <w:rsid w:val="02E6168A"/>
    <w:rsid w:val="02EB05EB"/>
    <w:rsid w:val="02F05C02"/>
    <w:rsid w:val="02F94BC3"/>
    <w:rsid w:val="02FA0F90"/>
    <w:rsid w:val="02FA438B"/>
    <w:rsid w:val="02FF5E45"/>
    <w:rsid w:val="02FF7BF3"/>
    <w:rsid w:val="03044F7A"/>
    <w:rsid w:val="0305345B"/>
    <w:rsid w:val="03082F4B"/>
    <w:rsid w:val="030907C7"/>
    <w:rsid w:val="0313544C"/>
    <w:rsid w:val="031511C4"/>
    <w:rsid w:val="03195E75"/>
    <w:rsid w:val="031B4091"/>
    <w:rsid w:val="031C2553"/>
    <w:rsid w:val="031E62CB"/>
    <w:rsid w:val="03216F4D"/>
    <w:rsid w:val="032320F3"/>
    <w:rsid w:val="03247659"/>
    <w:rsid w:val="03261624"/>
    <w:rsid w:val="03265D71"/>
    <w:rsid w:val="032C4E8C"/>
    <w:rsid w:val="032E619D"/>
    <w:rsid w:val="032F2286"/>
    <w:rsid w:val="033124A2"/>
    <w:rsid w:val="0332754E"/>
    <w:rsid w:val="033425B1"/>
    <w:rsid w:val="03370E57"/>
    <w:rsid w:val="03391357"/>
    <w:rsid w:val="03394EB3"/>
    <w:rsid w:val="033D15A7"/>
    <w:rsid w:val="033E16C3"/>
    <w:rsid w:val="03402295"/>
    <w:rsid w:val="03413725"/>
    <w:rsid w:val="034253AD"/>
    <w:rsid w:val="03451AAA"/>
    <w:rsid w:val="03475AF6"/>
    <w:rsid w:val="0350044F"/>
    <w:rsid w:val="03525F75"/>
    <w:rsid w:val="035267A2"/>
    <w:rsid w:val="035324CC"/>
    <w:rsid w:val="03575494"/>
    <w:rsid w:val="03577A2F"/>
    <w:rsid w:val="03594F7A"/>
    <w:rsid w:val="035B04BB"/>
    <w:rsid w:val="0360556D"/>
    <w:rsid w:val="0361265C"/>
    <w:rsid w:val="03634626"/>
    <w:rsid w:val="03661A20"/>
    <w:rsid w:val="036C7D30"/>
    <w:rsid w:val="0374413D"/>
    <w:rsid w:val="03757DE1"/>
    <w:rsid w:val="03763AA5"/>
    <w:rsid w:val="037863C5"/>
    <w:rsid w:val="038500F8"/>
    <w:rsid w:val="038852C0"/>
    <w:rsid w:val="038A7E04"/>
    <w:rsid w:val="038F47AB"/>
    <w:rsid w:val="038F71C9"/>
    <w:rsid w:val="03921B3D"/>
    <w:rsid w:val="03936CB9"/>
    <w:rsid w:val="039667A9"/>
    <w:rsid w:val="03993BA4"/>
    <w:rsid w:val="039A1DAB"/>
    <w:rsid w:val="039B2BEF"/>
    <w:rsid w:val="03A03184"/>
    <w:rsid w:val="03A367D0"/>
    <w:rsid w:val="03AA4003"/>
    <w:rsid w:val="03B31109"/>
    <w:rsid w:val="03B44E81"/>
    <w:rsid w:val="03BD01E0"/>
    <w:rsid w:val="03BD3D36"/>
    <w:rsid w:val="03BE7AAE"/>
    <w:rsid w:val="03C30C20"/>
    <w:rsid w:val="03CB1CE4"/>
    <w:rsid w:val="03CC14C8"/>
    <w:rsid w:val="03CC315E"/>
    <w:rsid w:val="03D05AEC"/>
    <w:rsid w:val="03D64DF8"/>
    <w:rsid w:val="03D85E64"/>
    <w:rsid w:val="03DB240E"/>
    <w:rsid w:val="03DD6186"/>
    <w:rsid w:val="03E312C3"/>
    <w:rsid w:val="03E72B61"/>
    <w:rsid w:val="03E868D9"/>
    <w:rsid w:val="03EA43FF"/>
    <w:rsid w:val="03EE3EEF"/>
    <w:rsid w:val="03F120D7"/>
    <w:rsid w:val="03F313E8"/>
    <w:rsid w:val="03F434D0"/>
    <w:rsid w:val="03F67248"/>
    <w:rsid w:val="03F6755F"/>
    <w:rsid w:val="03F935B8"/>
    <w:rsid w:val="03FB2BF2"/>
    <w:rsid w:val="03FD05D6"/>
    <w:rsid w:val="04006F51"/>
    <w:rsid w:val="0402799B"/>
    <w:rsid w:val="04043713"/>
    <w:rsid w:val="040A30FF"/>
    <w:rsid w:val="040C75CD"/>
    <w:rsid w:val="040E4592"/>
    <w:rsid w:val="0410030A"/>
    <w:rsid w:val="04117BDE"/>
    <w:rsid w:val="04161698"/>
    <w:rsid w:val="04163446"/>
    <w:rsid w:val="041A376A"/>
    <w:rsid w:val="041A641F"/>
    <w:rsid w:val="04265231"/>
    <w:rsid w:val="0429421C"/>
    <w:rsid w:val="042A0CA0"/>
    <w:rsid w:val="042C4A18"/>
    <w:rsid w:val="042F5A08"/>
    <w:rsid w:val="0432168D"/>
    <w:rsid w:val="04325EDE"/>
    <w:rsid w:val="04376F19"/>
    <w:rsid w:val="04390EE3"/>
    <w:rsid w:val="043962AB"/>
    <w:rsid w:val="043F299D"/>
    <w:rsid w:val="04402271"/>
    <w:rsid w:val="0441727D"/>
    <w:rsid w:val="04421D86"/>
    <w:rsid w:val="04473600"/>
    <w:rsid w:val="04492A71"/>
    <w:rsid w:val="044A30F0"/>
    <w:rsid w:val="044C2EB2"/>
    <w:rsid w:val="044C50BA"/>
    <w:rsid w:val="044C56F1"/>
    <w:rsid w:val="044E739D"/>
    <w:rsid w:val="045A1585"/>
    <w:rsid w:val="04605389"/>
    <w:rsid w:val="046353E3"/>
    <w:rsid w:val="04640655"/>
    <w:rsid w:val="046A26D0"/>
    <w:rsid w:val="046B5540"/>
    <w:rsid w:val="046C2A56"/>
    <w:rsid w:val="046D5EB1"/>
    <w:rsid w:val="04700DA8"/>
    <w:rsid w:val="04727BC0"/>
    <w:rsid w:val="0474460E"/>
    <w:rsid w:val="04762137"/>
    <w:rsid w:val="047931E5"/>
    <w:rsid w:val="04841BB3"/>
    <w:rsid w:val="048605CC"/>
    <w:rsid w:val="04966335"/>
    <w:rsid w:val="04983E5B"/>
    <w:rsid w:val="049B6BA0"/>
    <w:rsid w:val="049C1B9D"/>
    <w:rsid w:val="049F343C"/>
    <w:rsid w:val="04A171B4"/>
    <w:rsid w:val="04A24CDA"/>
    <w:rsid w:val="04A37DDB"/>
    <w:rsid w:val="04A60F90"/>
    <w:rsid w:val="04A74F4D"/>
    <w:rsid w:val="04A75E41"/>
    <w:rsid w:val="04A9250C"/>
    <w:rsid w:val="04AB1DE0"/>
    <w:rsid w:val="04B05649"/>
    <w:rsid w:val="04B54A0D"/>
    <w:rsid w:val="04B769D7"/>
    <w:rsid w:val="04B86B18"/>
    <w:rsid w:val="04B95BF5"/>
    <w:rsid w:val="04BA2023"/>
    <w:rsid w:val="04BA3C3B"/>
    <w:rsid w:val="04BC3FEE"/>
    <w:rsid w:val="04BF763A"/>
    <w:rsid w:val="04C70D83"/>
    <w:rsid w:val="04CC1D57"/>
    <w:rsid w:val="04CD34EE"/>
    <w:rsid w:val="04CD61FB"/>
    <w:rsid w:val="04D05CEB"/>
    <w:rsid w:val="04D94B9F"/>
    <w:rsid w:val="04DB0285"/>
    <w:rsid w:val="04E15802"/>
    <w:rsid w:val="04E3143E"/>
    <w:rsid w:val="04E43544"/>
    <w:rsid w:val="04E470A0"/>
    <w:rsid w:val="04E5637F"/>
    <w:rsid w:val="04E83035"/>
    <w:rsid w:val="04E86B91"/>
    <w:rsid w:val="04EA736A"/>
    <w:rsid w:val="04EB042F"/>
    <w:rsid w:val="04ED23F9"/>
    <w:rsid w:val="04F03C97"/>
    <w:rsid w:val="04F063C6"/>
    <w:rsid w:val="04F217BD"/>
    <w:rsid w:val="04F419D9"/>
    <w:rsid w:val="04F62F3E"/>
    <w:rsid w:val="04F75026"/>
    <w:rsid w:val="04F80D9E"/>
    <w:rsid w:val="04F973C6"/>
    <w:rsid w:val="04FA4B16"/>
    <w:rsid w:val="04FE63B4"/>
    <w:rsid w:val="04FE6BCF"/>
    <w:rsid w:val="05020C55"/>
    <w:rsid w:val="050339CA"/>
    <w:rsid w:val="0506170D"/>
    <w:rsid w:val="050719CA"/>
    <w:rsid w:val="05081157"/>
    <w:rsid w:val="050B17DB"/>
    <w:rsid w:val="050B287F"/>
    <w:rsid w:val="050C39A8"/>
    <w:rsid w:val="050F0E0E"/>
    <w:rsid w:val="05160939"/>
    <w:rsid w:val="05171224"/>
    <w:rsid w:val="05181037"/>
    <w:rsid w:val="051C683A"/>
    <w:rsid w:val="051C6CD2"/>
    <w:rsid w:val="051E25B2"/>
    <w:rsid w:val="051E5BAA"/>
    <w:rsid w:val="052102F4"/>
    <w:rsid w:val="05241B93"/>
    <w:rsid w:val="052878D5"/>
    <w:rsid w:val="052B4CCF"/>
    <w:rsid w:val="052C440D"/>
    <w:rsid w:val="052D6C99"/>
    <w:rsid w:val="053022E6"/>
    <w:rsid w:val="053242B0"/>
    <w:rsid w:val="053B7608"/>
    <w:rsid w:val="053D5BD8"/>
    <w:rsid w:val="05404C1F"/>
    <w:rsid w:val="054144F3"/>
    <w:rsid w:val="05445D91"/>
    <w:rsid w:val="05465FAD"/>
    <w:rsid w:val="054705A3"/>
    <w:rsid w:val="055204AE"/>
    <w:rsid w:val="05526700"/>
    <w:rsid w:val="05551D4C"/>
    <w:rsid w:val="05557F9E"/>
    <w:rsid w:val="05597A8E"/>
    <w:rsid w:val="055C714C"/>
    <w:rsid w:val="055C7BF2"/>
    <w:rsid w:val="0563090D"/>
    <w:rsid w:val="05654685"/>
    <w:rsid w:val="05654D72"/>
    <w:rsid w:val="056703FD"/>
    <w:rsid w:val="056D52E8"/>
    <w:rsid w:val="05704DD8"/>
    <w:rsid w:val="057448C8"/>
    <w:rsid w:val="05761C29"/>
    <w:rsid w:val="0577599D"/>
    <w:rsid w:val="05776166"/>
    <w:rsid w:val="057C27E3"/>
    <w:rsid w:val="057C377D"/>
    <w:rsid w:val="0580185D"/>
    <w:rsid w:val="0580501B"/>
    <w:rsid w:val="05805CB5"/>
    <w:rsid w:val="058368B9"/>
    <w:rsid w:val="05850883"/>
    <w:rsid w:val="058645FB"/>
    <w:rsid w:val="05890861"/>
    <w:rsid w:val="058A40EC"/>
    <w:rsid w:val="058C27AD"/>
    <w:rsid w:val="058D598A"/>
    <w:rsid w:val="05900FD6"/>
    <w:rsid w:val="0591547A"/>
    <w:rsid w:val="05924C75"/>
    <w:rsid w:val="05926AFC"/>
    <w:rsid w:val="05941421"/>
    <w:rsid w:val="05946D18"/>
    <w:rsid w:val="05993DE2"/>
    <w:rsid w:val="05996902"/>
    <w:rsid w:val="059E1945"/>
    <w:rsid w:val="05A012C8"/>
    <w:rsid w:val="05A13F3E"/>
    <w:rsid w:val="05A20840"/>
    <w:rsid w:val="05A47AE4"/>
    <w:rsid w:val="05A50F26"/>
    <w:rsid w:val="05AA5F48"/>
    <w:rsid w:val="05AB0F0F"/>
    <w:rsid w:val="05AB4232"/>
    <w:rsid w:val="05AC4062"/>
    <w:rsid w:val="05B41169"/>
    <w:rsid w:val="05B46ADA"/>
    <w:rsid w:val="05BE78F1"/>
    <w:rsid w:val="05C07B0D"/>
    <w:rsid w:val="05C14567"/>
    <w:rsid w:val="05C30230"/>
    <w:rsid w:val="05C55124"/>
    <w:rsid w:val="05C869C2"/>
    <w:rsid w:val="05CA794E"/>
    <w:rsid w:val="05CB200E"/>
    <w:rsid w:val="05CC0260"/>
    <w:rsid w:val="05D10968"/>
    <w:rsid w:val="05D12AE1"/>
    <w:rsid w:val="05D13AC9"/>
    <w:rsid w:val="05D215EF"/>
    <w:rsid w:val="05D5468C"/>
    <w:rsid w:val="05D950AD"/>
    <w:rsid w:val="05DA7544"/>
    <w:rsid w:val="05DB4947"/>
    <w:rsid w:val="05E27A84"/>
    <w:rsid w:val="05E41A4E"/>
    <w:rsid w:val="05E57574"/>
    <w:rsid w:val="05E61F83"/>
    <w:rsid w:val="05EA4B8A"/>
    <w:rsid w:val="05ED01D7"/>
    <w:rsid w:val="05EE467B"/>
    <w:rsid w:val="05EF21A1"/>
    <w:rsid w:val="05F31C91"/>
    <w:rsid w:val="05F41565"/>
    <w:rsid w:val="05F477B7"/>
    <w:rsid w:val="05F872BC"/>
    <w:rsid w:val="05FC03C1"/>
    <w:rsid w:val="05FE1283"/>
    <w:rsid w:val="05FE23E4"/>
    <w:rsid w:val="060043AE"/>
    <w:rsid w:val="06060158"/>
    <w:rsid w:val="06071298"/>
    <w:rsid w:val="060E0879"/>
    <w:rsid w:val="06123567"/>
    <w:rsid w:val="061340E1"/>
    <w:rsid w:val="061614DB"/>
    <w:rsid w:val="061B11E8"/>
    <w:rsid w:val="061E2360"/>
    <w:rsid w:val="061E65E2"/>
    <w:rsid w:val="06217C9A"/>
    <w:rsid w:val="062314AC"/>
    <w:rsid w:val="0624009C"/>
    <w:rsid w:val="06257970"/>
    <w:rsid w:val="0627193B"/>
    <w:rsid w:val="06287461"/>
    <w:rsid w:val="062956B3"/>
    <w:rsid w:val="06296793"/>
    <w:rsid w:val="062E0F1B"/>
    <w:rsid w:val="062F259D"/>
    <w:rsid w:val="06336531"/>
    <w:rsid w:val="063604B5"/>
    <w:rsid w:val="0637500A"/>
    <w:rsid w:val="063B7C77"/>
    <w:rsid w:val="063F7CC0"/>
    <w:rsid w:val="06450047"/>
    <w:rsid w:val="06473D8B"/>
    <w:rsid w:val="06494D3A"/>
    <w:rsid w:val="064E5595"/>
    <w:rsid w:val="06562220"/>
    <w:rsid w:val="06585F98"/>
    <w:rsid w:val="065A4487"/>
    <w:rsid w:val="065B3392"/>
    <w:rsid w:val="06604C4F"/>
    <w:rsid w:val="06607360"/>
    <w:rsid w:val="067067B4"/>
    <w:rsid w:val="06757DEA"/>
    <w:rsid w:val="067B1F1D"/>
    <w:rsid w:val="067C2CE7"/>
    <w:rsid w:val="067F52D3"/>
    <w:rsid w:val="0680104B"/>
    <w:rsid w:val="06856661"/>
    <w:rsid w:val="068B011B"/>
    <w:rsid w:val="068B16A8"/>
    <w:rsid w:val="068C5EFB"/>
    <w:rsid w:val="068C79F0"/>
    <w:rsid w:val="068E5516"/>
    <w:rsid w:val="069074E0"/>
    <w:rsid w:val="06976AC0"/>
    <w:rsid w:val="06A05249"/>
    <w:rsid w:val="06A13572"/>
    <w:rsid w:val="06A32ED9"/>
    <w:rsid w:val="06A411DD"/>
    <w:rsid w:val="06A47C6B"/>
    <w:rsid w:val="06A66D03"/>
    <w:rsid w:val="06B119B0"/>
    <w:rsid w:val="06B34F7C"/>
    <w:rsid w:val="06B70F10"/>
    <w:rsid w:val="06B80A46"/>
    <w:rsid w:val="06BC5ED2"/>
    <w:rsid w:val="06BC6527"/>
    <w:rsid w:val="06C21F62"/>
    <w:rsid w:val="06C25A68"/>
    <w:rsid w:val="06C76C7A"/>
    <w:rsid w:val="06D03D80"/>
    <w:rsid w:val="06D476A1"/>
    <w:rsid w:val="06D53145"/>
    <w:rsid w:val="06DC2725"/>
    <w:rsid w:val="06DF3581"/>
    <w:rsid w:val="06E16AFE"/>
    <w:rsid w:val="06E670D4"/>
    <w:rsid w:val="06E94E42"/>
    <w:rsid w:val="06EB2968"/>
    <w:rsid w:val="06EB34A8"/>
    <w:rsid w:val="06F255F0"/>
    <w:rsid w:val="06F7130D"/>
    <w:rsid w:val="06F7755F"/>
    <w:rsid w:val="06F86E33"/>
    <w:rsid w:val="06F90DE0"/>
    <w:rsid w:val="06FA0DFD"/>
    <w:rsid w:val="06FF4665"/>
    <w:rsid w:val="0701218C"/>
    <w:rsid w:val="07035714"/>
    <w:rsid w:val="07043E3E"/>
    <w:rsid w:val="070752C8"/>
    <w:rsid w:val="07091040"/>
    <w:rsid w:val="070D0B30"/>
    <w:rsid w:val="070E62E0"/>
    <w:rsid w:val="07102341"/>
    <w:rsid w:val="071023CF"/>
    <w:rsid w:val="07116B3E"/>
    <w:rsid w:val="071409D6"/>
    <w:rsid w:val="07177C01"/>
    <w:rsid w:val="07195727"/>
    <w:rsid w:val="071E503D"/>
    <w:rsid w:val="0721282E"/>
    <w:rsid w:val="07241C47"/>
    <w:rsid w:val="07281A58"/>
    <w:rsid w:val="072A41DF"/>
    <w:rsid w:val="072C03D9"/>
    <w:rsid w:val="072D11D3"/>
    <w:rsid w:val="073360BD"/>
    <w:rsid w:val="07376BDE"/>
    <w:rsid w:val="073814F8"/>
    <w:rsid w:val="073A744C"/>
    <w:rsid w:val="07424046"/>
    <w:rsid w:val="074309F6"/>
    <w:rsid w:val="07474FE1"/>
    <w:rsid w:val="074A1D85"/>
    <w:rsid w:val="074A2F58"/>
    <w:rsid w:val="074A6C5C"/>
    <w:rsid w:val="074C413D"/>
    <w:rsid w:val="074D53D1"/>
    <w:rsid w:val="07585B24"/>
    <w:rsid w:val="07591FC8"/>
    <w:rsid w:val="075A7AEE"/>
    <w:rsid w:val="075C5614"/>
    <w:rsid w:val="075D1A1A"/>
    <w:rsid w:val="075F0286"/>
    <w:rsid w:val="0763222E"/>
    <w:rsid w:val="07661810"/>
    <w:rsid w:val="07677A0F"/>
    <w:rsid w:val="07683FB9"/>
    <w:rsid w:val="076B3B3B"/>
    <w:rsid w:val="077010BF"/>
    <w:rsid w:val="07702E6D"/>
    <w:rsid w:val="077254E3"/>
    <w:rsid w:val="07797E70"/>
    <w:rsid w:val="077A1F3E"/>
    <w:rsid w:val="07812A3C"/>
    <w:rsid w:val="07822663"/>
    <w:rsid w:val="07862691"/>
    <w:rsid w:val="07867725"/>
    <w:rsid w:val="07874A13"/>
    <w:rsid w:val="078828AD"/>
    <w:rsid w:val="078D1C71"/>
    <w:rsid w:val="078D7EC3"/>
    <w:rsid w:val="07901A26"/>
    <w:rsid w:val="07907199"/>
    <w:rsid w:val="0797275A"/>
    <w:rsid w:val="079B25E0"/>
    <w:rsid w:val="079E5C2C"/>
    <w:rsid w:val="07A1396F"/>
    <w:rsid w:val="07A42E2C"/>
    <w:rsid w:val="07A70F85"/>
    <w:rsid w:val="07AB0349"/>
    <w:rsid w:val="07AC659B"/>
    <w:rsid w:val="07B13BB2"/>
    <w:rsid w:val="07B31491"/>
    <w:rsid w:val="07BB058C"/>
    <w:rsid w:val="07BD007B"/>
    <w:rsid w:val="07BE1428"/>
    <w:rsid w:val="07C531B9"/>
    <w:rsid w:val="07C66F31"/>
    <w:rsid w:val="07C75183"/>
    <w:rsid w:val="07CA6A21"/>
    <w:rsid w:val="07CB4F26"/>
    <w:rsid w:val="07CC19DE"/>
    <w:rsid w:val="07CD02C0"/>
    <w:rsid w:val="07CD4B06"/>
    <w:rsid w:val="07CF697E"/>
    <w:rsid w:val="07D16002"/>
    <w:rsid w:val="07D57174"/>
    <w:rsid w:val="07D7113E"/>
    <w:rsid w:val="07E04497"/>
    <w:rsid w:val="07E6312F"/>
    <w:rsid w:val="07ED0962"/>
    <w:rsid w:val="07EF0236"/>
    <w:rsid w:val="07F10452"/>
    <w:rsid w:val="07F110FF"/>
    <w:rsid w:val="07F615C4"/>
    <w:rsid w:val="07F910B5"/>
    <w:rsid w:val="07FD49DE"/>
    <w:rsid w:val="07FD6DF7"/>
    <w:rsid w:val="07FE491D"/>
    <w:rsid w:val="08000695"/>
    <w:rsid w:val="08004547"/>
    <w:rsid w:val="081303C8"/>
    <w:rsid w:val="081443B4"/>
    <w:rsid w:val="08161C67"/>
    <w:rsid w:val="08163A15"/>
    <w:rsid w:val="08174F2C"/>
    <w:rsid w:val="081B54CF"/>
    <w:rsid w:val="081B727D"/>
    <w:rsid w:val="081D1B91"/>
    <w:rsid w:val="081E7C52"/>
    <w:rsid w:val="08206641"/>
    <w:rsid w:val="08242A95"/>
    <w:rsid w:val="08243401"/>
    <w:rsid w:val="082500FC"/>
    <w:rsid w:val="08251EAA"/>
    <w:rsid w:val="08283748"/>
    <w:rsid w:val="082C2971"/>
    <w:rsid w:val="082F0F7A"/>
    <w:rsid w:val="0834033F"/>
    <w:rsid w:val="0835487F"/>
    <w:rsid w:val="083B1EED"/>
    <w:rsid w:val="083B347B"/>
    <w:rsid w:val="083D5469"/>
    <w:rsid w:val="0843180D"/>
    <w:rsid w:val="0844205C"/>
    <w:rsid w:val="0845247E"/>
    <w:rsid w:val="08485947"/>
    <w:rsid w:val="08506DF7"/>
    <w:rsid w:val="085622AC"/>
    <w:rsid w:val="08587AA8"/>
    <w:rsid w:val="085E716A"/>
    <w:rsid w:val="086139FA"/>
    <w:rsid w:val="08666C45"/>
    <w:rsid w:val="0869623A"/>
    <w:rsid w:val="086D0B60"/>
    <w:rsid w:val="086E1AA3"/>
    <w:rsid w:val="086E55FF"/>
    <w:rsid w:val="08732C15"/>
    <w:rsid w:val="087345A0"/>
    <w:rsid w:val="0878022B"/>
    <w:rsid w:val="08795B90"/>
    <w:rsid w:val="08802FDE"/>
    <w:rsid w:val="08805332"/>
    <w:rsid w:val="0882554E"/>
    <w:rsid w:val="08837E36"/>
    <w:rsid w:val="08850B9A"/>
    <w:rsid w:val="08874912"/>
    <w:rsid w:val="08892439"/>
    <w:rsid w:val="088A4403"/>
    <w:rsid w:val="088F3F9E"/>
    <w:rsid w:val="088F5575"/>
    <w:rsid w:val="08915791"/>
    <w:rsid w:val="08935065"/>
    <w:rsid w:val="08964B56"/>
    <w:rsid w:val="08966904"/>
    <w:rsid w:val="089718A3"/>
    <w:rsid w:val="089808CE"/>
    <w:rsid w:val="089A4646"/>
    <w:rsid w:val="089B6610"/>
    <w:rsid w:val="089F1C5C"/>
    <w:rsid w:val="08A2766C"/>
    <w:rsid w:val="08A2799E"/>
    <w:rsid w:val="08A60753"/>
    <w:rsid w:val="08A92ADB"/>
    <w:rsid w:val="08AB6853"/>
    <w:rsid w:val="08AD454F"/>
    <w:rsid w:val="08B96E0F"/>
    <w:rsid w:val="08BE2171"/>
    <w:rsid w:val="08C01BD2"/>
    <w:rsid w:val="08C23B9D"/>
    <w:rsid w:val="08C276F9"/>
    <w:rsid w:val="08C571E9"/>
    <w:rsid w:val="08C76A67"/>
    <w:rsid w:val="08D37B58"/>
    <w:rsid w:val="08D4742C"/>
    <w:rsid w:val="08D74D93"/>
    <w:rsid w:val="08DA5D97"/>
    <w:rsid w:val="08DD0F6E"/>
    <w:rsid w:val="08DD2784"/>
    <w:rsid w:val="08DF64FD"/>
    <w:rsid w:val="08E1507B"/>
    <w:rsid w:val="08E7715F"/>
    <w:rsid w:val="08E81855"/>
    <w:rsid w:val="08E92ED7"/>
    <w:rsid w:val="08EA6859"/>
    <w:rsid w:val="08EC0C19"/>
    <w:rsid w:val="08F024B8"/>
    <w:rsid w:val="08F31FA8"/>
    <w:rsid w:val="08F6791F"/>
    <w:rsid w:val="08F823CE"/>
    <w:rsid w:val="08FF0793"/>
    <w:rsid w:val="0902043D"/>
    <w:rsid w:val="090D306A"/>
    <w:rsid w:val="091268D2"/>
    <w:rsid w:val="091F16FC"/>
    <w:rsid w:val="092263E9"/>
    <w:rsid w:val="0925473D"/>
    <w:rsid w:val="0926412B"/>
    <w:rsid w:val="092F01B8"/>
    <w:rsid w:val="0930321F"/>
    <w:rsid w:val="09304145"/>
    <w:rsid w:val="093525C0"/>
    <w:rsid w:val="093932A9"/>
    <w:rsid w:val="093E76C7"/>
    <w:rsid w:val="094036E0"/>
    <w:rsid w:val="09434CDD"/>
    <w:rsid w:val="09440A55"/>
    <w:rsid w:val="09442803"/>
    <w:rsid w:val="094B5940"/>
    <w:rsid w:val="094D16B8"/>
    <w:rsid w:val="09502F56"/>
    <w:rsid w:val="0955056D"/>
    <w:rsid w:val="095509D9"/>
    <w:rsid w:val="095A265D"/>
    <w:rsid w:val="095A3DD5"/>
    <w:rsid w:val="095A5B83"/>
    <w:rsid w:val="095E1B17"/>
    <w:rsid w:val="095F3199"/>
    <w:rsid w:val="09616F12"/>
    <w:rsid w:val="09694018"/>
    <w:rsid w:val="096A04BC"/>
    <w:rsid w:val="096B403E"/>
    <w:rsid w:val="096B5FE2"/>
    <w:rsid w:val="096D3B08"/>
    <w:rsid w:val="096F5AD2"/>
    <w:rsid w:val="0970184A"/>
    <w:rsid w:val="09722ECD"/>
    <w:rsid w:val="097529BD"/>
    <w:rsid w:val="09776735"/>
    <w:rsid w:val="097906FF"/>
    <w:rsid w:val="097B7A1A"/>
    <w:rsid w:val="097C3D4B"/>
    <w:rsid w:val="09811362"/>
    <w:rsid w:val="098350DA"/>
    <w:rsid w:val="098826F0"/>
    <w:rsid w:val="098976B2"/>
    <w:rsid w:val="098B4BB8"/>
    <w:rsid w:val="098E5CEE"/>
    <w:rsid w:val="09945539"/>
    <w:rsid w:val="09972933"/>
    <w:rsid w:val="09985061"/>
    <w:rsid w:val="099B5E8A"/>
    <w:rsid w:val="099E0166"/>
    <w:rsid w:val="09B168CC"/>
    <w:rsid w:val="09B24731"/>
    <w:rsid w:val="09B5725D"/>
    <w:rsid w:val="09B72FD5"/>
    <w:rsid w:val="09B83C79"/>
    <w:rsid w:val="09BA060C"/>
    <w:rsid w:val="09BE2F03"/>
    <w:rsid w:val="09C71284"/>
    <w:rsid w:val="09C92960"/>
    <w:rsid w:val="09CA084E"/>
    <w:rsid w:val="09CB082F"/>
    <w:rsid w:val="09CB4CD3"/>
    <w:rsid w:val="09CB6A81"/>
    <w:rsid w:val="09CB6FDD"/>
    <w:rsid w:val="09CF031F"/>
    <w:rsid w:val="09D21BBD"/>
    <w:rsid w:val="09D5345C"/>
    <w:rsid w:val="09D541E2"/>
    <w:rsid w:val="09D65B51"/>
    <w:rsid w:val="09D73678"/>
    <w:rsid w:val="09DD4157"/>
    <w:rsid w:val="09DE0562"/>
    <w:rsid w:val="09DE5915"/>
    <w:rsid w:val="09E0252C"/>
    <w:rsid w:val="09E10052"/>
    <w:rsid w:val="09E323BC"/>
    <w:rsid w:val="09EA33AB"/>
    <w:rsid w:val="09EC2210"/>
    <w:rsid w:val="09ED0EE7"/>
    <w:rsid w:val="09F204B1"/>
    <w:rsid w:val="09F2400E"/>
    <w:rsid w:val="09FB7366"/>
    <w:rsid w:val="0A026946"/>
    <w:rsid w:val="0A0420EC"/>
    <w:rsid w:val="0A05688E"/>
    <w:rsid w:val="0A121772"/>
    <w:rsid w:val="0A130955"/>
    <w:rsid w:val="0A157CFC"/>
    <w:rsid w:val="0A166660"/>
    <w:rsid w:val="0A193C90"/>
    <w:rsid w:val="0A195A3E"/>
    <w:rsid w:val="0A1B3564"/>
    <w:rsid w:val="0A1B5312"/>
    <w:rsid w:val="0A2166A1"/>
    <w:rsid w:val="0A222B45"/>
    <w:rsid w:val="0A243FB0"/>
    <w:rsid w:val="0A312D88"/>
    <w:rsid w:val="0A36742C"/>
    <w:rsid w:val="0A3B59B5"/>
    <w:rsid w:val="0A4148B4"/>
    <w:rsid w:val="0A432061"/>
    <w:rsid w:val="0A4C7BC2"/>
    <w:rsid w:val="0A516F86"/>
    <w:rsid w:val="0A530F50"/>
    <w:rsid w:val="0A570314"/>
    <w:rsid w:val="0A5B1BB3"/>
    <w:rsid w:val="0A5C592B"/>
    <w:rsid w:val="0A5E78F5"/>
    <w:rsid w:val="0A5F58ED"/>
    <w:rsid w:val="0A627B8A"/>
    <w:rsid w:val="0A696276"/>
    <w:rsid w:val="0A6A2374"/>
    <w:rsid w:val="0A6C2012"/>
    <w:rsid w:val="0A6F38B0"/>
    <w:rsid w:val="0A710112"/>
    <w:rsid w:val="0A780920"/>
    <w:rsid w:val="0A7809B7"/>
    <w:rsid w:val="0A79472F"/>
    <w:rsid w:val="0A805ABD"/>
    <w:rsid w:val="0A8D509B"/>
    <w:rsid w:val="0A8E1F88"/>
    <w:rsid w:val="0A8F5D00"/>
    <w:rsid w:val="0A911A78"/>
    <w:rsid w:val="0A9A10E9"/>
    <w:rsid w:val="0A9B28F7"/>
    <w:rsid w:val="0A9D041D"/>
    <w:rsid w:val="0A9E5F43"/>
    <w:rsid w:val="0AA55524"/>
    <w:rsid w:val="0AA7304A"/>
    <w:rsid w:val="0AAC0660"/>
    <w:rsid w:val="0AB063A2"/>
    <w:rsid w:val="0AB07E44"/>
    <w:rsid w:val="0AB26AC6"/>
    <w:rsid w:val="0AB55CF1"/>
    <w:rsid w:val="0AB7134A"/>
    <w:rsid w:val="0AC37758"/>
    <w:rsid w:val="0AC537A9"/>
    <w:rsid w:val="0ACA6D38"/>
    <w:rsid w:val="0ACC2AB1"/>
    <w:rsid w:val="0ACC7288"/>
    <w:rsid w:val="0ACE05D7"/>
    <w:rsid w:val="0ACE4A7B"/>
    <w:rsid w:val="0ACF0222"/>
    <w:rsid w:val="0AD16319"/>
    <w:rsid w:val="0AD34F2C"/>
    <w:rsid w:val="0AD57BB7"/>
    <w:rsid w:val="0ADD6A6C"/>
    <w:rsid w:val="0ADF0A36"/>
    <w:rsid w:val="0AE53B72"/>
    <w:rsid w:val="0AE55920"/>
    <w:rsid w:val="0AEC0519"/>
    <w:rsid w:val="0AED2BEE"/>
    <w:rsid w:val="0AF0679F"/>
    <w:rsid w:val="0AF57C2F"/>
    <w:rsid w:val="0AF63DD7"/>
    <w:rsid w:val="0AF81AF7"/>
    <w:rsid w:val="0AFD710E"/>
    <w:rsid w:val="0B024724"/>
    <w:rsid w:val="0B04224A"/>
    <w:rsid w:val="0B062017"/>
    <w:rsid w:val="0B093D05"/>
    <w:rsid w:val="0B1020C4"/>
    <w:rsid w:val="0B1306DF"/>
    <w:rsid w:val="0B1775AF"/>
    <w:rsid w:val="0B183F48"/>
    <w:rsid w:val="0B1D155E"/>
    <w:rsid w:val="0B1F0E32"/>
    <w:rsid w:val="0B246449"/>
    <w:rsid w:val="0B2B5A29"/>
    <w:rsid w:val="0B334FD6"/>
    <w:rsid w:val="0B3568A8"/>
    <w:rsid w:val="0B3747AC"/>
    <w:rsid w:val="0B3B3792"/>
    <w:rsid w:val="0B3C7C36"/>
    <w:rsid w:val="0B3D750A"/>
    <w:rsid w:val="0B3E2722"/>
    <w:rsid w:val="0B3F21FB"/>
    <w:rsid w:val="0B3F7726"/>
    <w:rsid w:val="0B440903"/>
    <w:rsid w:val="0B4765DB"/>
    <w:rsid w:val="0B504BA6"/>
    <w:rsid w:val="0B523588"/>
    <w:rsid w:val="0B5C6392"/>
    <w:rsid w:val="0B5F56D3"/>
    <w:rsid w:val="0B5F72BA"/>
    <w:rsid w:val="0B642CE9"/>
    <w:rsid w:val="0B696551"/>
    <w:rsid w:val="0B6A2B3F"/>
    <w:rsid w:val="0B6B051B"/>
    <w:rsid w:val="0B6E5916"/>
    <w:rsid w:val="0B705B32"/>
    <w:rsid w:val="0B7218AA"/>
    <w:rsid w:val="0B7517D8"/>
    <w:rsid w:val="0B7955A7"/>
    <w:rsid w:val="0B7C44D7"/>
    <w:rsid w:val="0B8044E5"/>
    <w:rsid w:val="0B880C5E"/>
    <w:rsid w:val="0B883E21"/>
    <w:rsid w:val="0B9026B1"/>
    <w:rsid w:val="0B905282"/>
    <w:rsid w:val="0B912679"/>
    <w:rsid w:val="0B927856"/>
    <w:rsid w:val="0B955598"/>
    <w:rsid w:val="0B9F01C5"/>
    <w:rsid w:val="0BA21FFA"/>
    <w:rsid w:val="0BA436F8"/>
    <w:rsid w:val="0BA53A2D"/>
    <w:rsid w:val="0BA82D63"/>
    <w:rsid w:val="0BA8707A"/>
    <w:rsid w:val="0BAB4DBC"/>
    <w:rsid w:val="0BAD1BD9"/>
    <w:rsid w:val="0BAF624C"/>
    <w:rsid w:val="0BB21118"/>
    <w:rsid w:val="0BB25A4B"/>
    <w:rsid w:val="0BB7550F"/>
    <w:rsid w:val="0BBC0D77"/>
    <w:rsid w:val="0BC00D87"/>
    <w:rsid w:val="0BC027C4"/>
    <w:rsid w:val="0BC2327F"/>
    <w:rsid w:val="0BC255AF"/>
    <w:rsid w:val="0BC62DB6"/>
    <w:rsid w:val="0BC70130"/>
    <w:rsid w:val="0BC86D1D"/>
    <w:rsid w:val="0BD31156"/>
    <w:rsid w:val="0BD460C1"/>
    <w:rsid w:val="0BD95485"/>
    <w:rsid w:val="0BDC04FE"/>
    <w:rsid w:val="0BDD761A"/>
    <w:rsid w:val="0BE02ED6"/>
    <w:rsid w:val="0BE04A65"/>
    <w:rsid w:val="0BE1258C"/>
    <w:rsid w:val="0BE26F79"/>
    <w:rsid w:val="0BE666D7"/>
    <w:rsid w:val="0BEB6F66"/>
    <w:rsid w:val="0BED2CDE"/>
    <w:rsid w:val="0BEF6A57"/>
    <w:rsid w:val="0BF16C73"/>
    <w:rsid w:val="0BF204EC"/>
    <w:rsid w:val="0BF70001"/>
    <w:rsid w:val="0BF71DAF"/>
    <w:rsid w:val="0BFE4EEC"/>
    <w:rsid w:val="0BFF5C04"/>
    <w:rsid w:val="0C001D59"/>
    <w:rsid w:val="0C006EB6"/>
    <w:rsid w:val="0C0100DB"/>
    <w:rsid w:val="0C013CF8"/>
    <w:rsid w:val="0C0907AC"/>
    <w:rsid w:val="0C0A78B5"/>
    <w:rsid w:val="0C0E59F9"/>
    <w:rsid w:val="0C0F0EA7"/>
    <w:rsid w:val="0C122745"/>
    <w:rsid w:val="0C1B3CF0"/>
    <w:rsid w:val="0C1C1816"/>
    <w:rsid w:val="0C1C35C4"/>
    <w:rsid w:val="0C1D11D3"/>
    <w:rsid w:val="0C1E0A6B"/>
    <w:rsid w:val="0C216E2C"/>
    <w:rsid w:val="0C247609"/>
    <w:rsid w:val="0C2801BA"/>
    <w:rsid w:val="0C28640C"/>
    <w:rsid w:val="0C295645"/>
    <w:rsid w:val="0C2974B8"/>
    <w:rsid w:val="0C2A3F33"/>
    <w:rsid w:val="0C2D57D1"/>
    <w:rsid w:val="0C2F779B"/>
    <w:rsid w:val="0C300E1D"/>
    <w:rsid w:val="0C3152C1"/>
    <w:rsid w:val="0C3628D7"/>
    <w:rsid w:val="0C384337"/>
    <w:rsid w:val="0C3C00DF"/>
    <w:rsid w:val="0C3E1BA1"/>
    <w:rsid w:val="0C44272B"/>
    <w:rsid w:val="0C466793"/>
    <w:rsid w:val="0C474AE5"/>
    <w:rsid w:val="0C476893"/>
    <w:rsid w:val="0C4A4ECC"/>
    <w:rsid w:val="0C4A6383"/>
    <w:rsid w:val="0C5114BF"/>
    <w:rsid w:val="0C525237"/>
    <w:rsid w:val="0C540FAF"/>
    <w:rsid w:val="0C5B757D"/>
    <w:rsid w:val="0C5C7E64"/>
    <w:rsid w:val="0C5D60B6"/>
    <w:rsid w:val="0C5F38DA"/>
    <w:rsid w:val="0C6805B7"/>
    <w:rsid w:val="0C692CAD"/>
    <w:rsid w:val="0C6977AC"/>
    <w:rsid w:val="0C6D078C"/>
    <w:rsid w:val="0C6F5DE9"/>
    <w:rsid w:val="0C727688"/>
    <w:rsid w:val="0C735FAA"/>
    <w:rsid w:val="0C756241"/>
    <w:rsid w:val="0C774C9E"/>
    <w:rsid w:val="0C781676"/>
    <w:rsid w:val="0C782EF0"/>
    <w:rsid w:val="0C7D2528"/>
    <w:rsid w:val="0C840344"/>
    <w:rsid w:val="0C8460EE"/>
    <w:rsid w:val="0C880C59"/>
    <w:rsid w:val="0C8A677F"/>
    <w:rsid w:val="0C8C24F7"/>
    <w:rsid w:val="0C8D0F7C"/>
    <w:rsid w:val="0C931AD8"/>
    <w:rsid w:val="0C9475FE"/>
    <w:rsid w:val="0C970E9C"/>
    <w:rsid w:val="0C9A56A7"/>
    <w:rsid w:val="0C9B6BDE"/>
    <w:rsid w:val="0C9D1E10"/>
    <w:rsid w:val="0C9E222B"/>
    <w:rsid w:val="0CA27F6D"/>
    <w:rsid w:val="0CA3555A"/>
    <w:rsid w:val="0CA35A93"/>
    <w:rsid w:val="0CAD246E"/>
    <w:rsid w:val="0CAD6531"/>
    <w:rsid w:val="0CAE342B"/>
    <w:rsid w:val="0CAF61E6"/>
    <w:rsid w:val="0CB40631"/>
    <w:rsid w:val="0CB8153E"/>
    <w:rsid w:val="0CBC3C5C"/>
    <w:rsid w:val="0CC222FA"/>
    <w:rsid w:val="0CC304A6"/>
    <w:rsid w:val="0CC54B85"/>
    <w:rsid w:val="0CCB1682"/>
    <w:rsid w:val="0CCD37C8"/>
    <w:rsid w:val="0CCF3824"/>
    <w:rsid w:val="0CCF4ADA"/>
    <w:rsid w:val="0CD10852"/>
    <w:rsid w:val="0CD520F0"/>
    <w:rsid w:val="0CD54007"/>
    <w:rsid w:val="0CDE24DE"/>
    <w:rsid w:val="0CDE6ACB"/>
    <w:rsid w:val="0CDF4D1D"/>
    <w:rsid w:val="0CE265BB"/>
    <w:rsid w:val="0CE51C08"/>
    <w:rsid w:val="0CEA02BE"/>
    <w:rsid w:val="0CEA36C2"/>
    <w:rsid w:val="0CEB1914"/>
    <w:rsid w:val="0CF14A50"/>
    <w:rsid w:val="0CF32576"/>
    <w:rsid w:val="0CF408A5"/>
    <w:rsid w:val="0CF62067"/>
    <w:rsid w:val="0CFB142B"/>
    <w:rsid w:val="0D022162"/>
    <w:rsid w:val="0D0261C8"/>
    <w:rsid w:val="0D044784"/>
    <w:rsid w:val="0D0A7B53"/>
    <w:rsid w:val="0D10137A"/>
    <w:rsid w:val="0D1163CB"/>
    <w:rsid w:val="0D116EA1"/>
    <w:rsid w:val="0D1B3086"/>
    <w:rsid w:val="0D1F336B"/>
    <w:rsid w:val="0D222E5C"/>
    <w:rsid w:val="0D240982"/>
    <w:rsid w:val="0D272220"/>
    <w:rsid w:val="0D295F98"/>
    <w:rsid w:val="0D314E4D"/>
    <w:rsid w:val="0D38442D"/>
    <w:rsid w:val="0D3B5CCB"/>
    <w:rsid w:val="0D3C01AB"/>
    <w:rsid w:val="0D3C216F"/>
    <w:rsid w:val="0D411534"/>
    <w:rsid w:val="0D4C0ED7"/>
    <w:rsid w:val="0D4D2B8B"/>
    <w:rsid w:val="0D505C1B"/>
    <w:rsid w:val="0D511A05"/>
    <w:rsid w:val="0D5154EF"/>
    <w:rsid w:val="0D563B5D"/>
    <w:rsid w:val="0D5A3338"/>
    <w:rsid w:val="0D5D5C42"/>
    <w:rsid w:val="0D61799C"/>
    <w:rsid w:val="0D646FD0"/>
    <w:rsid w:val="0D677AC9"/>
    <w:rsid w:val="0D690A8B"/>
    <w:rsid w:val="0D696CDD"/>
    <w:rsid w:val="0D6B4803"/>
    <w:rsid w:val="0D6C6406"/>
    <w:rsid w:val="0D766D04"/>
    <w:rsid w:val="0D7A67F4"/>
    <w:rsid w:val="0D7C6A10"/>
    <w:rsid w:val="0D7F205C"/>
    <w:rsid w:val="0D8F281E"/>
    <w:rsid w:val="0D953E90"/>
    <w:rsid w:val="0D973D77"/>
    <w:rsid w:val="0D9A0C44"/>
    <w:rsid w:val="0DA11FD2"/>
    <w:rsid w:val="0DA73361"/>
    <w:rsid w:val="0DA87805"/>
    <w:rsid w:val="0DAE649D"/>
    <w:rsid w:val="0DB066B9"/>
    <w:rsid w:val="0DB258C4"/>
    <w:rsid w:val="0DB42553"/>
    <w:rsid w:val="0DB52476"/>
    <w:rsid w:val="0DB53CD0"/>
    <w:rsid w:val="0DB717F6"/>
    <w:rsid w:val="0DBA12E6"/>
    <w:rsid w:val="0DBC0260"/>
    <w:rsid w:val="0DC602BF"/>
    <w:rsid w:val="0DC65EDD"/>
    <w:rsid w:val="0DC932D7"/>
    <w:rsid w:val="0DCA30B6"/>
    <w:rsid w:val="0DCA549F"/>
    <w:rsid w:val="0DCB3427"/>
    <w:rsid w:val="0DCB704F"/>
    <w:rsid w:val="0DCC7B69"/>
    <w:rsid w:val="0DD01F33"/>
    <w:rsid w:val="0DD35576"/>
    <w:rsid w:val="0DD42096"/>
    <w:rsid w:val="0DD8176C"/>
    <w:rsid w:val="0DDA1988"/>
    <w:rsid w:val="0DDA3736"/>
    <w:rsid w:val="0DDD6D83"/>
    <w:rsid w:val="0DDE3227"/>
    <w:rsid w:val="0DE40111"/>
    <w:rsid w:val="0DE545B5"/>
    <w:rsid w:val="0DE71158"/>
    <w:rsid w:val="0DE92533"/>
    <w:rsid w:val="0DEA2591"/>
    <w:rsid w:val="0DEA641D"/>
    <w:rsid w:val="0DF35542"/>
    <w:rsid w:val="0DF465A6"/>
    <w:rsid w:val="0DF97AA6"/>
    <w:rsid w:val="0DFC1379"/>
    <w:rsid w:val="0E0367E9"/>
    <w:rsid w:val="0E0A5DCA"/>
    <w:rsid w:val="0E0D1416"/>
    <w:rsid w:val="0E0F4FE5"/>
    <w:rsid w:val="0E1409F6"/>
    <w:rsid w:val="0E1531DC"/>
    <w:rsid w:val="0E1A026B"/>
    <w:rsid w:val="0E1C78AB"/>
    <w:rsid w:val="0E1F17C1"/>
    <w:rsid w:val="0E2055ED"/>
    <w:rsid w:val="0E213113"/>
    <w:rsid w:val="0E214EC1"/>
    <w:rsid w:val="0E226524"/>
    <w:rsid w:val="0E286250"/>
    <w:rsid w:val="0E2A1FC8"/>
    <w:rsid w:val="0E2F12B5"/>
    <w:rsid w:val="0E303356"/>
    <w:rsid w:val="0E320E7D"/>
    <w:rsid w:val="0E341099"/>
    <w:rsid w:val="0E377A47"/>
    <w:rsid w:val="0E39220B"/>
    <w:rsid w:val="0E3966AF"/>
    <w:rsid w:val="0E3F479B"/>
    <w:rsid w:val="0E440BB0"/>
    <w:rsid w:val="0E465D21"/>
    <w:rsid w:val="0E4D2AEF"/>
    <w:rsid w:val="0E4D5CB6"/>
    <w:rsid w:val="0E5048B2"/>
    <w:rsid w:val="0E567261"/>
    <w:rsid w:val="0E5720CF"/>
    <w:rsid w:val="0E576B35"/>
    <w:rsid w:val="0E5B4877"/>
    <w:rsid w:val="0E5E1B7D"/>
    <w:rsid w:val="0E5E7EC3"/>
    <w:rsid w:val="0E664FCA"/>
    <w:rsid w:val="0E6A3D66"/>
    <w:rsid w:val="0E71459B"/>
    <w:rsid w:val="0E7224F8"/>
    <w:rsid w:val="0E72396F"/>
    <w:rsid w:val="0E743679"/>
    <w:rsid w:val="0E77774E"/>
    <w:rsid w:val="0E7D2A40"/>
    <w:rsid w:val="0E8122BC"/>
    <w:rsid w:val="0E821C25"/>
    <w:rsid w:val="0E8474DE"/>
    <w:rsid w:val="0E8611C8"/>
    <w:rsid w:val="0E87566C"/>
    <w:rsid w:val="0E8B67DF"/>
    <w:rsid w:val="0E8F3819"/>
    <w:rsid w:val="0E921AE2"/>
    <w:rsid w:val="0E975183"/>
    <w:rsid w:val="0E990EFC"/>
    <w:rsid w:val="0E9B20F1"/>
    <w:rsid w:val="0E9B2EC6"/>
    <w:rsid w:val="0EA16002"/>
    <w:rsid w:val="0EA24254"/>
    <w:rsid w:val="0EA46E2D"/>
    <w:rsid w:val="0EA55032"/>
    <w:rsid w:val="0EAA4EB7"/>
    <w:rsid w:val="0EAF24CD"/>
    <w:rsid w:val="0EB21FBD"/>
    <w:rsid w:val="0EB42B58"/>
    <w:rsid w:val="0EB67D00"/>
    <w:rsid w:val="0EBC4BEA"/>
    <w:rsid w:val="0EBD7051"/>
    <w:rsid w:val="0EC248F6"/>
    <w:rsid w:val="0EC266A4"/>
    <w:rsid w:val="0EC87A33"/>
    <w:rsid w:val="0ECB4844"/>
    <w:rsid w:val="0ED00784"/>
    <w:rsid w:val="0ED168E7"/>
    <w:rsid w:val="0ED308B1"/>
    <w:rsid w:val="0ED71A24"/>
    <w:rsid w:val="0ED816A6"/>
    <w:rsid w:val="0EE7435D"/>
    <w:rsid w:val="0EEA5BFB"/>
    <w:rsid w:val="0EEC54CF"/>
    <w:rsid w:val="0EF32D02"/>
    <w:rsid w:val="0EF56C51"/>
    <w:rsid w:val="0EF60FA5"/>
    <w:rsid w:val="0EFB5DDF"/>
    <w:rsid w:val="0EFE2094"/>
    <w:rsid w:val="0F000F7B"/>
    <w:rsid w:val="0F0071CD"/>
    <w:rsid w:val="0F040A6B"/>
    <w:rsid w:val="0F064985"/>
    <w:rsid w:val="0F0702F9"/>
    <w:rsid w:val="0F087E2F"/>
    <w:rsid w:val="0F0F11BE"/>
    <w:rsid w:val="0F0F73CE"/>
    <w:rsid w:val="0F113188"/>
    <w:rsid w:val="0F130CAE"/>
    <w:rsid w:val="0F16596B"/>
    <w:rsid w:val="0F1669F0"/>
    <w:rsid w:val="0F25287E"/>
    <w:rsid w:val="0F276507"/>
    <w:rsid w:val="0F276791"/>
    <w:rsid w:val="0F2B249C"/>
    <w:rsid w:val="0F2B26EE"/>
    <w:rsid w:val="0F2E3D3A"/>
    <w:rsid w:val="0F2F360E"/>
    <w:rsid w:val="0F346E76"/>
    <w:rsid w:val="0F380715"/>
    <w:rsid w:val="0F384BB8"/>
    <w:rsid w:val="0F3C2643"/>
    <w:rsid w:val="0F40581B"/>
    <w:rsid w:val="0F475E04"/>
    <w:rsid w:val="0F490B74"/>
    <w:rsid w:val="0F4B669A"/>
    <w:rsid w:val="0F4C0664"/>
    <w:rsid w:val="0F4C5F6E"/>
    <w:rsid w:val="0F503CB0"/>
    <w:rsid w:val="0F523D1F"/>
    <w:rsid w:val="0F523E1D"/>
    <w:rsid w:val="0F543075"/>
    <w:rsid w:val="0F587009"/>
    <w:rsid w:val="0F590216"/>
    <w:rsid w:val="0F59068B"/>
    <w:rsid w:val="0F5B4403"/>
    <w:rsid w:val="0F624301"/>
    <w:rsid w:val="0F64775C"/>
    <w:rsid w:val="0F657030"/>
    <w:rsid w:val="0F661726"/>
    <w:rsid w:val="0F670D1B"/>
    <w:rsid w:val="0F672951"/>
    <w:rsid w:val="0F6B3FD3"/>
    <w:rsid w:val="0F71016D"/>
    <w:rsid w:val="0F711E78"/>
    <w:rsid w:val="0F756B69"/>
    <w:rsid w:val="0F7770B6"/>
    <w:rsid w:val="0F781459"/>
    <w:rsid w:val="0F783207"/>
    <w:rsid w:val="0F7A6F7F"/>
    <w:rsid w:val="0F7F4595"/>
    <w:rsid w:val="0F8120BC"/>
    <w:rsid w:val="0F84395A"/>
    <w:rsid w:val="0F844707"/>
    <w:rsid w:val="0F8546EC"/>
    <w:rsid w:val="0F8751F8"/>
    <w:rsid w:val="0F8C4EA2"/>
    <w:rsid w:val="0F900551"/>
    <w:rsid w:val="0F91589E"/>
    <w:rsid w:val="0F9206B3"/>
    <w:rsid w:val="0F943BD3"/>
    <w:rsid w:val="0F9A6950"/>
    <w:rsid w:val="0FA07012"/>
    <w:rsid w:val="0FA20284"/>
    <w:rsid w:val="0FAB0EE6"/>
    <w:rsid w:val="0FB2312B"/>
    <w:rsid w:val="0FB32491"/>
    <w:rsid w:val="0FB56209"/>
    <w:rsid w:val="0FB66D50"/>
    <w:rsid w:val="0FB71719"/>
    <w:rsid w:val="0FB737A9"/>
    <w:rsid w:val="0FB87AA7"/>
    <w:rsid w:val="0FBC0B3C"/>
    <w:rsid w:val="0FBC30F4"/>
    <w:rsid w:val="0FBC7598"/>
    <w:rsid w:val="0FC1070A"/>
    <w:rsid w:val="0FC63F72"/>
    <w:rsid w:val="0FC93A62"/>
    <w:rsid w:val="0FCC47CA"/>
    <w:rsid w:val="0FCE1079"/>
    <w:rsid w:val="0FCF05E5"/>
    <w:rsid w:val="0FD541B5"/>
    <w:rsid w:val="0FD54811"/>
    <w:rsid w:val="0FDC19E8"/>
    <w:rsid w:val="0FDD12BC"/>
    <w:rsid w:val="0FDD306A"/>
    <w:rsid w:val="0FDF6DE2"/>
    <w:rsid w:val="0FE16FFE"/>
    <w:rsid w:val="0FE6770B"/>
    <w:rsid w:val="0FE743CF"/>
    <w:rsid w:val="0FE8213B"/>
    <w:rsid w:val="0FF22FB9"/>
    <w:rsid w:val="0FF420EE"/>
    <w:rsid w:val="0FF46D31"/>
    <w:rsid w:val="0FF85FCE"/>
    <w:rsid w:val="0FF860F6"/>
    <w:rsid w:val="0FFA1E6E"/>
    <w:rsid w:val="0FFD54BA"/>
    <w:rsid w:val="0FFE195E"/>
    <w:rsid w:val="10021B5E"/>
    <w:rsid w:val="10022AD1"/>
    <w:rsid w:val="1008458B"/>
    <w:rsid w:val="10093E5F"/>
    <w:rsid w:val="101051ED"/>
    <w:rsid w:val="10121653"/>
    <w:rsid w:val="10126657"/>
    <w:rsid w:val="10137041"/>
    <w:rsid w:val="10152804"/>
    <w:rsid w:val="101813A4"/>
    <w:rsid w:val="101958FA"/>
    <w:rsid w:val="101A606C"/>
    <w:rsid w:val="10206F12"/>
    <w:rsid w:val="102338A2"/>
    <w:rsid w:val="10277EA6"/>
    <w:rsid w:val="102962AF"/>
    <w:rsid w:val="102C7CAA"/>
    <w:rsid w:val="10321608"/>
    <w:rsid w:val="103449ED"/>
    <w:rsid w:val="10354C54"/>
    <w:rsid w:val="1039626D"/>
    <w:rsid w:val="103A226A"/>
    <w:rsid w:val="103C4234"/>
    <w:rsid w:val="103E61FE"/>
    <w:rsid w:val="104B091B"/>
    <w:rsid w:val="104B4477"/>
    <w:rsid w:val="104E5D16"/>
    <w:rsid w:val="105853DF"/>
    <w:rsid w:val="10593038"/>
    <w:rsid w:val="105E064F"/>
    <w:rsid w:val="10601E43"/>
    <w:rsid w:val="10606175"/>
    <w:rsid w:val="106122C9"/>
    <w:rsid w:val="106124AF"/>
    <w:rsid w:val="1065378B"/>
    <w:rsid w:val="106A2B50"/>
    <w:rsid w:val="106B68C8"/>
    <w:rsid w:val="106F1015"/>
    <w:rsid w:val="106F460A"/>
    <w:rsid w:val="107255D5"/>
    <w:rsid w:val="107514F4"/>
    <w:rsid w:val="10771710"/>
    <w:rsid w:val="10795489"/>
    <w:rsid w:val="1089587A"/>
    <w:rsid w:val="108B0D18"/>
    <w:rsid w:val="10945E1E"/>
    <w:rsid w:val="10947BCD"/>
    <w:rsid w:val="109776BD"/>
    <w:rsid w:val="109B53FF"/>
    <w:rsid w:val="109D108C"/>
    <w:rsid w:val="10A342B4"/>
    <w:rsid w:val="10A36062"/>
    <w:rsid w:val="10A65B52"/>
    <w:rsid w:val="10A87B1C"/>
    <w:rsid w:val="10AE35A2"/>
    <w:rsid w:val="10B14C22"/>
    <w:rsid w:val="10B23E66"/>
    <w:rsid w:val="10B65D95"/>
    <w:rsid w:val="10B77D5F"/>
    <w:rsid w:val="10B77F95"/>
    <w:rsid w:val="10BE2E9B"/>
    <w:rsid w:val="10BE4C49"/>
    <w:rsid w:val="10C009C2"/>
    <w:rsid w:val="10C34956"/>
    <w:rsid w:val="10C81F6C"/>
    <w:rsid w:val="10CB7D94"/>
    <w:rsid w:val="10CD7FF8"/>
    <w:rsid w:val="10D52DDF"/>
    <w:rsid w:val="10D821AF"/>
    <w:rsid w:val="10D970B3"/>
    <w:rsid w:val="10DB1C9F"/>
    <w:rsid w:val="10DB24BE"/>
    <w:rsid w:val="10DE64AA"/>
    <w:rsid w:val="10E2302E"/>
    <w:rsid w:val="10E30B54"/>
    <w:rsid w:val="10E34150"/>
    <w:rsid w:val="10E70644"/>
    <w:rsid w:val="10E943BC"/>
    <w:rsid w:val="10EF12A7"/>
    <w:rsid w:val="10F35EDA"/>
    <w:rsid w:val="10F62635"/>
    <w:rsid w:val="10F7015B"/>
    <w:rsid w:val="10FB0B68"/>
    <w:rsid w:val="10FD1C16"/>
    <w:rsid w:val="11052878"/>
    <w:rsid w:val="11063E57"/>
    <w:rsid w:val="110A7E8F"/>
    <w:rsid w:val="111331E7"/>
    <w:rsid w:val="11165192"/>
    <w:rsid w:val="111807FE"/>
    <w:rsid w:val="111D7BC2"/>
    <w:rsid w:val="111F404A"/>
    <w:rsid w:val="11252F1A"/>
    <w:rsid w:val="112847B9"/>
    <w:rsid w:val="112B0C82"/>
    <w:rsid w:val="112C6543"/>
    <w:rsid w:val="113373E5"/>
    <w:rsid w:val="113B273E"/>
    <w:rsid w:val="113D0264"/>
    <w:rsid w:val="11405FA6"/>
    <w:rsid w:val="114208D7"/>
    <w:rsid w:val="11423ACC"/>
    <w:rsid w:val="114333A1"/>
    <w:rsid w:val="114602B9"/>
    <w:rsid w:val="11477335"/>
    <w:rsid w:val="11551A52"/>
    <w:rsid w:val="115B28E6"/>
    <w:rsid w:val="115B693C"/>
    <w:rsid w:val="115D26B4"/>
    <w:rsid w:val="115F467E"/>
    <w:rsid w:val="115F59AD"/>
    <w:rsid w:val="11604BDC"/>
    <w:rsid w:val="116156A2"/>
    <w:rsid w:val="11617D63"/>
    <w:rsid w:val="11671785"/>
    <w:rsid w:val="116847DF"/>
    <w:rsid w:val="116972AB"/>
    <w:rsid w:val="116B3023"/>
    <w:rsid w:val="116C6D9B"/>
    <w:rsid w:val="1170503F"/>
    <w:rsid w:val="11716160"/>
    <w:rsid w:val="11731419"/>
    <w:rsid w:val="11733C86"/>
    <w:rsid w:val="117417AC"/>
    <w:rsid w:val="11755C50"/>
    <w:rsid w:val="117A14B8"/>
    <w:rsid w:val="117B6FDE"/>
    <w:rsid w:val="117D2D56"/>
    <w:rsid w:val="118063A3"/>
    <w:rsid w:val="118673F2"/>
    <w:rsid w:val="118E13DA"/>
    <w:rsid w:val="118E7C9A"/>
    <w:rsid w:val="11902A8A"/>
    <w:rsid w:val="119105B0"/>
    <w:rsid w:val="11934328"/>
    <w:rsid w:val="11965BC6"/>
    <w:rsid w:val="119A315B"/>
    <w:rsid w:val="119A56B6"/>
    <w:rsid w:val="119C3706"/>
    <w:rsid w:val="119D0D97"/>
    <w:rsid w:val="11A645A9"/>
    <w:rsid w:val="11A7392F"/>
    <w:rsid w:val="11A77DD3"/>
    <w:rsid w:val="11AB6631"/>
    <w:rsid w:val="11AC49F2"/>
    <w:rsid w:val="11AE2F10"/>
    <w:rsid w:val="11AE4B0A"/>
    <w:rsid w:val="11B566F9"/>
    <w:rsid w:val="11BA18B5"/>
    <w:rsid w:val="11C24C0D"/>
    <w:rsid w:val="11C42733"/>
    <w:rsid w:val="11C72224"/>
    <w:rsid w:val="11C95F9C"/>
    <w:rsid w:val="11CC15E8"/>
    <w:rsid w:val="11D34725"/>
    <w:rsid w:val="11D74D27"/>
    <w:rsid w:val="11DC5CCF"/>
    <w:rsid w:val="11DD2B05"/>
    <w:rsid w:val="11E0099A"/>
    <w:rsid w:val="11E332CA"/>
    <w:rsid w:val="11E42DD6"/>
    <w:rsid w:val="11E76422"/>
    <w:rsid w:val="11EC514B"/>
    <w:rsid w:val="11F1104F"/>
    <w:rsid w:val="11F16D55"/>
    <w:rsid w:val="11F748B7"/>
    <w:rsid w:val="11F7580A"/>
    <w:rsid w:val="11FC3C7B"/>
    <w:rsid w:val="11FF376C"/>
    <w:rsid w:val="12042B30"/>
    <w:rsid w:val="12080872"/>
    <w:rsid w:val="1209112D"/>
    <w:rsid w:val="120F683F"/>
    <w:rsid w:val="12107727"/>
    <w:rsid w:val="1211524D"/>
    <w:rsid w:val="12135469"/>
    <w:rsid w:val="12174F59"/>
    <w:rsid w:val="121C256F"/>
    <w:rsid w:val="12240AA2"/>
    <w:rsid w:val="12255599"/>
    <w:rsid w:val="122D652B"/>
    <w:rsid w:val="123141F1"/>
    <w:rsid w:val="12323B41"/>
    <w:rsid w:val="1232769D"/>
    <w:rsid w:val="123478B9"/>
    <w:rsid w:val="12372F05"/>
    <w:rsid w:val="12386C7D"/>
    <w:rsid w:val="123A0C48"/>
    <w:rsid w:val="123A29F6"/>
    <w:rsid w:val="123A47A4"/>
    <w:rsid w:val="12422F09"/>
    <w:rsid w:val="12440B95"/>
    <w:rsid w:val="12445622"/>
    <w:rsid w:val="1246139A"/>
    <w:rsid w:val="12467C52"/>
    <w:rsid w:val="124B59E0"/>
    <w:rsid w:val="12521AED"/>
    <w:rsid w:val="125C0BBE"/>
    <w:rsid w:val="12633CFA"/>
    <w:rsid w:val="12655CC4"/>
    <w:rsid w:val="12696E37"/>
    <w:rsid w:val="126A2A4B"/>
    <w:rsid w:val="126B2BAF"/>
    <w:rsid w:val="126D1B09"/>
    <w:rsid w:val="126F6B43"/>
    <w:rsid w:val="12706417"/>
    <w:rsid w:val="12751C80"/>
    <w:rsid w:val="127557DC"/>
    <w:rsid w:val="12765982"/>
    <w:rsid w:val="1279351E"/>
    <w:rsid w:val="127B54E8"/>
    <w:rsid w:val="127C6B6A"/>
    <w:rsid w:val="128679E9"/>
    <w:rsid w:val="128819B3"/>
    <w:rsid w:val="12883761"/>
    <w:rsid w:val="12891287"/>
    <w:rsid w:val="128F4AEF"/>
    <w:rsid w:val="12953067"/>
    <w:rsid w:val="129640D0"/>
    <w:rsid w:val="12981B50"/>
    <w:rsid w:val="129B31AF"/>
    <w:rsid w:val="129B7938"/>
    <w:rsid w:val="12A10CC7"/>
    <w:rsid w:val="12A14823"/>
    <w:rsid w:val="12A3059B"/>
    <w:rsid w:val="12A46208"/>
    <w:rsid w:val="12A83E03"/>
    <w:rsid w:val="12AB1C90"/>
    <w:rsid w:val="12AD766B"/>
    <w:rsid w:val="12B02CB8"/>
    <w:rsid w:val="12B17AB7"/>
    <w:rsid w:val="12B207DE"/>
    <w:rsid w:val="12B41E3D"/>
    <w:rsid w:val="12B67DB7"/>
    <w:rsid w:val="12B72298"/>
    <w:rsid w:val="12BD03DB"/>
    <w:rsid w:val="12C00E0F"/>
    <w:rsid w:val="12C0114D"/>
    <w:rsid w:val="12C150C5"/>
    <w:rsid w:val="12C42A8F"/>
    <w:rsid w:val="12C81DAF"/>
    <w:rsid w:val="12CA1FCB"/>
    <w:rsid w:val="12CD5618"/>
    <w:rsid w:val="12CF0BEC"/>
    <w:rsid w:val="12CF3438"/>
    <w:rsid w:val="12D22C2E"/>
    <w:rsid w:val="12D544CC"/>
    <w:rsid w:val="12D818B7"/>
    <w:rsid w:val="12DC3AAD"/>
    <w:rsid w:val="12E3308D"/>
    <w:rsid w:val="12E817B6"/>
    <w:rsid w:val="12EF37E0"/>
    <w:rsid w:val="12F546A5"/>
    <w:rsid w:val="12F6691D"/>
    <w:rsid w:val="12FB03D7"/>
    <w:rsid w:val="12FC3082"/>
    <w:rsid w:val="12FC462E"/>
    <w:rsid w:val="13002E93"/>
    <w:rsid w:val="13021765"/>
    <w:rsid w:val="13031039"/>
    <w:rsid w:val="130848A2"/>
    <w:rsid w:val="130A686C"/>
    <w:rsid w:val="130B73C8"/>
    <w:rsid w:val="130C6140"/>
    <w:rsid w:val="131274CE"/>
    <w:rsid w:val="13133A0F"/>
    <w:rsid w:val="13134B70"/>
    <w:rsid w:val="1317177A"/>
    <w:rsid w:val="13177B69"/>
    <w:rsid w:val="13181D28"/>
    <w:rsid w:val="131B2827"/>
    <w:rsid w:val="131F4456"/>
    <w:rsid w:val="13201BEB"/>
    <w:rsid w:val="13207E3D"/>
    <w:rsid w:val="13264747"/>
    <w:rsid w:val="13270AAD"/>
    <w:rsid w:val="132A4818"/>
    <w:rsid w:val="132F62D2"/>
    <w:rsid w:val="13370CE3"/>
    <w:rsid w:val="133833D9"/>
    <w:rsid w:val="13386F35"/>
    <w:rsid w:val="13394A5B"/>
    <w:rsid w:val="133D09EF"/>
    <w:rsid w:val="13492913"/>
    <w:rsid w:val="13497394"/>
    <w:rsid w:val="134C0C32"/>
    <w:rsid w:val="134E581F"/>
    <w:rsid w:val="1354747F"/>
    <w:rsid w:val="13556DE4"/>
    <w:rsid w:val="13581385"/>
    <w:rsid w:val="1362048E"/>
    <w:rsid w:val="136554C4"/>
    <w:rsid w:val="13686C5F"/>
    <w:rsid w:val="136A37B1"/>
    <w:rsid w:val="136B15CD"/>
    <w:rsid w:val="136D5F77"/>
    <w:rsid w:val="136E6DFB"/>
    <w:rsid w:val="136F66CF"/>
    <w:rsid w:val="1373302C"/>
    <w:rsid w:val="1373793F"/>
    <w:rsid w:val="13743CE5"/>
    <w:rsid w:val="13763F01"/>
    <w:rsid w:val="137E0B41"/>
    <w:rsid w:val="13854144"/>
    <w:rsid w:val="13871C6A"/>
    <w:rsid w:val="138C34D7"/>
    <w:rsid w:val="139A5ADB"/>
    <w:rsid w:val="139A7BF0"/>
    <w:rsid w:val="139C2C55"/>
    <w:rsid w:val="139E0D62"/>
    <w:rsid w:val="139E7BBC"/>
    <w:rsid w:val="13A12DDD"/>
    <w:rsid w:val="13A9398F"/>
    <w:rsid w:val="13AE5449"/>
    <w:rsid w:val="13B011C1"/>
    <w:rsid w:val="13B16CE7"/>
    <w:rsid w:val="13B4004B"/>
    <w:rsid w:val="13B54A2A"/>
    <w:rsid w:val="13B80076"/>
    <w:rsid w:val="13B81E24"/>
    <w:rsid w:val="13B94778"/>
    <w:rsid w:val="13C204A6"/>
    <w:rsid w:val="13C20EF5"/>
    <w:rsid w:val="13C358E6"/>
    <w:rsid w:val="13C92283"/>
    <w:rsid w:val="13C95DDF"/>
    <w:rsid w:val="13CA6005"/>
    <w:rsid w:val="13CC58CF"/>
    <w:rsid w:val="13D41300"/>
    <w:rsid w:val="13E12070"/>
    <w:rsid w:val="13E64BE3"/>
    <w:rsid w:val="13E729A1"/>
    <w:rsid w:val="13E86A02"/>
    <w:rsid w:val="13E946D3"/>
    <w:rsid w:val="13EE1CD2"/>
    <w:rsid w:val="13EE3A98"/>
    <w:rsid w:val="13F217DA"/>
    <w:rsid w:val="13F310AE"/>
    <w:rsid w:val="13F35552"/>
    <w:rsid w:val="13F7387C"/>
    <w:rsid w:val="13FA3191"/>
    <w:rsid w:val="13FA41EA"/>
    <w:rsid w:val="13FD3CDB"/>
    <w:rsid w:val="13FF2A20"/>
    <w:rsid w:val="14036DAA"/>
    <w:rsid w:val="14045069"/>
    <w:rsid w:val="14074B59"/>
    <w:rsid w:val="14092680"/>
    <w:rsid w:val="140B289C"/>
    <w:rsid w:val="140C5DFC"/>
    <w:rsid w:val="14101B8D"/>
    <w:rsid w:val="14117786"/>
    <w:rsid w:val="141252FA"/>
    <w:rsid w:val="141A488D"/>
    <w:rsid w:val="141D437D"/>
    <w:rsid w:val="14217F27"/>
    <w:rsid w:val="142A5DD1"/>
    <w:rsid w:val="142C45C0"/>
    <w:rsid w:val="142C636E"/>
    <w:rsid w:val="142E0338"/>
    <w:rsid w:val="143040B0"/>
    <w:rsid w:val="14382F65"/>
    <w:rsid w:val="143A1714"/>
    <w:rsid w:val="143A6CDD"/>
    <w:rsid w:val="143D057B"/>
    <w:rsid w:val="143E4A1F"/>
    <w:rsid w:val="144E4536"/>
    <w:rsid w:val="144E5BAF"/>
    <w:rsid w:val="14537D9F"/>
    <w:rsid w:val="145C6C53"/>
    <w:rsid w:val="146401FE"/>
    <w:rsid w:val="14645107"/>
    <w:rsid w:val="14691370"/>
    <w:rsid w:val="146B333A"/>
    <w:rsid w:val="146B50E8"/>
    <w:rsid w:val="146C2810"/>
    <w:rsid w:val="146E13F6"/>
    <w:rsid w:val="14755F67"/>
    <w:rsid w:val="14757D15"/>
    <w:rsid w:val="147B4BCC"/>
    <w:rsid w:val="148166BA"/>
    <w:rsid w:val="148937C0"/>
    <w:rsid w:val="148A26A1"/>
    <w:rsid w:val="148B578A"/>
    <w:rsid w:val="148C14E6"/>
    <w:rsid w:val="148E0DD7"/>
    <w:rsid w:val="14942891"/>
    <w:rsid w:val="1494463F"/>
    <w:rsid w:val="1496081E"/>
    <w:rsid w:val="14977C8B"/>
    <w:rsid w:val="14983A03"/>
    <w:rsid w:val="149908D3"/>
    <w:rsid w:val="149A59CD"/>
    <w:rsid w:val="14A02BEE"/>
    <w:rsid w:val="14A2553F"/>
    <w:rsid w:val="14AD74AF"/>
    <w:rsid w:val="14B77CBA"/>
    <w:rsid w:val="14C44852"/>
    <w:rsid w:val="14C55842"/>
    <w:rsid w:val="14C842E9"/>
    <w:rsid w:val="14C96EBA"/>
    <w:rsid w:val="14CA165F"/>
    <w:rsid w:val="14CB3DD9"/>
    <w:rsid w:val="14D3043E"/>
    <w:rsid w:val="14D30EEC"/>
    <w:rsid w:val="14D61ED0"/>
    <w:rsid w:val="14DA401C"/>
    <w:rsid w:val="14DE7716"/>
    <w:rsid w:val="14E210E9"/>
    <w:rsid w:val="14EA425F"/>
    <w:rsid w:val="14ED3D4F"/>
    <w:rsid w:val="14EF5D19"/>
    <w:rsid w:val="14F21366"/>
    <w:rsid w:val="14F50E56"/>
    <w:rsid w:val="14F75772"/>
    <w:rsid w:val="14FC21E4"/>
    <w:rsid w:val="14FC39E8"/>
    <w:rsid w:val="15033573"/>
    <w:rsid w:val="15063063"/>
    <w:rsid w:val="150A2B53"/>
    <w:rsid w:val="150B2427"/>
    <w:rsid w:val="150C3C03"/>
    <w:rsid w:val="150D1907"/>
    <w:rsid w:val="15113EE2"/>
    <w:rsid w:val="15115C90"/>
    <w:rsid w:val="15127C5A"/>
    <w:rsid w:val="151407C9"/>
    <w:rsid w:val="15177F3A"/>
    <w:rsid w:val="1519354D"/>
    <w:rsid w:val="151A266A"/>
    <w:rsid w:val="151B08BC"/>
    <w:rsid w:val="151B6B0E"/>
    <w:rsid w:val="151E03AD"/>
    <w:rsid w:val="151E65FF"/>
    <w:rsid w:val="152118C2"/>
    <w:rsid w:val="15211C4B"/>
    <w:rsid w:val="15212EA4"/>
    <w:rsid w:val="15227E9D"/>
    <w:rsid w:val="1527090B"/>
    <w:rsid w:val="152A4FA3"/>
    <w:rsid w:val="1532440A"/>
    <w:rsid w:val="1534734F"/>
    <w:rsid w:val="15390C40"/>
    <w:rsid w:val="153B4ABB"/>
    <w:rsid w:val="153C0833"/>
    <w:rsid w:val="153F4C7F"/>
    <w:rsid w:val="154132E2"/>
    <w:rsid w:val="1542409B"/>
    <w:rsid w:val="15451DDD"/>
    <w:rsid w:val="15455939"/>
    <w:rsid w:val="15461A98"/>
    <w:rsid w:val="15475B55"/>
    <w:rsid w:val="154E0D1F"/>
    <w:rsid w:val="154F67B8"/>
    <w:rsid w:val="15581DAD"/>
    <w:rsid w:val="15612B32"/>
    <w:rsid w:val="1562473D"/>
    <w:rsid w:val="15634011"/>
    <w:rsid w:val="1565637E"/>
    <w:rsid w:val="156644E7"/>
    <w:rsid w:val="156814A0"/>
    <w:rsid w:val="156C736A"/>
    <w:rsid w:val="156D538C"/>
    <w:rsid w:val="156E51A0"/>
    <w:rsid w:val="157D4738"/>
    <w:rsid w:val="15885319"/>
    <w:rsid w:val="158A77F0"/>
    <w:rsid w:val="158D7C02"/>
    <w:rsid w:val="15915022"/>
    <w:rsid w:val="159348F7"/>
    <w:rsid w:val="15962639"/>
    <w:rsid w:val="15A9411A"/>
    <w:rsid w:val="15AB2C3C"/>
    <w:rsid w:val="15AD3816"/>
    <w:rsid w:val="15BB58EF"/>
    <w:rsid w:val="15BF6F07"/>
    <w:rsid w:val="15C03212"/>
    <w:rsid w:val="15C643BD"/>
    <w:rsid w:val="15C745A0"/>
    <w:rsid w:val="15C9656A"/>
    <w:rsid w:val="15CC520E"/>
    <w:rsid w:val="15CF0D89"/>
    <w:rsid w:val="15D1541F"/>
    <w:rsid w:val="15E07B35"/>
    <w:rsid w:val="15E124A9"/>
    <w:rsid w:val="15E433A4"/>
    <w:rsid w:val="15E45152"/>
    <w:rsid w:val="15EB0477"/>
    <w:rsid w:val="15EB1BC9"/>
    <w:rsid w:val="15EE4223"/>
    <w:rsid w:val="15F31839"/>
    <w:rsid w:val="15F757FD"/>
    <w:rsid w:val="15F829AC"/>
    <w:rsid w:val="15FB249C"/>
    <w:rsid w:val="15FD7FC2"/>
    <w:rsid w:val="15FF4C81"/>
    <w:rsid w:val="16021A3F"/>
    <w:rsid w:val="160457F4"/>
    <w:rsid w:val="160530ED"/>
    <w:rsid w:val="16066C7F"/>
    <w:rsid w:val="160752E5"/>
    <w:rsid w:val="160A26DF"/>
    <w:rsid w:val="160B6B83"/>
    <w:rsid w:val="160C46A9"/>
    <w:rsid w:val="160D6DC3"/>
    <w:rsid w:val="160F7CF5"/>
    <w:rsid w:val="16114E4F"/>
    <w:rsid w:val="161861A8"/>
    <w:rsid w:val="161F43DC"/>
    <w:rsid w:val="16210154"/>
    <w:rsid w:val="16212663"/>
    <w:rsid w:val="16225C7A"/>
    <w:rsid w:val="16283D06"/>
    <w:rsid w:val="162B0FD3"/>
    <w:rsid w:val="162B4ED3"/>
    <w:rsid w:val="162C6AF9"/>
    <w:rsid w:val="162D2727"/>
    <w:rsid w:val="16337E88"/>
    <w:rsid w:val="163836F0"/>
    <w:rsid w:val="163C6D3C"/>
    <w:rsid w:val="164204F9"/>
    <w:rsid w:val="16491459"/>
    <w:rsid w:val="16496D18"/>
    <w:rsid w:val="165327F6"/>
    <w:rsid w:val="16571DC8"/>
    <w:rsid w:val="165A3666"/>
    <w:rsid w:val="165F0C7D"/>
    <w:rsid w:val="165F63FA"/>
    <w:rsid w:val="16610551"/>
    <w:rsid w:val="1663076D"/>
    <w:rsid w:val="16685D83"/>
    <w:rsid w:val="16706C50"/>
    <w:rsid w:val="16721071"/>
    <w:rsid w:val="16724EB6"/>
    <w:rsid w:val="16726C02"/>
    <w:rsid w:val="16730C84"/>
    <w:rsid w:val="167504A0"/>
    <w:rsid w:val="167E55A7"/>
    <w:rsid w:val="168144C9"/>
    <w:rsid w:val="16895CFA"/>
    <w:rsid w:val="168D3A3C"/>
    <w:rsid w:val="169311EC"/>
    <w:rsid w:val="169326D4"/>
    <w:rsid w:val="16970417"/>
    <w:rsid w:val="169F5011"/>
    <w:rsid w:val="16A20B69"/>
    <w:rsid w:val="16A44B2E"/>
    <w:rsid w:val="16A938D8"/>
    <w:rsid w:val="16AB3EC2"/>
    <w:rsid w:val="16AB4A01"/>
    <w:rsid w:val="16B32D77"/>
    <w:rsid w:val="16B40FC8"/>
    <w:rsid w:val="16B71B14"/>
    <w:rsid w:val="16BA5EB3"/>
    <w:rsid w:val="16C04307"/>
    <w:rsid w:val="16C3745D"/>
    <w:rsid w:val="16CA2BF4"/>
    <w:rsid w:val="16CB00C0"/>
    <w:rsid w:val="16CB4564"/>
    <w:rsid w:val="16CF7BB0"/>
    <w:rsid w:val="16D2144F"/>
    <w:rsid w:val="16D50F3F"/>
    <w:rsid w:val="16D57191"/>
    <w:rsid w:val="16DA6555"/>
    <w:rsid w:val="16DE4297"/>
    <w:rsid w:val="16E573D4"/>
    <w:rsid w:val="16EB2911"/>
    <w:rsid w:val="16ED0036"/>
    <w:rsid w:val="16F02EEF"/>
    <w:rsid w:val="16F13FCB"/>
    <w:rsid w:val="16F5513D"/>
    <w:rsid w:val="16F72C63"/>
    <w:rsid w:val="16F76E2A"/>
    <w:rsid w:val="16FA2753"/>
    <w:rsid w:val="16FB6BF7"/>
    <w:rsid w:val="16FB7366"/>
    <w:rsid w:val="16FC471D"/>
    <w:rsid w:val="16FC64CC"/>
    <w:rsid w:val="17016BAE"/>
    <w:rsid w:val="170B4961"/>
    <w:rsid w:val="170B670F"/>
    <w:rsid w:val="17105EE5"/>
    <w:rsid w:val="17120E59"/>
    <w:rsid w:val="17141A67"/>
    <w:rsid w:val="17143B31"/>
    <w:rsid w:val="171B1A9F"/>
    <w:rsid w:val="171D500B"/>
    <w:rsid w:val="1720665E"/>
    <w:rsid w:val="1721766D"/>
    <w:rsid w:val="17231CAA"/>
    <w:rsid w:val="172577D0"/>
    <w:rsid w:val="172872C1"/>
    <w:rsid w:val="172D48D7"/>
    <w:rsid w:val="172F064F"/>
    <w:rsid w:val="173043C7"/>
    <w:rsid w:val="1731642A"/>
    <w:rsid w:val="17326391"/>
    <w:rsid w:val="173503D8"/>
    <w:rsid w:val="173739A8"/>
    <w:rsid w:val="17375756"/>
    <w:rsid w:val="173914CE"/>
    <w:rsid w:val="173C2D6C"/>
    <w:rsid w:val="173C4B1A"/>
    <w:rsid w:val="173F047E"/>
    <w:rsid w:val="1740285C"/>
    <w:rsid w:val="1740460A"/>
    <w:rsid w:val="17406C56"/>
    <w:rsid w:val="17482D06"/>
    <w:rsid w:val="174E2891"/>
    <w:rsid w:val="174F0CF1"/>
    <w:rsid w:val="175133E0"/>
    <w:rsid w:val="17514A69"/>
    <w:rsid w:val="175400B6"/>
    <w:rsid w:val="17555BDC"/>
    <w:rsid w:val="175677B7"/>
    <w:rsid w:val="1758223C"/>
    <w:rsid w:val="17583772"/>
    <w:rsid w:val="17591D3B"/>
    <w:rsid w:val="175A0C63"/>
    <w:rsid w:val="175A2A8E"/>
    <w:rsid w:val="175D340E"/>
    <w:rsid w:val="175E5EA3"/>
    <w:rsid w:val="175E75E4"/>
    <w:rsid w:val="175E7DE9"/>
    <w:rsid w:val="1767603B"/>
    <w:rsid w:val="1768590F"/>
    <w:rsid w:val="176860DE"/>
    <w:rsid w:val="176F4EEF"/>
    <w:rsid w:val="17793FC0"/>
    <w:rsid w:val="177E15D6"/>
    <w:rsid w:val="17884E38"/>
    <w:rsid w:val="178A6DBB"/>
    <w:rsid w:val="178A7F7B"/>
    <w:rsid w:val="178D18AD"/>
    <w:rsid w:val="178D5376"/>
    <w:rsid w:val="179A689C"/>
    <w:rsid w:val="179E7583"/>
    <w:rsid w:val="17A66F6C"/>
    <w:rsid w:val="17A76437"/>
    <w:rsid w:val="17AA23CB"/>
    <w:rsid w:val="17AA4179"/>
    <w:rsid w:val="17AE3C6A"/>
    <w:rsid w:val="17B25213"/>
    <w:rsid w:val="17B374D2"/>
    <w:rsid w:val="17B41554"/>
    <w:rsid w:val="17B84AE8"/>
    <w:rsid w:val="17BA0860"/>
    <w:rsid w:val="17C0574B"/>
    <w:rsid w:val="17C05DB9"/>
    <w:rsid w:val="17C074F9"/>
    <w:rsid w:val="17C13C81"/>
    <w:rsid w:val="17C20009"/>
    <w:rsid w:val="17C75113"/>
    <w:rsid w:val="17CC0594"/>
    <w:rsid w:val="17CE7E68"/>
    <w:rsid w:val="17CF1E32"/>
    <w:rsid w:val="17E23913"/>
    <w:rsid w:val="17E34552"/>
    <w:rsid w:val="17E41D56"/>
    <w:rsid w:val="17E56F60"/>
    <w:rsid w:val="17E72CD8"/>
    <w:rsid w:val="17EA420A"/>
    <w:rsid w:val="17EB193D"/>
    <w:rsid w:val="1800023D"/>
    <w:rsid w:val="18001FEB"/>
    <w:rsid w:val="180366A1"/>
    <w:rsid w:val="18037057"/>
    <w:rsid w:val="1803771B"/>
    <w:rsid w:val="18041ADC"/>
    <w:rsid w:val="18043C25"/>
    <w:rsid w:val="18046CA4"/>
    <w:rsid w:val="18117D55"/>
    <w:rsid w:val="18123166"/>
    <w:rsid w:val="1820443C"/>
    <w:rsid w:val="18215965"/>
    <w:rsid w:val="18245EAB"/>
    <w:rsid w:val="18262B9B"/>
    <w:rsid w:val="182B0260"/>
    <w:rsid w:val="182B350C"/>
    <w:rsid w:val="182F17B2"/>
    <w:rsid w:val="182F467F"/>
    <w:rsid w:val="18300071"/>
    <w:rsid w:val="18316649"/>
    <w:rsid w:val="1838657A"/>
    <w:rsid w:val="183879D7"/>
    <w:rsid w:val="183A09E6"/>
    <w:rsid w:val="183A5D62"/>
    <w:rsid w:val="183C74C7"/>
    <w:rsid w:val="183D3240"/>
    <w:rsid w:val="183E690F"/>
    <w:rsid w:val="183F7515"/>
    <w:rsid w:val="18455C50"/>
    <w:rsid w:val="184719C8"/>
    <w:rsid w:val="184A704A"/>
    <w:rsid w:val="184C5345"/>
    <w:rsid w:val="185504A4"/>
    <w:rsid w:val="185515CA"/>
    <w:rsid w:val="185660F9"/>
    <w:rsid w:val="18574301"/>
    <w:rsid w:val="1858727D"/>
    <w:rsid w:val="185A794E"/>
    <w:rsid w:val="185F6D12"/>
    <w:rsid w:val="18616F2E"/>
    <w:rsid w:val="18626802"/>
    <w:rsid w:val="1864257A"/>
    <w:rsid w:val="186D5E82"/>
    <w:rsid w:val="18702CCD"/>
    <w:rsid w:val="18707171"/>
    <w:rsid w:val="18784278"/>
    <w:rsid w:val="187B2616"/>
    <w:rsid w:val="187C78C4"/>
    <w:rsid w:val="187D53EA"/>
    <w:rsid w:val="18801B6C"/>
    <w:rsid w:val="18812A9E"/>
    <w:rsid w:val="18816488"/>
    <w:rsid w:val="18832D9F"/>
    <w:rsid w:val="1883492C"/>
    <w:rsid w:val="18842C1C"/>
    <w:rsid w:val="188624F1"/>
    <w:rsid w:val="1888270D"/>
    <w:rsid w:val="188C616C"/>
    <w:rsid w:val="18914360"/>
    <w:rsid w:val="18925339"/>
    <w:rsid w:val="18932E60"/>
    <w:rsid w:val="18934C0E"/>
    <w:rsid w:val="1898077E"/>
    <w:rsid w:val="189866C8"/>
    <w:rsid w:val="189D6A8C"/>
    <w:rsid w:val="189F7A56"/>
    <w:rsid w:val="18A45170"/>
    <w:rsid w:val="18A618E4"/>
    <w:rsid w:val="18A64941"/>
    <w:rsid w:val="18A94431"/>
    <w:rsid w:val="18AD2173"/>
    <w:rsid w:val="18AD3F21"/>
    <w:rsid w:val="18AF5EEB"/>
    <w:rsid w:val="18B03A11"/>
    <w:rsid w:val="18B260EC"/>
    <w:rsid w:val="18B43502"/>
    <w:rsid w:val="18BA663E"/>
    <w:rsid w:val="18BE612E"/>
    <w:rsid w:val="18C64145"/>
    <w:rsid w:val="18C9062F"/>
    <w:rsid w:val="18D019BE"/>
    <w:rsid w:val="18D05E62"/>
    <w:rsid w:val="18D31732"/>
    <w:rsid w:val="18D57AE6"/>
    <w:rsid w:val="18DA140D"/>
    <w:rsid w:val="18DA45EA"/>
    <w:rsid w:val="18E15979"/>
    <w:rsid w:val="18E544DC"/>
    <w:rsid w:val="18EA6F23"/>
    <w:rsid w:val="18EB29CF"/>
    <w:rsid w:val="18ED431E"/>
    <w:rsid w:val="18EF5A71"/>
    <w:rsid w:val="18F25DD8"/>
    <w:rsid w:val="18FD5FFB"/>
    <w:rsid w:val="18FE1560"/>
    <w:rsid w:val="18FF3013"/>
    <w:rsid w:val="1904772F"/>
    <w:rsid w:val="190A3122"/>
    <w:rsid w:val="190B6E9A"/>
    <w:rsid w:val="190C3AB9"/>
    <w:rsid w:val="190D676E"/>
    <w:rsid w:val="19121FD6"/>
    <w:rsid w:val="19143FA0"/>
    <w:rsid w:val="19151A93"/>
    <w:rsid w:val="1917583F"/>
    <w:rsid w:val="191F46F3"/>
    <w:rsid w:val="19212219"/>
    <w:rsid w:val="192141DE"/>
    <w:rsid w:val="19257F5C"/>
    <w:rsid w:val="19297320"/>
    <w:rsid w:val="192B3098"/>
    <w:rsid w:val="193006AE"/>
    <w:rsid w:val="19306900"/>
    <w:rsid w:val="1931674C"/>
    <w:rsid w:val="19360277"/>
    <w:rsid w:val="19375EE1"/>
    <w:rsid w:val="19381D60"/>
    <w:rsid w:val="1939180A"/>
    <w:rsid w:val="193C34F7"/>
    <w:rsid w:val="193C52A5"/>
    <w:rsid w:val="193E687B"/>
    <w:rsid w:val="19406B43"/>
    <w:rsid w:val="19421EE0"/>
    <w:rsid w:val="194277D6"/>
    <w:rsid w:val="194505FE"/>
    <w:rsid w:val="194523AC"/>
    <w:rsid w:val="19483C4A"/>
    <w:rsid w:val="194859F8"/>
    <w:rsid w:val="194D74B2"/>
    <w:rsid w:val="194E13DC"/>
    <w:rsid w:val="194F6D87"/>
    <w:rsid w:val="195023EF"/>
    <w:rsid w:val="19520625"/>
    <w:rsid w:val="195425EF"/>
    <w:rsid w:val="19573E8D"/>
    <w:rsid w:val="195C5DF6"/>
    <w:rsid w:val="195F0AAC"/>
    <w:rsid w:val="19600F94"/>
    <w:rsid w:val="19602D6C"/>
    <w:rsid w:val="19636CD6"/>
    <w:rsid w:val="1966169D"/>
    <w:rsid w:val="196D36B1"/>
    <w:rsid w:val="19704F4F"/>
    <w:rsid w:val="197B5DCD"/>
    <w:rsid w:val="197D7D98"/>
    <w:rsid w:val="19801636"/>
    <w:rsid w:val="198534E5"/>
    <w:rsid w:val="19946E8F"/>
    <w:rsid w:val="19962C07"/>
    <w:rsid w:val="199B6470"/>
    <w:rsid w:val="199E1ABC"/>
    <w:rsid w:val="199E386A"/>
    <w:rsid w:val="19A05834"/>
    <w:rsid w:val="19A15B96"/>
    <w:rsid w:val="19A30E80"/>
    <w:rsid w:val="19A52E4A"/>
    <w:rsid w:val="19A85A59"/>
    <w:rsid w:val="19B27315"/>
    <w:rsid w:val="19B33992"/>
    <w:rsid w:val="19B42C9E"/>
    <w:rsid w:val="19B906A4"/>
    <w:rsid w:val="19BB441C"/>
    <w:rsid w:val="19BE5D1C"/>
    <w:rsid w:val="19D63004"/>
    <w:rsid w:val="19D73FCD"/>
    <w:rsid w:val="19D865F5"/>
    <w:rsid w:val="19E41BC5"/>
    <w:rsid w:val="19E84185"/>
    <w:rsid w:val="19EB211A"/>
    <w:rsid w:val="19EC37CB"/>
    <w:rsid w:val="19EE7B83"/>
    <w:rsid w:val="19F416DC"/>
    <w:rsid w:val="19F636A6"/>
    <w:rsid w:val="19F735B9"/>
    <w:rsid w:val="19F8777E"/>
    <w:rsid w:val="19FE1308"/>
    <w:rsid w:val="19FE28F2"/>
    <w:rsid w:val="19FF69FF"/>
    <w:rsid w:val="1A015FF9"/>
    <w:rsid w:val="1A074AF8"/>
    <w:rsid w:val="1A083064"/>
    <w:rsid w:val="1A0C4C78"/>
    <w:rsid w:val="1A0F6516"/>
    <w:rsid w:val="1A1370FF"/>
    <w:rsid w:val="1A1C473D"/>
    <w:rsid w:val="1A1E49AB"/>
    <w:rsid w:val="1A2024D1"/>
    <w:rsid w:val="1A2226ED"/>
    <w:rsid w:val="1A22449B"/>
    <w:rsid w:val="1A22601B"/>
    <w:rsid w:val="1A246055"/>
    <w:rsid w:val="1A25109A"/>
    <w:rsid w:val="1A271AB1"/>
    <w:rsid w:val="1A295829"/>
    <w:rsid w:val="1A2975D8"/>
    <w:rsid w:val="1A2C356C"/>
    <w:rsid w:val="1A2C70C8"/>
    <w:rsid w:val="1A312930"/>
    <w:rsid w:val="1A3146DE"/>
    <w:rsid w:val="1A385A6D"/>
    <w:rsid w:val="1A3D12D5"/>
    <w:rsid w:val="1A3F6DFB"/>
    <w:rsid w:val="1A41348C"/>
    <w:rsid w:val="1A413878"/>
    <w:rsid w:val="1A434157"/>
    <w:rsid w:val="1A46661D"/>
    <w:rsid w:val="1A475CB0"/>
    <w:rsid w:val="1A5403CD"/>
    <w:rsid w:val="1A5735A2"/>
    <w:rsid w:val="1A587D75"/>
    <w:rsid w:val="1A6920CA"/>
    <w:rsid w:val="1A6A7039"/>
    <w:rsid w:val="1A700E8A"/>
    <w:rsid w:val="1A7016AA"/>
    <w:rsid w:val="1A732F49"/>
    <w:rsid w:val="1A74092C"/>
    <w:rsid w:val="1A772A39"/>
    <w:rsid w:val="1A7A7E33"/>
    <w:rsid w:val="1A7B1DFD"/>
    <w:rsid w:val="1A7F369B"/>
    <w:rsid w:val="1A8002FA"/>
    <w:rsid w:val="1A882AFB"/>
    <w:rsid w:val="1A890986"/>
    <w:rsid w:val="1A8B2EA7"/>
    <w:rsid w:val="1A8B402E"/>
    <w:rsid w:val="1A8C400A"/>
    <w:rsid w:val="1A8C7B66"/>
    <w:rsid w:val="1A9103B9"/>
    <w:rsid w:val="1A91397B"/>
    <w:rsid w:val="1A922668"/>
    <w:rsid w:val="1A995465"/>
    <w:rsid w:val="1A9E33B7"/>
    <w:rsid w:val="1A9F789A"/>
    <w:rsid w:val="1AA27C58"/>
    <w:rsid w:val="1AA422F6"/>
    <w:rsid w:val="1AA650CC"/>
    <w:rsid w:val="1AA8245E"/>
    <w:rsid w:val="1AAC0209"/>
    <w:rsid w:val="1AB05F4B"/>
    <w:rsid w:val="1AB31597"/>
    <w:rsid w:val="1AB570BD"/>
    <w:rsid w:val="1ABA2925"/>
    <w:rsid w:val="1ABD2416"/>
    <w:rsid w:val="1ABF1CEA"/>
    <w:rsid w:val="1AC15A62"/>
    <w:rsid w:val="1AC45552"/>
    <w:rsid w:val="1AC60382"/>
    <w:rsid w:val="1AC612CA"/>
    <w:rsid w:val="1AC94917"/>
    <w:rsid w:val="1ACD55D7"/>
    <w:rsid w:val="1ACE63D1"/>
    <w:rsid w:val="1AD003D6"/>
    <w:rsid w:val="1AD25EC1"/>
    <w:rsid w:val="1AD339E7"/>
    <w:rsid w:val="1AD36B7A"/>
    <w:rsid w:val="1ADA54C9"/>
    <w:rsid w:val="1ADF68D9"/>
    <w:rsid w:val="1AE14356"/>
    <w:rsid w:val="1AE16104"/>
    <w:rsid w:val="1AE27647"/>
    <w:rsid w:val="1AE85699"/>
    <w:rsid w:val="1AE87493"/>
    <w:rsid w:val="1AEB35C0"/>
    <w:rsid w:val="1AEC0D6E"/>
    <w:rsid w:val="1AED2CFB"/>
    <w:rsid w:val="1AEE0821"/>
    <w:rsid w:val="1AF20311"/>
    <w:rsid w:val="1AF210E2"/>
    <w:rsid w:val="1AF40F01"/>
    <w:rsid w:val="1AF75CD5"/>
    <w:rsid w:val="1AF776D6"/>
    <w:rsid w:val="1AFD0A64"/>
    <w:rsid w:val="1B002F54"/>
    <w:rsid w:val="1B031510"/>
    <w:rsid w:val="1B050277"/>
    <w:rsid w:val="1B0818E3"/>
    <w:rsid w:val="1B0955D0"/>
    <w:rsid w:val="1B0B179D"/>
    <w:rsid w:val="1B0F0EC3"/>
    <w:rsid w:val="1B177D78"/>
    <w:rsid w:val="1B1C0EEA"/>
    <w:rsid w:val="1B1C713C"/>
    <w:rsid w:val="1B213459"/>
    <w:rsid w:val="1B2B3823"/>
    <w:rsid w:val="1B300E3A"/>
    <w:rsid w:val="1B304996"/>
    <w:rsid w:val="1B317922"/>
    <w:rsid w:val="1B3501FE"/>
    <w:rsid w:val="1B391A9C"/>
    <w:rsid w:val="1B3B0602"/>
    <w:rsid w:val="1B3C333B"/>
    <w:rsid w:val="1B3D43C8"/>
    <w:rsid w:val="1B3E075A"/>
    <w:rsid w:val="1B472E09"/>
    <w:rsid w:val="1B4B17D0"/>
    <w:rsid w:val="1B4B5C73"/>
    <w:rsid w:val="1B4E306E"/>
    <w:rsid w:val="1B4F12C0"/>
    <w:rsid w:val="1B50632C"/>
    <w:rsid w:val="1B554249"/>
    <w:rsid w:val="1B5A1A13"/>
    <w:rsid w:val="1B5C1C2F"/>
    <w:rsid w:val="1B5F6AEC"/>
    <w:rsid w:val="1B60171F"/>
    <w:rsid w:val="1B607A5F"/>
    <w:rsid w:val="1B6312E8"/>
    <w:rsid w:val="1B662AAD"/>
    <w:rsid w:val="1B687FD1"/>
    <w:rsid w:val="1B6F1962"/>
    <w:rsid w:val="1B71718D"/>
    <w:rsid w:val="1B746F78"/>
    <w:rsid w:val="1B754A9E"/>
    <w:rsid w:val="1B772F21"/>
    <w:rsid w:val="1B79458F"/>
    <w:rsid w:val="1B7A3E63"/>
    <w:rsid w:val="1B7E3953"/>
    <w:rsid w:val="1B82310C"/>
    <w:rsid w:val="1B83540D"/>
    <w:rsid w:val="1B890B7F"/>
    <w:rsid w:val="1B892099"/>
    <w:rsid w:val="1B892BBB"/>
    <w:rsid w:val="1B8A0B27"/>
    <w:rsid w:val="1B8B6070"/>
    <w:rsid w:val="1B8D1DE8"/>
    <w:rsid w:val="1B8D2F09"/>
    <w:rsid w:val="1B8D3B96"/>
    <w:rsid w:val="1B966EEF"/>
    <w:rsid w:val="1B9B4505"/>
    <w:rsid w:val="1B9C64CF"/>
    <w:rsid w:val="1B9C73F7"/>
    <w:rsid w:val="1B9E2247"/>
    <w:rsid w:val="1BA333BA"/>
    <w:rsid w:val="1BA509CC"/>
    <w:rsid w:val="1BA86C22"/>
    <w:rsid w:val="1BAA0BEC"/>
    <w:rsid w:val="1BAB7696"/>
    <w:rsid w:val="1BAC0703"/>
    <w:rsid w:val="1BB235FD"/>
    <w:rsid w:val="1BB83309"/>
    <w:rsid w:val="1BB92BDD"/>
    <w:rsid w:val="1BBB6955"/>
    <w:rsid w:val="1BC31CAE"/>
    <w:rsid w:val="1BC661AA"/>
    <w:rsid w:val="1BCB26E4"/>
    <w:rsid w:val="1BCB46BE"/>
    <w:rsid w:val="1BCF41AF"/>
    <w:rsid w:val="1BD106E6"/>
    <w:rsid w:val="1BD22ECB"/>
    <w:rsid w:val="1BDA21F0"/>
    <w:rsid w:val="1BDB7FA1"/>
    <w:rsid w:val="1BE26665"/>
    <w:rsid w:val="1BE30BF5"/>
    <w:rsid w:val="1BE35EAC"/>
    <w:rsid w:val="1BE55780"/>
    <w:rsid w:val="1BEA548C"/>
    <w:rsid w:val="1BEB1796"/>
    <w:rsid w:val="1BED0AD9"/>
    <w:rsid w:val="1BED2887"/>
    <w:rsid w:val="1BEF2D2A"/>
    <w:rsid w:val="1BEF4851"/>
    <w:rsid w:val="1BF34341"/>
    <w:rsid w:val="1BF80966"/>
    <w:rsid w:val="1BF956CF"/>
    <w:rsid w:val="1BFF6818"/>
    <w:rsid w:val="1C006A5E"/>
    <w:rsid w:val="1C042883"/>
    <w:rsid w:val="1C056DCD"/>
    <w:rsid w:val="1C08210D"/>
    <w:rsid w:val="1C0F0A4F"/>
    <w:rsid w:val="1C1425F4"/>
    <w:rsid w:val="1C146065"/>
    <w:rsid w:val="1C1B73F4"/>
    <w:rsid w:val="1C1D13BE"/>
    <w:rsid w:val="1C2401DD"/>
    <w:rsid w:val="1C250273"/>
    <w:rsid w:val="1C27223D"/>
    <w:rsid w:val="1C2A1E61"/>
    <w:rsid w:val="1C2C1601"/>
    <w:rsid w:val="1C2C33AF"/>
    <w:rsid w:val="1C2C7234"/>
    <w:rsid w:val="1C2F4C4D"/>
    <w:rsid w:val="1C316C17"/>
    <w:rsid w:val="1C35022F"/>
    <w:rsid w:val="1C381D54"/>
    <w:rsid w:val="1C3A49C1"/>
    <w:rsid w:val="1C3D380E"/>
    <w:rsid w:val="1C4C1CA3"/>
    <w:rsid w:val="1C512E16"/>
    <w:rsid w:val="1C536B8E"/>
    <w:rsid w:val="1C542906"/>
    <w:rsid w:val="1C597F1C"/>
    <w:rsid w:val="1C5B1EE6"/>
    <w:rsid w:val="1C622822"/>
    <w:rsid w:val="1C63202C"/>
    <w:rsid w:val="1C654B13"/>
    <w:rsid w:val="1C68514E"/>
    <w:rsid w:val="1C6B3FC2"/>
    <w:rsid w:val="1C700544"/>
    <w:rsid w:val="1C7078DD"/>
    <w:rsid w:val="1C71170A"/>
    <w:rsid w:val="1C717389"/>
    <w:rsid w:val="1C735D43"/>
    <w:rsid w:val="1C770D83"/>
    <w:rsid w:val="1C784846"/>
    <w:rsid w:val="1C7A236C"/>
    <w:rsid w:val="1C7C7A64"/>
    <w:rsid w:val="1C8256C5"/>
    <w:rsid w:val="1C890801"/>
    <w:rsid w:val="1C8E406A"/>
    <w:rsid w:val="1C913B5A"/>
    <w:rsid w:val="1C921A24"/>
    <w:rsid w:val="1C965875"/>
    <w:rsid w:val="1C970EB9"/>
    <w:rsid w:val="1C9915D1"/>
    <w:rsid w:val="1C9D35CA"/>
    <w:rsid w:val="1C9F6277"/>
    <w:rsid w:val="1CA31F8B"/>
    <w:rsid w:val="1CA70C88"/>
    <w:rsid w:val="1CA7512B"/>
    <w:rsid w:val="1CA94E80"/>
    <w:rsid w:val="1CAE0268"/>
    <w:rsid w:val="1CB24EC3"/>
    <w:rsid w:val="1CB45B53"/>
    <w:rsid w:val="1CBE2A19"/>
    <w:rsid w:val="1CC01D49"/>
    <w:rsid w:val="1CC22CA5"/>
    <w:rsid w:val="1CC25AC1"/>
    <w:rsid w:val="1CC94429"/>
    <w:rsid w:val="1CCB58EE"/>
    <w:rsid w:val="1CCC4B92"/>
    <w:rsid w:val="1CD10E9D"/>
    <w:rsid w:val="1CD35F20"/>
    <w:rsid w:val="1CD53A47"/>
    <w:rsid w:val="1CD557F5"/>
    <w:rsid w:val="1CDA7349"/>
    <w:rsid w:val="1CDA7AC0"/>
    <w:rsid w:val="1CDC4DD5"/>
    <w:rsid w:val="1CDF6673"/>
    <w:rsid w:val="1CE06507"/>
    <w:rsid w:val="1CE27F12"/>
    <w:rsid w:val="1CE60278"/>
    <w:rsid w:val="1CE83DEE"/>
    <w:rsid w:val="1CE95744"/>
    <w:rsid w:val="1CE974F2"/>
    <w:rsid w:val="1CEE4B08"/>
    <w:rsid w:val="1CEF0601"/>
    <w:rsid w:val="1CF20528"/>
    <w:rsid w:val="1CF64511"/>
    <w:rsid w:val="1CF9709D"/>
    <w:rsid w:val="1CFA525B"/>
    <w:rsid w:val="1CFC3B98"/>
    <w:rsid w:val="1D047E88"/>
    <w:rsid w:val="1D0600A4"/>
    <w:rsid w:val="1D0755B8"/>
    <w:rsid w:val="1D0D10AD"/>
    <w:rsid w:val="1D0E0D07"/>
    <w:rsid w:val="1D13631D"/>
    <w:rsid w:val="1D183933"/>
    <w:rsid w:val="1D1A76AB"/>
    <w:rsid w:val="1D28626C"/>
    <w:rsid w:val="1D2B3667"/>
    <w:rsid w:val="1D303373"/>
    <w:rsid w:val="1D3249F5"/>
    <w:rsid w:val="1D383FD6"/>
    <w:rsid w:val="1D385D84"/>
    <w:rsid w:val="1D3B2885"/>
    <w:rsid w:val="1D3C5874"/>
    <w:rsid w:val="1D40231F"/>
    <w:rsid w:val="1D440BCC"/>
    <w:rsid w:val="1D4B2D3F"/>
    <w:rsid w:val="1D4B790E"/>
    <w:rsid w:val="1D4D713C"/>
    <w:rsid w:val="1D4D7A81"/>
    <w:rsid w:val="1D50131F"/>
    <w:rsid w:val="1D525097"/>
    <w:rsid w:val="1D55133D"/>
    <w:rsid w:val="1D5E3A3C"/>
    <w:rsid w:val="1D5F1562"/>
    <w:rsid w:val="1D5F77B4"/>
    <w:rsid w:val="1D6035B6"/>
    <w:rsid w:val="1D635FDB"/>
    <w:rsid w:val="1D646B79"/>
    <w:rsid w:val="1D667421"/>
    <w:rsid w:val="1D686669"/>
    <w:rsid w:val="1D693FB3"/>
    <w:rsid w:val="1D6945D8"/>
    <w:rsid w:val="1D6A43B6"/>
    <w:rsid w:val="1D6D0123"/>
    <w:rsid w:val="1D6F5C49"/>
    <w:rsid w:val="1D701ACE"/>
    <w:rsid w:val="1D721295"/>
    <w:rsid w:val="1D721ED1"/>
    <w:rsid w:val="1D7A45EE"/>
    <w:rsid w:val="1D7E7C3A"/>
    <w:rsid w:val="1D8666D1"/>
    <w:rsid w:val="1D92111E"/>
    <w:rsid w:val="1D927B8A"/>
    <w:rsid w:val="1D943902"/>
    <w:rsid w:val="1D9456B0"/>
    <w:rsid w:val="1D954F84"/>
    <w:rsid w:val="1D9838A2"/>
    <w:rsid w:val="1D9E1CE0"/>
    <w:rsid w:val="1D9E37F9"/>
    <w:rsid w:val="1DA17DCD"/>
    <w:rsid w:val="1DA23028"/>
    <w:rsid w:val="1DA33B45"/>
    <w:rsid w:val="1DA356EF"/>
    <w:rsid w:val="1DA5166B"/>
    <w:rsid w:val="1DAE1D4A"/>
    <w:rsid w:val="1DB00010"/>
    <w:rsid w:val="1DB573D4"/>
    <w:rsid w:val="1DBB0E8E"/>
    <w:rsid w:val="1DBE097F"/>
    <w:rsid w:val="1DC35F95"/>
    <w:rsid w:val="1DCB2AD7"/>
    <w:rsid w:val="1DCF3786"/>
    <w:rsid w:val="1DD2442A"/>
    <w:rsid w:val="1DD24669"/>
    <w:rsid w:val="1DD737EE"/>
    <w:rsid w:val="1DDB64C3"/>
    <w:rsid w:val="1DDB6E42"/>
    <w:rsid w:val="1DDC0E05"/>
    <w:rsid w:val="1DDC7057"/>
    <w:rsid w:val="1DDE41DB"/>
    <w:rsid w:val="1DE06B47"/>
    <w:rsid w:val="1DE236F1"/>
    <w:rsid w:val="1DE2466D"/>
    <w:rsid w:val="1DE32193"/>
    <w:rsid w:val="1DE567A9"/>
    <w:rsid w:val="1DE61A0D"/>
    <w:rsid w:val="1DE71C83"/>
    <w:rsid w:val="1DE71EEF"/>
    <w:rsid w:val="1DE81558"/>
    <w:rsid w:val="1DEA3522"/>
    <w:rsid w:val="1DEF0B38"/>
    <w:rsid w:val="1DEF352E"/>
    <w:rsid w:val="1DF06F10"/>
    <w:rsid w:val="1DF23450"/>
    <w:rsid w:val="1DF60F39"/>
    <w:rsid w:val="1DF93765"/>
    <w:rsid w:val="1DFD751E"/>
    <w:rsid w:val="1DFE0D7B"/>
    <w:rsid w:val="1E020963"/>
    <w:rsid w:val="1E036392"/>
    <w:rsid w:val="1E0B5246"/>
    <w:rsid w:val="1E0F7D2D"/>
    <w:rsid w:val="1E1862E1"/>
    <w:rsid w:val="1E1B192D"/>
    <w:rsid w:val="1E1C7453"/>
    <w:rsid w:val="1E1E4F79"/>
    <w:rsid w:val="1E2017E9"/>
    <w:rsid w:val="1E22594E"/>
    <w:rsid w:val="1E26445D"/>
    <w:rsid w:val="1E29384E"/>
    <w:rsid w:val="1E3C4B12"/>
    <w:rsid w:val="1E3D5D47"/>
    <w:rsid w:val="1E3E386E"/>
    <w:rsid w:val="1E4569AA"/>
    <w:rsid w:val="1E48649A"/>
    <w:rsid w:val="1E4A0464"/>
    <w:rsid w:val="1E4C7D38"/>
    <w:rsid w:val="1E5135A1"/>
    <w:rsid w:val="1E5D1F46"/>
    <w:rsid w:val="1E5D6F6E"/>
    <w:rsid w:val="1E5E181A"/>
    <w:rsid w:val="1E5E735F"/>
    <w:rsid w:val="1E6037E4"/>
    <w:rsid w:val="1E605592"/>
    <w:rsid w:val="1E626F97"/>
    <w:rsid w:val="1E6447FE"/>
    <w:rsid w:val="1E650DFA"/>
    <w:rsid w:val="1E682698"/>
    <w:rsid w:val="1E742AA0"/>
    <w:rsid w:val="1E74728F"/>
    <w:rsid w:val="1E7564F1"/>
    <w:rsid w:val="1E764DB5"/>
    <w:rsid w:val="1E7B23CC"/>
    <w:rsid w:val="1E7D7EF2"/>
    <w:rsid w:val="1E827BFE"/>
    <w:rsid w:val="1E8474D2"/>
    <w:rsid w:val="1E8A0861"/>
    <w:rsid w:val="1E8B58F7"/>
    <w:rsid w:val="1E935967"/>
    <w:rsid w:val="1E957931"/>
    <w:rsid w:val="1E9A6CF6"/>
    <w:rsid w:val="1EA01E32"/>
    <w:rsid w:val="1EA422AC"/>
    <w:rsid w:val="1EAB0FA4"/>
    <w:rsid w:val="1EAC07D7"/>
    <w:rsid w:val="1EAE454F"/>
    <w:rsid w:val="1EAE6E31"/>
    <w:rsid w:val="1EAF4E4E"/>
    <w:rsid w:val="1EB458DE"/>
    <w:rsid w:val="1EB83BF5"/>
    <w:rsid w:val="1EBA6614"/>
    <w:rsid w:val="1EBD3B62"/>
    <w:rsid w:val="1EBF1697"/>
    <w:rsid w:val="1EBF4057"/>
    <w:rsid w:val="1EC21DA9"/>
    <w:rsid w:val="1EC2624D"/>
    <w:rsid w:val="1EC27FFB"/>
    <w:rsid w:val="1ECD2E31"/>
    <w:rsid w:val="1ECE074D"/>
    <w:rsid w:val="1ED146E2"/>
    <w:rsid w:val="1ED16490"/>
    <w:rsid w:val="1ED63AA6"/>
    <w:rsid w:val="1ED700DA"/>
    <w:rsid w:val="1EDA00C3"/>
    <w:rsid w:val="1EE17A54"/>
    <w:rsid w:val="1EE2069D"/>
    <w:rsid w:val="1EE2244B"/>
    <w:rsid w:val="1EE241F9"/>
    <w:rsid w:val="1EE71D3C"/>
    <w:rsid w:val="1EEB59BA"/>
    <w:rsid w:val="1EED4A04"/>
    <w:rsid w:val="1EEE2A23"/>
    <w:rsid w:val="1EF34658"/>
    <w:rsid w:val="1EF67CA4"/>
    <w:rsid w:val="1EF86D03"/>
    <w:rsid w:val="1EFB350D"/>
    <w:rsid w:val="1EFD7285"/>
    <w:rsid w:val="1F026649"/>
    <w:rsid w:val="1F0327FF"/>
    <w:rsid w:val="1F047B3B"/>
    <w:rsid w:val="1F0625DD"/>
    <w:rsid w:val="1F095F07"/>
    <w:rsid w:val="1F0B19A2"/>
    <w:rsid w:val="1F0C1276"/>
    <w:rsid w:val="1F0C74C8"/>
    <w:rsid w:val="1F0F7690"/>
    <w:rsid w:val="1F136AA8"/>
    <w:rsid w:val="1F1545CE"/>
    <w:rsid w:val="1F1619B2"/>
    <w:rsid w:val="1F1D3483"/>
    <w:rsid w:val="1F240CB5"/>
    <w:rsid w:val="1F2477E6"/>
    <w:rsid w:val="1F265654"/>
    <w:rsid w:val="1F271F5F"/>
    <w:rsid w:val="1F282554"/>
    <w:rsid w:val="1F2D4D92"/>
    <w:rsid w:val="1F301408"/>
    <w:rsid w:val="1F307824"/>
    <w:rsid w:val="1F3A4035"/>
    <w:rsid w:val="1F3B03AF"/>
    <w:rsid w:val="1F3D3B25"/>
    <w:rsid w:val="1F462062"/>
    <w:rsid w:val="1F4A32FF"/>
    <w:rsid w:val="1F4D1FBA"/>
    <w:rsid w:val="1F501AAA"/>
    <w:rsid w:val="1F5275D0"/>
    <w:rsid w:val="1F5350F7"/>
    <w:rsid w:val="1F5844BB"/>
    <w:rsid w:val="1F5A5454"/>
    <w:rsid w:val="1F5C3FAB"/>
    <w:rsid w:val="1F62533A"/>
    <w:rsid w:val="1F645556"/>
    <w:rsid w:val="1F69491A"/>
    <w:rsid w:val="1F6E3CDF"/>
    <w:rsid w:val="1F6F0182"/>
    <w:rsid w:val="1F705CA9"/>
    <w:rsid w:val="1F7101CE"/>
    <w:rsid w:val="1F7532BF"/>
    <w:rsid w:val="1F7C289F"/>
    <w:rsid w:val="1F7F413E"/>
    <w:rsid w:val="1F817EB6"/>
    <w:rsid w:val="1F843502"/>
    <w:rsid w:val="1F8B3CCC"/>
    <w:rsid w:val="1F8D23B7"/>
    <w:rsid w:val="1F902941"/>
    <w:rsid w:val="1F90634B"/>
    <w:rsid w:val="1F9279CD"/>
    <w:rsid w:val="1F941997"/>
    <w:rsid w:val="1F947BE9"/>
    <w:rsid w:val="1F951220"/>
    <w:rsid w:val="1F9834DB"/>
    <w:rsid w:val="1F9A2E01"/>
    <w:rsid w:val="1F9C084C"/>
    <w:rsid w:val="1F9E1131"/>
    <w:rsid w:val="1F9F51AE"/>
    <w:rsid w:val="1FA63478"/>
    <w:rsid w:val="1FA83694"/>
    <w:rsid w:val="1FAB0A8F"/>
    <w:rsid w:val="1FAB50E1"/>
    <w:rsid w:val="1FAF67D1"/>
    <w:rsid w:val="1FB060A5"/>
    <w:rsid w:val="1FB21E1D"/>
    <w:rsid w:val="1FB73CB1"/>
    <w:rsid w:val="1FBB6672"/>
    <w:rsid w:val="1FBF453A"/>
    <w:rsid w:val="1FC20797"/>
    <w:rsid w:val="1FC23228"/>
    <w:rsid w:val="1FC57DA2"/>
    <w:rsid w:val="1FC95A99"/>
    <w:rsid w:val="1FCA53B9"/>
    <w:rsid w:val="1FD45221"/>
    <w:rsid w:val="1FD55B0C"/>
    <w:rsid w:val="1FD7349C"/>
    <w:rsid w:val="1FDA4F3D"/>
    <w:rsid w:val="1FDE64A3"/>
    <w:rsid w:val="1FE118D9"/>
    <w:rsid w:val="1FE30229"/>
    <w:rsid w:val="1FEA15B7"/>
    <w:rsid w:val="1FEA6512"/>
    <w:rsid w:val="1FEC17D3"/>
    <w:rsid w:val="1FED42EE"/>
    <w:rsid w:val="1FED72F9"/>
    <w:rsid w:val="1FF02946"/>
    <w:rsid w:val="1FF70178"/>
    <w:rsid w:val="1FF920D9"/>
    <w:rsid w:val="1FFA1EA7"/>
    <w:rsid w:val="1FFB1A16"/>
    <w:rsid w:val="1FFB37C4"/>
    <w:rsid w:val="1FFC5EFA"/>
    <w:rsid w:val="1FFE5062"/>
    <w:rsid w:val="20000DDB"/>
    <w:rsid w:val="200B777F"/>
    <w:rsid w:val="200C3C23"/>
    <w:rsid w:val="20112FE8"/>
    <w:rsid w:val="20124FB2"/>
    <w:rsid w:val="20130AAD"/>
    <w:rsid w:val="20142B14"/>
    <w:rsid w:val="20146634"/>
    <w:rsid w:val="201523AC"/>
    <w:rsid w:val="201605FE"/>
    <w:rsid w:val="201C198C"/>
    <w:rsid w:val="201D042F"/>
    <w:rsid w:val="201F4F52"/>
    <w:rsid w:val="2020147D"/>
    <w:rsid w:val="202076CF"/>
    <w:rsid w:val="20221AB5"/>
    <w:rsid w:val="20262686"/>
    <w:rsid w:val="20281085"/>
    <w:rsid w:val="202A2D2D"/>
    <w:rsid w:val="202D76F6"/>
    <w:rsid w:val="202F346E"/>
    <w:rsid w:val="20315438"/>
    <w:rsid w:val="203521F9"/>
    <w:rsid w:val="20362A4E"/>
    <w:rsid w:val="20390044"/>
    <w:rsid w:val="203942EC"/>
    <w:rsid w:val="203B1E13"/>
    <w:rsid w:val="203B62B7"/>
    <w:rsid w:val="203F3FE3"/>
    <w:rsid w:val="203F5E7C"/>
    <w:rsid w:val="2040567B"/>
    <w:rsid w:val="204311B2"/>
    <w:rsid w:val="20443C12"/>
    <w:rsid w:val="2047244F"/>
    <w:rsid w:val="20476A09"/>
    <w:rsid w:val="20483DE6"/>
    <w:rsid w:val="20485C9B"/>
    <w:rsid w:val="204B04A0"/>
    <w:rsid w:val="204C71CD"/>
    <w:rsid w:val="204D7D98"/>
    <w:rsid w:val="205034F1"/>
    <w:rsid w:val="2058231D"/>
    <w:rsid w:val="205832EF"/>
    <w:rsid w:val="205A6E37"/>
    <w:rsid w:val="205B24B5"/>
    <w:rsid w:val="205B29D7"/>
    <w:rsid w:val="205E01F7"/>
    <w:rsid w:val="20601879"/>
    <w:rsid w:val="20623843"/>
    <w:rsid w:val="20634E26"/>
    <w:rsid w:val="2063580D"/>
    <w:rsid w:val="206770AC"/>
    <w:rsid w:val="206A6B9C"/>
    <w:rsid w:val="206B36B2"/>
    <w:rsid w:val="206F5F60"/>
    <w:rsid w:val="20711CD8"/>
    <w:rsid w:val="2076109D"/>
    <w:rsid w:val="20762146"/>
    <w:rsid w:val="207672EF"/>
    <w:rsid w:val="207B66B3"/>
    <w:rsid w:val="207F339A"/>
    <w:rsid w:val="2080305E"/>
    <w:rsid w:val="20803CC9"/>
    <w:rsid w:val="20823EE5"/>
    <w:rsid w:val="208A2D9A"/>
    <w:rsid w:val="208F215E"/>
    <w:rsid w:val="20931C4F"/>
    <w:rsid w:val="20992FDD"/>
    <w:rsid w:val="209A5566"/>
    <w:rsid w:val="209C39D5"/>
    <w:rsid w:val="209D7CEE"/>
    <w:rsid w:val="20A35C0A"/>
    <w:rsid w:val="20A57BD4"/>
    <w:rsid w:val="20B35783"/>
    <w:rsid w:val="20B63B8F"/>
    <w:rsid w:val="20B736BA"/>
    <w:rsid w:val="20B767FD"/>
    <w:rsid w:val="20C0056A"/>
    <w:rsid w:val="20C067BC"/>
    <w:rsid w:val="20C20786"/>
    <w:rsid w:val="20C84600"/>
    <w:rsid w:val="20C86C83"/>
    <w:rsid w:val="20C91B14"/>
    <w:rsid w:val="20C938C2"/>
    <w:rsid w:val="20CF69FF"/>
    <w:rsid w:val="20D0723B"/>
    <w:rsid w:val="20D14200"/>
    <w:rsid w:val="20D3029D"/>
    <w:rsid w:val="20D457AB"/>
    <w:rsid w:val="20D53A84"/>
    <w:rsid w:val="20D61B3B"/>
    <w:rsid w:val="20D86263"/>
    <w:rsid w:val="20E97AC1"/>
    <w:rsid w:val="20EC5624"/>
    <w:rsid w:val="20F01A49"/>
    <w:rsid w:val="20F04620"/>
    <w:rsid w:val="20F070A1"/>
    <w:rsid w:val="20F36B91"/>
    <w:rsid w:val="20F52909"/>
    <w:rsid w:val="210156DE"/>
    <w:rsid w:val="21025026"/>
    <w:rsid w:val="21042B4C"/>
    <w:rsid w:val="210668C5"/>
    <w:rsid w:val="210944F0"/>
    <w:rsid w:val="210B3EDB"/>
    <w:rsid w:val="210C7C53"/>
    <w:rsid w:val="2110329F"/>
    <w:rsid w:val="21143FF3"/>
    <w:rsid w:val="21192712"/>
    <w:rsid w:val="211C1AD6"/>
    <w:rsid w:val="211C7E96"/>
    <w:rsid w:val="211E7A91"/>
    <w:rsid w:val="211F34E2"/>
    <w:rsid w:val="211F7986"/>
    <w:rsid w:val="21286A93"/>
    <w:rsid w:val="212A1E87"/>
    <w:rsid w:val="212B632B"/>
    <w:rsid w:val="2130749E"/>
    <w:rsid w:val="213A3C94"/>
    <w:rsid w:val="213B5E42"/>
    <w:rsid w:val="21412936"/>
    <w:rsid w:val="21415B4F"/>
    <w:rsid w:val="21425423"/>
    <w:rsid w:val="214473ED"/>
    <w:rsid w:val="21464F13"/>
    <w:rsid w:val="214B28FF"/>
    <w:rsid w:val="215A451A"/>
    <w:rsid w:val="215F7D83"/>
    <w:rsid w:val="21600CBF"/>
    <w:rsid w:val="216333D7"/>
    <w:rsid w:val="21645399"/>
    <w:rsid w:val="216655B5"/>
    <w:rsid w:val="2166791F"/>
    <w:rsid w:val="21687741"/>
    <w:rsid w:val="21690C01"/>
    <w:rsid w:val="216929AF"/>
    <w:rsid w:val="216B497A"/>
    <w:rsid w:val="216D06F2"/>
    <w:rsid w:val="216D4A04"/>
    <w:rsid w:val="216F7310"/>
    <w:rsid w:val="21716E76"/>
    <w:rsid w:val="21731A80"/>
    <w:rsid w:val="21747CD2"/>
    <w:rsid w:val="2175073F"/>
    <w:rsid w:val="217557F8"/>
    <w:rsid w:val="21791542"/>
    <w:rsid w:val="217D46AD"/>
    <w:rsid w:val="217E28FF"/>
    <w:rsid w:val="217E7D57"/>
    <w:rsid w:val="2181419D"/>
    <w:rsid w:val="21815F4B"/>
    <w:rsid w:val="218F1077"/>
    <w:rsid w:val="219043E0"/>
    <w:rsid w:val="21922787"/>
    <w:rsid w:val="21924AC2"/>
    <w:rsid w:val="2197751D"/>
    <w:rsid w:val="21992591"/>
    <w:rsid w:val="21AD6D40"/>
    <w:rsid w:val="21B20849"/>
    <w:rsid w:val="21B55BF5"/>
    <w:rsid w:val="21BD7D11"/>
    <w:rsid w:val="21BF4CC5"/>
    <w:rsid w:val="21C422DC"/>
    <w:rsid w:val="21C61BB0"/>
    <w:rsid w:val="21C66054"/>
    <w:rsid w:val="21D21987"/>
    <w:rsid w:val="21D249F9"/>
    <w:rsid w:val="21D369EC"/>
    <w:rsid w:val="21DA1AFF"/>
    <w:rsid w:val="21DC13D3"/>
    <w:rsid w:val="21DD0233"/>
    <w:rsid w:val="21DE15EF"/>
    <w:rsid w:val="21E14C3C"/>
    <w:rsid w:val="21E169EA"/>
    <w:rsid w:val="21E32762"/>
    <w:rsid w:val="21E5472C"/>
    <w:rsid w:val="21E96665"/>
    <w:rsid w:val="21ED1832"/>
    <w:rsid w:val="21EE1107"/>
    <w:rsid w:val="21F20BF7"/>
    <w:rsid w:val="21F42BC1"/>
    <w:rsid w:val="21F52495"/>
    <w:rsid w:val="21F901D7"/>
    <w:rsid w:val="21F91F85"/>
    <w:rsid w:val="21F93D33"/>
    <w:rsid w:val="21FE134A"/>
    <w:rsid w:val="21FE57EE"/>
    <w:rsid w:val="22052B45"/>
    <w:rsid w:val="22056B7C"/>
    <w:rsid w:val="22066450"/>
    <w:rsid w:val="220B7F0B"/>
    <w:rsid w:val="221054D5"/>
    <w:rsid w:val="221B63A0"/>
    <w:rsid w:val="221E19EC"/>
    <w:rsid w:val="22230DB0"/>
    <w:rsid w:val="22235254"/>
    <w:rsid w:val="22237002"/>
    <w:rsid w:val="222A0391"/>
    <w:rsid w:val="222A213F"/>
    <w:rsid w:val="222B4109"/>
    <w:rsid w:val="222B5EB7"/>
    <w:rsid w:val="22322BA7"/>
    <w:rsid w:val="22364F87"/>
    <w:rsid w:val="223905D4"/>
    <w:rsid w:val="223C6316"/>
    <w:rsid w:val="2241392C"/>
    <w:rsid w:val="22433200"/>
    <w:rsid w:val="224376A4"/>
    <w:rsid w:val="22444026"/>
    <w:rsid w:val="22456F79"/>
    <w:rsid w:val="22525B39"/>
    <w:rsid w:val="22590C76"/>
    <w:rsid w:val="225B2C40"/>
    <w:rsid w:val="225D0766"/>
    <w:rsid w:val="22602004"/>
    <w:rsid w:val="2271533D"/>
    <w:rsid w:val="22761872"/>
    <w:rsid w:val="227A2823"/>
    <w:rsid w:val="227B65E7"/>
    <w:rsid w:val="227F60FD"/>
    <w:rsid w:val="22813D29"/>
    <w:rsid w:val="2281696D"/>
    <w:rsid w:val="22873A35"/>
    <w:rsid w:val="228757E3"/>
    <w:rsid w:val="228C6DA1"/>
    <w:rsid w:val="229205DE"/>
    <w:rsid w:val="22925F36"/>
    <w:rsid w:val="22941CAE"/>
    <w:rsid w:val="229838E6"/>
    <w:rsid w:val="229B752C"/>
    <w:rsid w:val="229D0488"/>
    <w:rsid w:val="229E0D7F"/>
    <w:rsid w:val="22A2261D"/>
    <w:rsid w:val="22A301F1"/>
    <w:rsid w:val="22A31EF1"/>
    <w:rsid w:val="22A939AB"/>
    <w:rsid w:val="22AD11B0"/>
    <w:rsid w:val="22AE0FC2"/>
    <w:rsid w:val="22B63B44"/>
    <w:rsid w:val="22B969F5"/>
    <w:rsid w:val="22C37E78"/>
    <w:rsid w:val="22C57A7B"/>
    <w:rsid w:val="22CA3922"/>
    <w:rsid w:val="22CF0F38"/>
    <w:rsid w:val="22D4731C"/>
    <w:rsid w:val="22D77A4F"/>
    <w:rsid w:val="22D93B65"/>
    <w:rsid w:val="22DD18A7"/>
    <w:rsid w:val="22DD5403"/>
    <w:rsid w:val="22DF73CD"/>
    <w:rsid w:val="22E42C35"/>
    <w:rsid w:val="22E5075C"/>
    <w:rsid w:val="22E872A9"/>
    <w:rsid w:val="22EF5FE2"/>
    <w:rsid w:val="22F015DA"/>
    <w:rsid w:val="22F1200B"/>
    <w:rsid w:val="22F34C27"/>
    <w:rsid w:val="22F4274D"/>
    <w:rsid w:val="22F62969"/>
    <w:rsid w:val="22F8223D"/>
    <w:rsid w:val="22F866E1"/>
    <w:rsid w:val="22FD7853"/>
    <w:rsid w:val="22FE5379"/>
    <w:rsid w:val="23052BAC"/>
    <w:rsid w:val="23056708"/>
    <w:rsid w:val="23072480"/>
    <w:rsid w:val="2309269C"/>
    <w:rsid w:val="231008E8"/>
    <w:rsid w:val="231057D9"/>
    <w:rsid w:val="23130E25"/>
    <w:rsid w:val="23137077"/>
    <w:rsid w:val="23144B4F"/>
    <w:rsid w:val="23151041"/>
    <w:rsid w:val="23166B67"/>
    <w:rsid w:val="232079E6"/>
    <w:rsid w:val="23236786"/>
    <w:rsid w:val="2325000F"/>
    <w:rsid w:val="23250B58"/>
    <w:rsid w:val="23270D94"/>
    <w:rsid w:val="23272FC5"/>
    <w:rsid w:val="232A616E"/>
    <w:rsid w:val="232A6D75"/>
    <w:rsid w:val="2338088B"/>
    <w:rsid w:val="233A0AA7"/>
    <w:rsid w:val="23405A58"/>
    <w:rsid w:val="234436D4"/>
    <w:rsid w:val="2345501C"/>
    <w:rsid w:val="234A4691"/>
    <w:rsid w:val="234C4337"/>
    <w:rsid w:val="234E00AF"/>
    <w:rsid w:val="234F5BD5"/>
    <w:rsid w:val="23511E39"/>
    <w:rsid w:val="235558E1"/>
    <w:rsid w:val="23562727"/>
    <w:rsid w:val="23580F2E"/>
    <w:rsid w:val="235B0B5A"/>
    <w:rsid w:val="235C0A1E"/>
    <w:rsid w:val="235D6544"/>
    <w:rsid w:val="235F22BC"/>
    <w:rsid w:val="23616034"/>
    <w:rsid w:val="236553F8"/>
    <w:rsid w:val="23671171"/>
    <w:rsid w:val="2369138D"/>
    <w:rsid w:val="236A2416"/>
    <w:rsid w:val="237265D8"/>
    <w:rsid w:val="2378512C"/>
    <w:rsid w:val="237C00A2"/>
    <w:rsid w:val="237D2742"/>
    <w:rsid w:val="237D6BE6"/>
    <w:rsid w:val="23812232"/>
    <w:rsid w:val="23851AAA"/>
    <w:rsid w:val="238735C1"/>
    <w:rsid w:val="23885588"/>
    <w:rsid w:val="23902475"/>
    <w:rsid w:val="23906919"/>
    <w:rsid w:val="239301B8"/>
    <w:rsid w:val="23952182"/>
    <w:rsid w:val="23957A8C"/>
    <w:rsid w:val="239C0920"/>
    <w:rsid w:val="239D2DE4"/>
    <w:rsid w:val="23A52A71"/>
    <w:rsid w:val="23A6613D"/>
    <w:rsid w:val="23AE5B30"/>
    <w:rsid w:val="23AE6D9F"/>
    <w:rsid w:val="23AF3398"/>
    <w:rsid w:val="23B048C6"/>
    <w:rsid w:val="23B2126C"/>
    <w:rsid w:val="23B567AE"/>
    <w:rsid w:val="23BC326A"/>
    <w:rsid w:val="23BD6FE3"/>
    <w:rsid w:val="23BE26E2"/>
    <w:rsid w:val="23C2284B"/>
    <w:rsid w:val="23C245F9"/>
    <w:rsid w:val="23C6058D"/>
    <w:rsid w:val="23D01A69"/>
    <w:rsid w:val="23D06D16"/>
    <w:rsid w:val="23D706B8"/>
    <w:rsid w:val="23D9206E"/>
    <w:rsid w:val="23DC56BB"/>
    <w:rsid w:val="23DE179B"/>
    <w:rsid w:val="23E66A3B"/>
    <w:rsid w:val="23EB66CA"/>
    <w:rsid w:val="23ED3D6C"/>
    <w:rsid w:val="23F173A1"/>
    <w:rsid w:val="23F46EA8"/>
    <w:rsid w:val="23F52C20"/>
    <w:rsid w:val="23F64AE0"/>
    <w:rsid w:val="23F70746"/>
    <w:rsid w:val="23F81CE1"/>
    <w:rsid w:val="23F84985"/>
    <w:rsid w:val="23F92711"/>
    <w:rsid w:val="23FC5D5D"/>
    <w:rsid w:val="2409047A"/>
    <w:rsid w:val="24092228"/>
    <w:rsid w:val="240D7F6A"/>
    <w:rsid w:val="241248AA"/>
    <w:rsid w:val="2412732E"/>
    <w:rsid w:val="24150BCD"/>
    <w:rsid w:val="241629E9"/>
    <w:rsid w:val="241962AB"/>
    <w:rsid w:val="2419690F"/>
    <w:rsid w:val="241C63FF"/>
    <w:rsid w:val="241D65DD"/>
    <w:rsid w:val="242157C3"/>
    <w:rsid w:val="242A0B1C"/>
    <w:rsid w:val="242B03F0"/>
    <w:rsid w:val="242B4894"/>
    <w:rsid w:val="242E4BE0"/>
    <w:rsid w:val="2432352D"/>
    <w:rsid w:val="243454F7"/>
    <w:rsid w:val="24351F3A"/>
    <w:rsid w:val="24362FA3"/>
    <w:rsid w:val="24373239"/>
    <w:rsid w:val="243865C5"/>
    <w:rsid w:val="243B7F08"/>
    <w:rsid w:val="243C43AB"/>
    <w:rsid w:val="243E45C7"/>
    <w:rsid w:val="244020ED"/>
    <w:rsid w:val="24415E66"/>
    <w:rsid w:val="24476E69"/>
    <w:rsid w:val="244A6AC8"/>
    <w:rsid w:val="244E12E8"/>
    <w:rsid w:val="24517B14"/>
    <w:rsid w:val="24526181"/>
    <w:rsid w:val="24563813"/>
    <w:rsid w:val="2457471E"/>
    <w:rsid w:val="245E07C6"/>
    <w:rsid w:val="245E2574"/>
    <w:rsid w:val="246550EE"/>
    <w:rsid w:val="2466767A"/>
    <w:rsid w:val="246B6A3F"/>
    <w:rsid w:val="24747FE9"/>
    <w:rsid w:val="247753E3"/>
    <w:rsid w:val="24792854"/>
    <w:rsid w:val="247D50F0"/>
    <w:rsid w:val="247D6428"/>
    <w:rsid w:val="247E6772"/>
    <w:rsid w:val="24833D88"/>
    <w:rsid w:val="24853FA4"/>
    <w:rsid w:val="24855D52"/>
    <w:rsid w:val="24897C7A"/>
    <w:rsid w:val="248A3369"/>
    <w:rsid w:val="248D10AB"/>
    <w:rsid w:val="248D2E59"/>
    <w:rsid w:val="248F57ED"/>
    <w:rsid w:val="24935297"/>
    <w:rsid w:val="24960973"/>
    <w:rsid w:val="24967F5F"/>
    <w:rsid w:val="24986C62"/>
    <w:rsid w:val="249B4BA3"/>
    <w:rsid w:val="249C309C"/>
    <w:rsid w:val="249C4E4A"/>
    <w:rsid w:val="249D1290"/>
    <w:rsid w:val="249D54F4"/>
    <w:rsid w:val="249F1597"/>
    <w:rsid w:val="24A2007A"/>
    <w:rsid w:val="24A3267C"/>
    <w:rsid w:val="24A3442A"/>
    <w:rsid w:val="24A361D8"/>
    <w:rsid w:val="24A36A13"/>
    <w:rsid w:val="24A501A2"/>
    <w:rsid w:val="24AB32DF"/>
    <w:rsid w:val="24AC1531"/>
    <w:rsid w:val="24B108F5"/>
    <w:rsid w:val="24BA16CB"/>
    <w:rsid w:val="24BB1774"/>
    <w:rsid w:val="24C602A0"/>
    <w:rsid w:val="24C61EBC"/>
    <w:rsid w:val="24C6703B"/>
    <w:rsid w:val="24CA7C09"/>
    <w:rsid w:val="24CF7615"/>
    <w:rsid w:val="24D307D6"/>
    <w:rsid w:val="24D4383D"/>
    <w:rsid w:val="24D50412"/>
    <w:rsid w:val="24D8234B"/>
    <w:rsid w:val="24D9609E"/>
    <w:rsid w:val="24DA3236"/>
    <w:rsid w:val="24DE1906"/>
    <w:rsid w:val="24E011DB"/>
    <w:rsid w:val="24E16D01"/>
    <w:rsid w:val="24E8008F"/>
    <w:rsid w:val="24EA2059"/>
    <w:rsid w:val="24F2552F"/>
    <w:rsid w:val="24F565B2"/>
    <w:rsid w:val="24F86524"/>
    <w:rsid w:val="24FB4266"/>
    <w:rsid w:val="24FD7FDE"/>
    <w:rsid w:val="24FE78B3"/>
    <w:rsid w:val="25040B17"/>
    <w:rsid w:val="25042C53"/>
    <w:rsid w:val="25090731"/>
    <w:rsid w:val="25094419"/>
    <w:rsid w:val="250A6257"/>
    <w:rsid w:val="25113A8A"/>
    <w:rsid w:val="251175E6"/>
    <w:rsid w:val="25117990"/>
    <w:rsid w:val="25177BA5"/>
    <w:rsid w:val="251B1F3D"/>
    <w:rsid w:val="251B2213"/>
    <w:rsid w:val="252041F1"/>
    <w:rsid w:val="25206CB7"/>
    <w:rsid w:val="252217F3"/>
    <w:rsid w:val="25227A45"/>
    <w:rsid w:val="25237319"/>
    <w:rsid w:val="25276E09"/>
    <w:rsid w:val="25284930"/>
    <w:rsid w:val="252D60F3"/>
    <w:rsid w:val="252E63EA"/>
    <w:rsid w:val="253003E8"/>
    <w:rsid w:val="253A0D01"/>
    <w:rsid w:val="253D662D"/>
    <w:rsid w:val="253F05F7"/>
    <w:rsid w:val="25435BE0"/>
    <w:rsid w:val="25437198"/>
    <w:rsid w:val="25443EBD"/>
    <w:rsid w:val="25444FFD"/>
    <w:rsid w:val="254479BB"/>
    <w:rsid w:val="254E083A"/>
    <w:rsid w:val="254E25E8"/>
    <w:rsid w:val="254F197C"/>
    <w:rsid w:val="25502F27"/>
    <w:rsid w:val="25555158"/>
    <w:rsid w:val="255D0A7D"/>
    <w:rsid w:val="25627A03"/>
    <w:rsid w:val="25667483"/>
    <w:rsid w:val="256718FC"/>
    <w:rsid w:val="25695674"/>
    <w:rsid w:val="256C6F12"/>
    <w:rsid w:val="256E2866"/>
    <w:rsid w:val="256E4099"/>
    <w:rsid w:val="256E67E6"/>
    <w:rsid w:val="25733DFD"/>
    <w:rsid w:val="25766A29"/>
    <w:rsid w:val="25782368"/>
    <w:rsid w:val="257D1F44"/>
    <w:rsid w:val="2580476C"/>
    <w:rsid w:val="259057E9"/>
    <w:rsid w:val="2593449F"/>
    <w:rsid w:val="25951FC5"/>
    <w:rsid w:val="25961A54"/>
    <w:rsid w:val="25987D07"/>
    <w:rsid w:val="259A07FA"/>
    <w:rsid w:val="259F1096"/>
    <w:rsid w:val="259F3EF0"/>
    <w:rsid w:val="25AE3087"/>
    <w:rsid w:val="25AE6883"/>
    <w:rsid w:val="25B720D4"/>
    <w:rsid w:val="25B74631"/>
    <w:rsid w:val="25B82157"/>
    <w:rsid w:val="25B85CB3"/>
    <w:rsid w:val="25BA5ED0"/>
    <w:rsid w:val="25BA7C7E"/>
    <w:rsid w:val="25BD6E79"/>
    <w:rsid w:val="25C94365"/>
    <w:rsid w:val="25C96113"/>
    <w:rsid w:val="25CC0A5C"/>
    <w:rsid w:val="25D32AED"/>
    <w:rsid w:val="25D80104"/>
    <w:rsid w:val="25D93CA1"/>
    <w:rsid w:val="25DC3714"/>
    <w:rsid w:val="25DC7BF4"/>
    <w:rsid w:val="25DF1492"/>
    <w:rsid w:val="25E06DD9"/>
    <w:rsid w:val="25E1345C"/>
    <w:rsid w:val="25E25B85"/>
    <w:rsid w:val="25E60A73"/>
    <w:rsid w:val="25E90563"/>
    <w:rsid w:val="25EA5D3C"/>
    <w:rsid w:val="25EC3BAF"/>
    <w:rsid w:val="25ED1E01"/>
    <w:rsid w:val="25F50CB6"/>
    <w:rsid w:val="25F66035"/>
    <w:rsid w:val="25FA1B44"/>
    <w:rsid w:val="26025181"/>
    <w:rsid w:val="26054063"/>
    <w:rsid w:val="26063B30"/>
    <w:rsid w:val="26064C71"/>
    <w:rsid w:val="260B3AF2"/>
    <w:rsid w:val="260F621B"/>
    <w:rsid w:val="26105AEF"/>
    <w:rsid w:val="26170C2C"/>
    <w:rsid w:val="261A4BC0"/>
    <w:rsid w:val="261B18CC"/>
    <w:rsid w:val="261C59DE"/>
    <w:rsid w:val="2624159B"/>
    <w:rsid w:val="26263565"/>
    <w:rsid w:val="262D0092"/>
    <w:rsid w:val="26307F40"/>
    <w:rsid w:val="2631713A"/>
    <w:rsid w:val="26321F0A"/>
    <w:rsid w:val="26321F6C"/>
    <w:rsid w:val="26323CB8"/>
    <w:rsid w:val="26355556"/>
    <w:rsid w:val="263C68E5"/>
    <w:rsid w:val="26413EFB"/>
    <w:rsid w:val="26467763"/>
    <w:rsid w:val="264A7253"/>
    <w:rsid w:val="264D464E"/>
    <w:rsid w:val="264D6E90"/>
    <w:rsid w:val="26503D77"/>
    <w:rsid w:val="265754CC"/>
    <w:rsid w:val="265C3B44"/>
    <w:rsid w:val="265E685B"/>
    <w:rsid w:val="26600825"/>
    <w:rsid w:val="26681488"/>
    <w:rsid w:val="26683828"/>
    <w:rsid w:val="266840EB"/>
    <w:rsid w:val="26695200"/>
    <w:rsid w:val="266B215F"/>
    <w:rsid w:val="266F0FF5"/>
    <w:rsid w:val="26701F99"/>
    <w:rsid w:val="26720558"/>
    <w:rsid w:val="267442D0"/>
    <w:rsid w:val="26747E2C"/>
    <w:rsid w:val="267A6CFE"/>
    <w:rsid w:val="26834513"/>
    <w:rsid w:val="26866628"/>
    <w:rsid w:val="268818DC"/>
    <w:rsid w:val="268A58A2"/>
    <w:rsid w:val="268A7650"/>
    <w:rsid w:val="268B33C8"/>
    <w:rsid w:val="268D5392"/>
    <w:rsid w:val="269C62EC"/>
    <w:rsid w:val="26A36964"/>
    <w:rsid w:val="26A36EC0"/>
    <w:rsid w:val="26A76454"/>
    <w:rsid w:val="26A83F7A"/>
    <w:rsid w:val="26B167CE"/>
    <w:rsid w:val="26B16A89"/>
    <w:rsid w:val="26B20955"/>
    <w:rsid w:val="26B56C8E"/>
    <w:rsid w:val="26B66697"/>
    <w:rsid w:val="26B741BD"/>
    <w:rsid w:val="26B8706F"/>
    <w:rsid w:val="26B91CE3"/>
    <w:rsid w:val="26BB1EFF"/>
    <w:rsid w:val="26BD5EFD"/>
    <w:rsid w:val="26C242BF"/>
    <w:rsid w:val="26C731DA"/>
    <w:rsid w:val="26CC5EBA"/>
    <w:rsid w:val="26CE3B9A"/>
    <w:rsid w:val="26D554BC"/>
    <w:rsid w:val="26D603B3"/>
    <w:rsid w:val="26D6657B"/>
    <w:rsid w:val="26D703BB"/>
    <w:rsid w:val="26DA5F33"/>
    <w:rsid w:val="26DD78FA"/>
    <w:rsid w:val="26DE1109"/>
    <w:rsid w:val="26DE2B4F"/>
    <w:rsid w:val="26E1123A"/>
    <w:rsid w:val="26E3376C"/>
    <w:rsid w:val="26E7071F"/>
    <w:rsid w:val="26EA00EF"/>
    <w:rsid w:val="26EB1EFE"/>
    <w:rsid w:val="26EE1585"/>
    <w:rsid w:val="26F64CE5"/>
    <w:rsid w:val="26F8482F"/>
    <w:rsid w:val="26F92A28"/>
    <w:rsid w:val="26F96584"/>
    <w:rsid w:val="27003DB6"/>
    <w:rsid w:val="27012C85"/>
    <w:rsid w:val="27032D56"/>
    <w:rsid w:val="270641B3"/>
    <w:rsid w:val="27070CA1"/>
    <w:rsid w:val="27084A19"/>
    <w:rsid w:val="271138CD"/>
    <w:rsid w:val="27160EE4"/>
    <w:rsid w:val="271A22E4"/>
    <w:rsid w:val="271A5D99"/>
    <w:rsid w:val="271C2B76"/>
    <w:rsid w:val="271E5FEA"/>
    <w:rsid w:val="27276799"/>
    <w:rsid w:val="272C4BAB"/>
    <w:rsid w:val="272D0375"/>
    <w:rsid w:val="272D447F"/>
    <w:rsid w:val="272E7129"/>
    <w:rsid w:val="27313F6F"/>
    <w:rsid w:val="27343A60"/>
    <w:rsid w:val="2739298C"/>
    <w:rsid w:val="273953AA"/>
    <w:rsid w:val="273C5916"/>
    <w:rsid w:val="273D46C2"/>
    <w:rsid w:val="273E668C"/>
    <w:rsid w:val="27414187"/>
    <w:rsid w:val="27442F64"/>
    <w:rsid w:val="274912B9"/>
    <w:rsid w:val="27534744"/>
    <w:rsid w:val="27550E8B"/>
    <w:rsid w:val="27595274"/>
    <w:rsid w:val="27604855"/>
    <w:rsid w:val="276205CD"/>
    <w:rsid w:val="27652186"/>
    <w:rsid w:val="27653C19"/>
    <w:rsid w:val="2767173F"/>
    <w:rsid w:val="27673E35"/>
    <w:rsid w:val="27693709"/>
    <w:rsid w:val="276B56D3"/>
    <w:rsid w:val="276E51C4"/>
    <w:rsid w:val="277125BE"/>
    <w:rsid w:val="27716A62"/>
    <w:rsid w:val="277327DA"/>
    <w:rsid w:val="27741BE7"/>
    <w:rsid w:val="277D5407"/>
    <w:rsid w:val="27800A53"/>
    <w:rsid w:val="278436B6"/>
    <w:rsid w:val="27871821"/>
    <w:rsid w:val="27877E9E"/>
    <w:rsid w:val="27881391"/>
    <w:rsid w:val="27897907"/>
    <w:rsid w:val="278C389C"/>
    <w:rsid w:val="278F47C9"/>
    <w:rsid w:val="27906CB2"/>
    <w:rsid w:val="27910EB2"/>
    <w:rsid w:val="27921D1A"/>
    <w:rsid w:val="2793478A"/>
    <w:rsid w:val="27977369"/>
    <w:rsid w:val="27A05651"/>
    <w:rsid w:val="27A504B9"/>
    <w:rsid w:val="27A87D33"/>
    <w:rsid w:val="27A91D58"/>
    <w:rsid w:val="27AE01C7"/>
    <w:rsid w:val="27B84691"/>
    <w:rsid w:val="27C10D34"/>
    <w:rsid w:val="27C22E19"/>
    <w:rsid w:val="27C60B5C"/>
    <w:rsid w:val="27C70430"/>
    <w:rsid w:val="27C711DE"/>
    <w:rsid w:val="27C86426"/>
    <w:rsid w:val="27CB43C4"/>
    <w:rsid w:val="27D30EC2"/>
    <w:rsid w:val="27D74B17"/>
    <w:rsid w:val="27D77CEC"/>
    <w:rsid w:val="27D86AE1"/>
    <w:rsid w:val="27DA092E"/>
    <w:rsid w:val="27E62FAC"/>
    <w:rsid w:val="27E84377"/>
    <w:rsid w:val="27EC7E96"/>
    <w:rsid w:val="27F07987"/>
    <w:rsid w:val="27F501B5"/>
    <w:rsid w:val="27F76F67"/>
    <w:rsid w:val="27FC27CF"/>
    <w:rsid w:val="27FD20A3"/>
    <w:rsid w:val="27FE03EC"/>
    <w:rsid w:val="28013942"/>
    <w:rsid w:val="280373C1"/>
    <w:rsid w:val="280544B2"/>
    <w:rsid w:val="28063D84"/>
    <w:rsid w:val="2807215E"/>
    <w:rsid w:val="28074CD0"/>
    <w:rsid w:val="281024AA"/>
    <w:rsid w:val="28153891"/>
    <w:rsid w:val="2818512F"/>
    <w:rsid w:val="281A2C55"/>
    <w:rsid w:val="281B4AE7"/>
    <w:rsid w:val="281E2746"/>
    <w:rsid w:val="281F201A"/>
    <w:rsid w:val="28213FE4"/>
    <w:rsid w:val="28245882"/>
    <w:rsid w:val="282B4E63"/>
    <w:rsid w:val="282E04AF"/>
    <w:rsid w:val="282F43ED"/>
    <w:rsid w:val="283261F1"/>
    <w:rsid w:val="28397580"/>
    <w:rsid w:val="284101E2"/>
    <w:rsid w:val="28425D08"/>
    <w:rsid w:val="284321AC"/>
    <w:rsid w:val="28441A80"/>
    <w:rsid w:val="28447CD2"/>
    <w:rsid w:val="284866D5"/>
    <w:rsid w:val="28494F94"/>
    <w:rsid w:val="284B1765"/>
    <w:rsid w:val="284C0DEE"/>
    <w:rsid w:val="284D302B"/>
    <w:rsid w:val="28500425"/>
    <w:rsid w:val="2852419D"/>
    <w:rsid w:val="285C14C0"/>
    <w:rsid w:val="285C501C"/>
    <w:rsid w:val="286914E7"/>
    <w:rsid w:val="286E6AFD"/>
    <w:rsid w:val="28722A91"/>
    <w:rsid w:val="28725E73"/>
    <w:rsid w:val="28732366"/>
    <w:rsid w:val="287441D3"/>
    <w:rsid w:val="287560DE"/>
    <w:rsid w:val="28795BCE"/>
    <w:rsid w:val="28801771"/>
    <w:rsid w:val="288527C5"/>
    <w:rsid w:val="28893937"/>
    <w:rsid w:val="28896E48"/>
    <w:rsid w:val="288D09FB"/>
    <w:rsid w:val="288F53F1"/>
    <w:rsid w:val="28943332"/>
    <w:rsid w:val="28956780"/>
    <w:rsid w:val="28981F1C"/>
    <w:rsid w:val="28996E4C"/>
    <w:rsid w:val="289B00F3"/>
    <w:rsid w:val="28A013AD"/>
    <w:rsid w:val="28A32C4B"/>
    <w:rsid w:val="28A80261"/>
    <w:rsid w:val="28A95D87"/>
    <w:rsid w:val="28AB14F7"/>
    <w:rsid w:val="28AD37B2"/>
    <w:rsid w:val="28B03D27"/>
    <w:rsid w:val="28B5297E"/>
    <w:rsid w:val="28B724AF"/>
    <w:rsid w:val="28B9421C"/>
    <w:rsid w:val="28C055AB"/>
    <w:rsid w:val="28C66939"/>
    <w:rsid w:val="28C8445F"/>
    <w:rsid w:val="28CA7634"/>
    <w:rsid w:val="28D15A0A"/>
    <w:rsid w:val="28D252DE"/>
    <w:rsid w:val="28D47A91"/>
    <w:rsid w:val="28D63020"/>
    <w:rsid w:val="28D70B46"/>
    <w:rsid w:val="28D72813"/>
    <w:rsid w:val="28DE1ED5"/>
    <w:rsid w:val="28E079FB"/>
    <w:rsid w:val="28E15521"/>
    <w:rsid w:val="28E219C5"/>
    <w:rsid w:val="28E32A32"/>
    <w:rsid w:val="28EA087A"/>
    <w:rsid w:val="28EA2628"/>
    <w:rsid w:val="28EB2C53"/>
    <w:rsid w:val="28EC1051"/>
    <w:rsid w:val="28ED18A3"/>
    <w:rsid w:val="28ED3EC6"/>
    <w:rsid w:val="28EF7C3E"/>
    <w:rsid w:val="28F17E5A"/>
    <w:rsid w:val="2903193C"/>
    <w:rsid w:val="290336EA"/>
    <w:rsid w:val="29057462"/>
    <w:rsid w:val="29062808"/>
    <w:rsid w:val="290731DA"/>
    <w:rsid w:val="29096190"/>
    <w:rsid w:val="290A4A78"/>
    <w:rsid w:val="290C4C94"/>
    <w:rsid w:val="290D27BA"/>
    <w:rsid w:val="29105FB5"/>
    <w:rsid w:val="2910642C"/>
    <w:rsid w:val="29114058"/>
    <w:rsid w:val="291476A5"/>
    <w:rsid w:val="291B216E"/>
    <w:rsid w:val="291B6C85"/>
    <w:rsid w:val="291C47AB"/>
    <w:rsid w:val="291E22D1"/>
    <w:rsid w:val="291E6775"/>
    <w:rsid w:val="29217EBF"/>
    <w:rsid w:val="29232A7B"/>
    <w:rsid w:val="292957C6"/>
    <w:rsid w:val="292C2C40"/>
    <w:rsid w:val="292F0982"/>
    <w:rsid w:val="29341AF5"/>
    <w:rsid w:val="29361D11"/>
    <w:rsid w:val="29373393"/>
    <w:rsid w:val="29387837"/>
    <w:rsid w:val="29391527"/>
    <w:rsid w:val="293F464C"/>
    <w:rsid w:val="294A1318"/>
    <w:rsid w:val="294C22A1"/>
    <w:rsid w:val="29542197"/>
    <w:rsid w:val="29543F45"/>
    <w:rsid w:val="295D54F0"/>
    <w:rsid w:val="295E1320"/>
    <w:rsid w:val="29673C78"/>
    <w:rsid w:val="29680339"/>
    <w:rsid w:val="29686BF8"/>
    <w:rsid w:val="296C128F"/>
    <w:rsid w:val="296C5733"/>
    <w:rsid w:val="296D7FC7"/>
    <w:rsid w:val="296F5223"/>
    <w:rsid w:val="296F6FD1"/>
    <w:rsid w:val="2972408A"/>
    <w:rsid w:val="29727238"/>
    <w:rsid w:val="29763DCD"/>
    <w:rsid w:val="297A7E50"/>
    <w:rsid w:val="297F65C0"/>
    <w:rsid w:val="298011DE"/>
    <w:rsid w:val="29803618"/>
    <w:rsid w:val="298505A2"/>
    <w:rsid w:val="298760C9"/>
    <w:rsid w:val="298A7967"/>
    <w:rsid w:val="298F31CF"/>
    <w:rsid w:val="29984596"/>
    <w:rsid w:val="29990004"/>
    <w:rsid w:val="29A7676B"/>
    <w:rsid w:val="29AA0009"/>
    <w:rsid w:val="29AD7F37"/>
    <w:rsid w:val="29B56E50"/>
    <w:rsid w:val="29B6075C"/>
    <w:rsid w:val="29BB1E01"/>
    <w:rsid w:val="29BB2216"/>
    <w:rsid w:val="29C0782D"/>
    <w:rsid w:val="29D27864"/>
    <w:rsid w:val="29D718CD"/>
    <w:rsid w:val="29D73489"/>
    <w:rsid w:val="29DD440B"/>
    <w:rsid w:val="29E7300B"/>
    <w:rsid w:val="29E928DF"/>
    <w:rsid w:val="29F117C7"/>
    <w:rsid w:val="29F574D6"/>
    <w:rsid w:val="29F61780"/>
    <w:rsid w:val="2A004C17"/>
    <w:rsid w:val="2A005C83"/>
    <w:rsid w:val="2A0239A1"/>
    <w:rsid w:val="2A07545B"/>
    <w:rsid w:val="2A0916DA"/>
    <w:rsid w:val="2A0B3707"/>
    <w:rsid w:val="2A0D1A99"/>
    <w:rsid w:val="2A0E0598"/>
    <w:rsid w:val="2A0E67EA"/>
    <w:rsid w:val="2A0E6BD3"/>
    <w:rsid w:val="2A104310"/>
    <w:rsid w:val="2A123AFF"/>
    <w:rsid w:val="2A135BAE"/>
    <w:rsid w:val="2A1A2F1D"/>
    <w:rsid w:val="2A1B4A63"/>
    <w:rsid w:val="2A1C2CB5"/>
    <w:rsid w:val="2A1C787C"/>
    <w:rsid w:val="2A253653"/>
    <w:rsid w:val="2A2B516F"/>
    <w:rsid w:val="2A2B739C"/>
    <w:rsid w:val="2A3049B2"/>
    <w:rsid w:val="2A3B353E"/>
    <w:rsid w:val="2A3C6EB3"/>
    <w:rsid w:val="2A3E70CF"/>
    <w:rsid w:val="2A420242"/>
    <w:rsid w:val="2A425534"/>
    <w:rsid w:val="2A4346E5"/>
    <w:rsid w:val="2A465F84"/>
    <w:rsid w:val="2A494B5A"/>
    <w:rsid w:val="2A4A348B"/>
    <w:rsid w:val="2A4F4BA4"/>
    <w:rsid w:val="2A570191"/>
    <w:rsid w:val="2A587A65"/>
    <w:rsid w:val="2A6109D3"/>
    <w:rsid w:val="2A663F30"/>
    <w:rsid w:val="2A685EFA"/>
    <w:rsid w:val="2A694C22"/>
    <w:rsid w:val="2A6B1546"/>
    <w:rsid w:val="2A6E7289"/>
    <w:rsid w:val="2A6F06B0"/>
    <w:rsid w:val="2A715467"/>
    <w:rsid w:val="2A717C6D"/>
    <w:rsid w:val="2A764AFE"/>
    <w:rsid w:val="2A77438F"/>
    <w:rsid w:val="2A7A79DD"/>
    <w:rsid w:val="2A855E4B"/>
    <w:rsid w:val="2A862824"/>
    <w:rsid w:val="2A88659C"/>
    <w:rsid w:val="2A8B3997"/>
    <w:rsid w:val="2A8D3BB3"/>
    <w:rsid w:val="2A924D25"/>
    <w:rsid w:val="2A97058D"/>
    <w:rsid w:val="2A97233B"/>
    <w:rsid w:val="2A9E5892"/>
    <w:rsid w:val="2A9F3AC3"/>
    <w:rsid w:val="2AA131BA"/>
    <w:rsid w:val="2AA333D6"/>
    <w:rsid w:val="2AA76000"/>
    <w:rsid w:val="2AAE0C26"/>
    <w:rsid w:val="2AB253C7"/>
    <w:rsid w:val="2AB27175"/>
    <w:rsid w:val="2AB56C65"/>
    <w:rsid w:val="2AB7478C"/>
    <w:rsid w:val="2AB949A8"/>
    <w:rsid w:val="2ABC1DA2"/>
    <w:rsid w:val="2ABF1892"/>
    <w:rsid w:val="2AC523EA"/>
    <w:rsid w:val="2AC670C5"/>
    <w:rsid w:val="2ACA2711"/>
    <w:rsid w:val="2ACB0237"/>
    <w:rsid w:val="2ACE1AD5"/>
    <w:rsid w:val="2AD27817"/>
    <w:rsid w:val="2AD61A8D"/>
    <w:rsid w:val="2ADB491E"/>
    <w:rsid w:val="2ADD021D"/>
    <w:rsid w:val="2AE11117"/>
    <w:rsid w:val="2AE412F9"/>
    <w:rsid w:val="2AEC39A9"/>
    <w:rsid w:val="2AFD06C9"/>
    <w:rsid w:val="2AFE685E"/>
    <w:rsid w:val="2AFF3560"/>
    <w:rsid w:val="2B0025D7"/>
    <w:rsid w:val="2B02288F"/>
    <w:rsid w:val="2B031C5F"/>
    <w:rsid w:val="2B035969"/>
    <w:rsid w:val="2B057BED"/>
    <w:rsid w:val="2B08148B"/>
    <w:rsid w:val="2B0A6F32"/>
    <w:rsid w:val="2B0C3B42"/>
    <w:rsid w:val="2B116592"/>
    <w:rsid w:val="2B25203D"/>
    <w:rsid w:val="2B287437"/>
    <w:rsid w:val="2B2A1401"/>
    <w:rsid w:val="2B2C4FDA"/>
    <w:rsid w:val="2B367DA6"/>
    <w:rsid w:val="2B391645"/>
    <w:rsid w:val="2B395AE8"/>
    <w:rsid w:val="2B3A5FAD"/>
    <w:rsid w:val="2B3E6C5B"/>
    <w:rsid w:val="2B400C25"/>
    <w:rsid w:val="2B42499D"/>
    <w:rsid w:val="2B485D2C"/>
    <w:rsid w:val="2B487ADA"/>
    <w:rsid w:val="2B4D6E9E"/>
    <w:rsid w:val="2B512E32"/>
    <w:rsid w:val="2B51698E"/>
    <w:rsid w:val="2B571D47"/>
    <w:rsid w:val="2B5B4633"/>
    <w:rsid w:val="2B5D5848"/>
    <w:rsid w:val="2B632B65"/>
    <w:rsid w:val="2B6341CD"/>
    <w:rsid w:val="2B683CD8"/>
    <w:rsid w:val="2B6D7540"/>
    <w:rsid w:val="2B746B21"/>
    <w:rsid w:val="2B7473D9"/>
    <w:rsid w:val="2B75442B"/>
    <w:rsid w:val="2B77216D"/>
    <w:rsid w:val="2B7872EF"/>
    <w:rsid w:val="2B807273"/>
    <w:rsid w:val="2B876854"/>
    <w:rsid w:val="2B8C5C18"/>
    <w:rsid w:val="2B8D373E"/>
    <w:rsid w:val="2B912BAC"/>
    <w:rsid w:val="2B966A97"/>
    <w:rsid w:val="2B9E594C"/>
    <w:rsid w:val="2BA557CB"/>
    <w:rsid w:val="2BA6170E"/>
    <w:rsid w:val="2BA97BB6"/>
    <w:rsid w:val="2BAD4BF1"/>
    <w:rsid w:val="2BB533C1"/>
    <w:rsid w:val="2BB62C95"/>
    <w:rsid w:val="2BB90EC9"/>
    <w:rsid w:val="2BBD2276"/>
    <w:rsid w:val="2BC76C50"/>
    <w:rsid w:val="2BC847AE"/>
    <w:rsid w:val="2BC96E6C"/>
    <w:rsid w:val="2BCC24B9"/>
    <w:rsid w:val="2BCE6231"/>
    <w:rsid w:val="2BCF3D57"/>
    <w:rsid w:val="2BD55811"/>
    <w:rsid w:val="2BD80E5D"/>
    <w:rsid w:val="2BD96809"/>
    <w:rsid w:val="2BDB0CA7"/>
    <w:rsid w:val="2BDD0222"/>
    <w:rsid w:val="2BE06290"/>
    <w:rsid w:val="2BE21ABF"/>
    <w:rsid w:val="2BE912BD"/>
    <w:rsid w:val="2BEA0B91"/>
    <w:rsid w:val="2BEE60E5"/>
    <w:rsid w:val="2BEE68D3"/>
    <w:rsid w:val="2BF35C97"/>
    <w:rsid w:val="2BF57C61"/>
    <w:rsid w:val="2BFA0DD4"/>
    <w:rsid w:val="2C001FCF"/>
    <w:rsid w:val="2C031483"/>
    <w:rsid w:val="2C0323FF"/>
    <w:rsid w:val="2C0359EB"/>
    <w:rsid w:val="2C043A01"/>
    <w:rsid w:val="2C057779"/>
    <w:rsid w:val="2C097269"/>
    <w:rsid w:val="2C0A4D8F"/>
    <w:rsid w:val="2C0B206C"/>
    <w:rsid w:val="2C116099"/>
    <w:rsid w:val="2C122C6D"/>
    <w:rsid w:val="2C163734"/>
    <w:rsid w:val="2C1B0D4A"/>
    <w:rsid w:val="2C1B3211"/>
    <w:rsid w:val="2C1C51EE"/>
    <w:rsid w:val="2C2045B2"/>
    <w:rsid w:val="2C22131D"/>
    <w:rsid w:val="2C224EB5"/>
    <w:rsid w:val="2C271DE5"/>
    <w:rsid w:val="2C273B93"/>
    <w:rsid w:val="2C2D27C1"/>
    <w:rsid w:val="2C2E596B"/>
    <w:rsid w:val="2C3138F9"/>
    <w:rsid w:val="2C332538"/>
    <w:rsid w:val="2C351E0C"/>
    <w:rsid w:val="2C355C19"/>
    <w:rsid w:val="2C363DD6"/>
    <w:rsid w:val="2C3A38C6"/>
    <w:rsid w:val="2C3D6F12"/>
    <w:rsid w:val="2C416A03"/>
    <w:rsid w:val="2C471FD6"/>
    <w:rsid w:val="2C475FE3"/>
    <w:rsid w:val="2C477E89"/>
    <w:rsid w:val="2C491D5B"/>
    <w:rsid w:val="2C49754C"/>
    <w:rsid w:val="2C4C5671"/>
    <w:rsid w:val="2C4F577B"/>
    <w:rsid w:val="2C504E98"/>
    <w:rsid w:val="2C520C10"/>
    <w:rsid w:val="2C5B55EB"/>
    <w:rsid w:val="2C5F50DB"/>
    <w:rsid w:val="2C61284C"/>
    <w:rsid w:val="2C695F59"/>
    <w:rsid w:val="2C7212B2"/>
    <w:rsid w:val="2C721DD4"/>
    <w:rsid w:val="2C736100"/>
    <w:rsid w:val="2C752B50"/>
    <w:rsid w:val="2C770676"/>
    <w:rsid w:val="2C772424"/>
    <w:rsid w:val="2C7843EE"/>
    <w:rsid w:val="2C7A0167"/>
    <w:rsid w:val="2C7D37B3"/>
    <w:rsid w:val="2C800AFF"/>
    <w:rsid w:val="2C804AD7"/>
    <w:rsid w:val="2C8B2374"/>
    <w:rsid w:val="2C901738"/>
    <w:rsid w:val="2C920B58"/>
    <w:rsid w:val="2C92725E"/>
    <w:rsid w:val="2C931228"/>
    <w:rsid w:val="2C934D84"/>
    <w:rsid w:val="2C9A6598"/>
    <w:rsid w:val="2C9E0609"/>
    <w:rsid w:val="2C9E20A7"/>
    <w:rsid w:val="2C9F5E1F"/>
    <w:rsid w:val="2CA23219"/>
    <w:rsid w:val="2CA64AB8"/>
    <w:rsid w:val="2CA70830"/>
    <w:rsid w:val="2CAC558F"/>
    <w:rsid w:val="2CAD4098"/>
    <w:rsid w:val="2CAF6062"/>
    <w:rsid w:val="2CBF1A4C"/>
    <w:rsid w:val="2CC23042"/>
    <w:rsid w:val="2CC36432"/>
    <w:rsid w:val="2CC87124"/>
    <w:rsid w:val="2CC94C4A"/>
    <w:rsid w:val="2CCD2810"/>
    <w:rsid w:val="2CD0422B"/>
    <w:rsid w:val="2CD352D0"/>
    <w:rsid w:val="2CD71115"/>
    <w:rsid w:val="2CD92D46"/>
    <w:rsid w:val="2CD930DF"/>
    <w:rsid w:val="2CDA0C05"/>
    <w:rsid w:val="2CDA6E57"/>
    <w:rsid w:val="2CDB71AD"/>
    <w:rsid w:val="2CE71099"/>
    <w:rsid w:val="2CED0939"/>
    <w:rsid w:val="2CF021D7"/>
    <w:rsid w:val="2CF73565"/>
    <w:rsid w:val="2CF827A5"/>
    <w:rsid w:val="2CF972DD"/>
    <w:rsid w:val="2CFA4E04"/>
    <w:rsid w:val="2CFB12A7"/>
    <w:rsid w:val="2CFB62B9"/>
    <w:rsid w:val="2D031F0A"/>
    <w:rsid w:val="2D047A30"/>
    <w:rsid w:val="2D095281"/>
    <w:rsid w:val="2D0A6FDB"/>
    <w:rsid w:val="2D0F6BB9"/>
    <w:rsid w:val="2D14247A"/>
    <w:rsid w:val="2D1904A6"/>
    <w:rsid w:val="2D1E0AF2"/>
    <w:rsid w:val="2D214A86"/>
    <w:rsid w:val="2D216834"/>
    <w:rsid w:val="2D323F34"/>
    <w:rsid w:val="2D325A03"/>
    <w:rsid w:val="2D346567"/>
    <w:rsid w:val="2D383BDC"/>
    <w:rsid w:val="2D391DD0"/>
    <w:rsid w:val="2D39592C"/>
    <w:rsid w:val="2D3C71CA"/>
    <w:rsid w:val="2D410C84"/>
    <w:rsid w:val="2D4D13D7"/>
    <w:rsid w:val="2D5026CD"/>
    <w:rsid w:val="2D5756ED"/>
    <w:rsid w:val="2D5B3AF4"/>
    <w:rsid w:val="2D5C161A"/>
    <w:rsid w:val="2D614E83"/>
    <w:rsid w:val="2D636E4D"/>
    <w:rsid w:val="2D6B75B7"/>
    <w:rsid w:val="2D6C3F53"/>
    <w:rsid w:val="2D6C73A3"/>
    <w:rsid w:val="2D7A7F77"/>
    <w:rsid w:val="2D7B7CF2"/>
    <w:rsid w:val="2D7F25FD"/>
    <w:rsid w:val="2D800808"/>
    <w:rsid w:val="2D8017AD"/>
    <w:rsid w:val="2D8A22FE"/>
    <w:rsid w:val="2D8A6187"/>
    <w:rsid w:val="2D8C4B19"/>
    <w:rsid w:val="2D8D147C"/>
    <w:rsid w:val="2D904132"/>
    <w:rsid w:val="2D92328E"/>
    <w:rsid w:val="2D9708A4"/>
    <w:rsid w:val="2D984D48"/>
    <w:rsid w:val="2D9E1C33"/>
    <w:rsid w:val="2D9E7E85"/>
    <w:rsid w:val="2DA44F20"/>
    <w:rsid w:val="2DA51744"/>
    <w:rsid w:val="2DA60AE7"/>
    <w:rsid w:val="2DA84860"/>
    <w:rsid w:val="2DAE631A"/>
    <w:rsid w:val="2DB467A3"/>
    <w:rsid w:val="2DB604DD"/>
    <w:rsid w:val="2DB63420"/>
    <w:rsid w:val="2DB8419B"/>
    <w:rsid w:val="2DB96A6D"/>
    <w:rsid w:val="2DBF0527"/>
    <w:rsid w:val="2DC23B73"/>
    <w:rsid w:val="2DC518B5"/>
    <w:rsid w:val="2DC7118A"/>
    <w:rsid w:val="2DC77C2F"/>
    <w:rsid w:val="2DCA0C7A"/>
    <w:rsid w:val="2DCF6D39"/>
    <w:rsid w:val="2DD13DB6"/>
    <w:rsid w:val="2DD218DC"/>
    <w:rsid w:val="2DD24D42"/>
    <w:rsid w:val="2DD31BB2"/>
    <w:rsid w:val="2DD35D80"/>
    <w:rsid w:val="2DD430F5"/>
    <w:rsid w:val="2DD45655"/>
    <w:rsid w:val="2DD57C67"/>
    <w:rsid w:val="2DD83397"/>
    <w:rsid w:val="2DD85145"/>
    <w:rsid w:val="2DDF0A5E"/>
    <w:rsid w:val="2DDF2977"/>
    <w:rsid w:val="2DE03FF9"/>
    <w:rsid w:val="2DE266F4"/>
    <w:rsid w:val="2DE33AEA"/>
    <w:rsid w:val="2DE67CAB"/>
    <w:rsid w:val="2DEA78B6"/>
    <w:rsid w:val="2DED6716"/>
    <w:rsid w:val="2DF02CA4"/>
    <w:rsid w:val="2DF950BB"/>
    <w:rsid w:val="2E075A2A"/>
    <w:rsid w:val="2E086593"/>
    <w:rsid w:val="2E0979F4"/>
    <w:rsid w:val="2E0A52EF"/>
    <w:rsid w:val="2E0E0B66"/>
    <w:rsid w:val="2E150147"/>
    <w:rsid w:val="2E184C68"/>
    <w:rsid w:val="2E1E4B22"/>
    <w:rsid w:val="2E220AB6"/>
    <w:rsid w:val="2E225044"/>
    <w:rsid w:val="2E24038A"/>
    <w:rsid w:val="2E252938"/>
    <w:rsid w:val="2E255EB0"/>
    <w:rsid w:val="2E294A91"/>
    <w:rsid w:val="2E2959A0"/>
    <w:rsid w:val="2E2A1718"/>
    <w:rsid w:val="2E2C5F3D"/>
    <w:rsid w:val="2E3723FF"/>
    <w:rsid w:val="2E3E5827"/>
    <w:rsid w:val="2E425656"/>
    <w:rsid w:val="2E4427DA"/>
    <w:rsid w:val="2E4439BD"/>
    <w:rsid w:val="2E497DF1"/>
    <w:rsid w:val="2E4F0C77"/>
    <w:rsid w:val="2E5479B7"/>
    <w:rsid w:val="2E5A3DAC"/>
    <w:rsid w:val="2E5C5D76"/>
    <w:rsid w:val="2E666BF4"/>
    <w:rsid w:val="2E67296D"/>
    <w:rsid w:val="2E6C1616"/>
    <w:rsid w:val="2E6E2BDC"/>
    <w:rsid w:val="2E6F6D21"/>
    <w:rsid w:val="2E734E6D"/>
    <w:rsid w:val="2E7806D6"/>
    <w:rsid w:val="2E7867C9"/>
    <w:rsid w:val="2E7B3D22"/>
    <w:rsid w:val="2E7C01C6"/>
    <w:rsid w:val="2E7F7CB6"/>
    <w:rsid w:val="2E813A2E"/>
    <w:rsid w:val="2E821554"/>
    <w:rsid w:val="2E84707B"/>
    <w:rsid w:val="2E8B665B"/>
    <w:rsid w:val="2E913C08"/>
    <w:rsid w:val="2E945BD3"/>
    <w:rsid w:val="2E9C43C4"/>
    <w:rsid w:val="2EA25753"/>
    <w:rsid w:val="2EA4771D"/>
    <w:rsid w:val="2EA96AE1"/>
    <w:rsid w:val="2EAD65D1"/>
    <w:rsid w:val="2EB07E70"/>
    <w:rsid w:val="2EB9643D"/>
    <w:rsid w:val="2EBC05C2"/>
    <w:rsid w:val="2EC07B78"/>
    <w:rsid w:val="2EC15BD9"/>
    <w:rsid w:val="2EC4391B"/>
    <w:rsid w:val="2ECC2D33"/>
    <w:rsid w:val="2ECD0A22"/>
    <w:rsid w:val="2ED0406E"/>
    <w:rsid w:val="2ED2428A"/>
    <w:rsid w:val="2ED973C6"/>
    <w:rsid w:val="2EDC6EB7"/>
    <w:rsid w:val="2EE01EEF"/>
    <w:rsid w:val="2EE10029"/>
    <w:rsid w:val="2EE8648D"/>
    <w:rsid w:val="2EED4C20"/>
    <w:rsid w:val="2EED69CE"/>
    <w:rsid w:val="2EF37D5C"/>
    <w:rsid w:val="2EF46C2F"/>
    <w:rsid w:val="2EF53BA5"/>
    <w:rsid w:val="2EF62906"/>
    <w:rsid w:val="2EFE507F"/>
    <w:rsid w:val="2F000DF7"/>
    <w:rsid w:val="2F0401BB"/>
    <w:rsid w:val="2F065CE2"/>
    <w:rsid w:val="2F067A90"/>
    <w:rsid w:val="2F081A5A"/>
    <w:rsid w:val="2F087CAC"/>
    <w:rsid w:val="2F0B32F8"/>
    <w:rsid w:val="2F120111"/>
    <w:rsid w:val="2F126434"/>
    <w:rsid w:val="2F1403FE"/>
    <w:rsid w:val="2F144911"/>
    <w:rsid w:val="2F146650"/>
    <w:rsid w:val="2F154177"/>
    <w:rsid w:val="2F1A79DF"/>
    <w:rsid w:val="2F1E302B"/>
    <w:rsid w:val="2F204FF5"/>
    <w:rsid w:val="2F224D7C"/>
    <w:rsid w:val="2F225D61"/>
    <w:rsid w:val="2F2B399A"/>
    <w:rsid w:val="2F2E110A"/>
    <w:rsid w:val="2F2F348A"/>
    <w:rsid w:val="2F355C83"/>
    <w:rsid w:val="2F3C7955"/>
    <w:rsid w:val="2F471420"/>
    <w:rsid w:val="2F47706D"/>
    <w:rsid w:val="2F48454C"/>
    <w:rsid w:val="2F4A02C4"/>
    <w:rsid w:val="2F4B444B"/>
    <w:rsid w:val="2F4D1B62"/>
    <w:rsid w:val="2F5051AF"/>
    <w:rsid w:val="2F522CD5"/>
    <w:rsid w:val="2F5E167A"/>
    <w:rsid w:val="2F61560E"/>
    <w:rsid w:val="2F63774D"/>
    <w:rsid w:val="2F642A08"/>
    <w:rsid w:val="2F692D63"/>
    <w:rsid w:val="2F6A112F"/>
    <w:rsid w:val="2F6A44C2"/>
    <w:rsid w:val="2F7013AD"/>
    <w:rsid w:val="2F7075FF"/>
    <w:rsid w:val="2F713AA3"/>
    <w:rsid w:val="2F723377"/>
    <w:rsid w:val="2F725125"/>
    <w:rsid w:val="2F7865CE"/>
    <w:rsid w:val="2F792957"/>
    <w:rsid w:val="2F7942A9"/>
    <w:rsid w:val="2F794705"/>
    <w:rsid w:val="2F7A034F"/>
    <w:rsid w:val="2F7B047E"/>
    <w:rsid w:val="2F803CE6"/>
    <w:rsid w:val="2F837332"/>
    <w:rsid w:val="2F880DEC"/>
    <w:rsid w:val="2F8C6448"/>
    <w:rsid w:val="2F950E14"/>
    <w:rsid w:val="2F966F86"/>
    <w:rsid w:val="2F971030"/>
    <w:rsid w:val="2F9B28CE"/>
    <w:rsid w:val="2F9B467C"/>
    <w:rsid w:val="2F9E5F1A"/>
    <w:rsid w:val="2FA04044"/>
    <w:rsid w:val="2FA057DA"/>
    <w:rsid w:val="2FA12735"/>
    <w:rsid w:val="2FA4415B"/>
    <w:rsid w:val="2FB76FDC"/>
    <w:rsid w:val="2FB96FA4"/>
    <w:rsid w:val="2FBD0A96"/>
    <w:rsid w:val="2FBE373E"/>
    <w:rsid w:val="2FC17E5A"/>
    <w:rsid w:val="2FC35981"/>
    <w:rsid w:val="2FC516F9"/>
    <w:rsid w:val="2FC674F5"/>
    <w:rsid w:val="2FCD4A51"/>
    <w:rsid w:val="2FD0188D"/>
    <w:rsid w:val="2FD03ECC"/>
    <w:rsid w:val="2FD302BA"/>
    <w:rsid w:val="2FD44032"/>
    <w:rsid w:val="2FD66FEA"/>
    <w:rsid w:val="2FE04785"/>
    <w:rsid w:val="2FE57FED"/>
    <w:rsid w:val="2FEA5603"/>
    <w:rsid w:val="2FEA73B1"/>
    <w:rsid w:val="2FEF49C8"/>
    <w:rsid w:val="2FF034A9"/>
    <w:rsid w:val="2FF16992"/>
    <w:rsid w:val="2FF32333"/>
    <w:rsid w:val="2FF43D8C"/>
    <w:rsid w:val="2FF47E32"/>
    <w:rsid w:val="2FF67B04"/>
    <w:rsid w:val="2FFC3EEA"/>
    <w:rsid w:val="30004E27"/>
    <w:rsid w:val="300541EB"/>
    <w:rsid w:val="300F0BC6"/>
    <w:rsid w:val="30130A13"/>
    <w:rsid w:val="30136908"/>
    <w:rsid w:val="301545BA"/>
    <w:rsid w:val="30185CCC"/>
    <w:rsid w:val="30185F9B"/>
    <w:rsid w:val="30226B4B"/>
    <w:rsid w:val="30234671"/>
    <w:rsid w:val="302723B3"/>
    <w:rsid w:val="303135DC"/>
    <w:rsid w:val="30330D58"/>
    <w:rsid w:val="30332B06"/>
    <w:rsid w:val="303560CE"/>
    <w:rsid w:val="303707CA"/>
    <w:rsid w:val="303F594F"/>
    <w:rsid w:val="303F6046"/>
    <w:rsid w:val="30471A9A"/>
    <w:rsid w:val="3049232A"/>
    <w:rsid w:val="304A60A2"/>
    <w:rsid w:val="304F5466"/>
    <w:rsid w:val="3050190A"/>
    <w:rsid w:val="30517DA4"/>
    <w:rsid w:val="305331A8"/>
    <w:rsid w:val="30550CCF"/>
    <w:rsid w:val="305570E3"/>
    <w:rsid w:val="30564A47"/>
    <w:rsid w:val="305667F5"/>
    <w:rsid w:val="305A62E5"/>
    <w:rsid w:val="305B20F0"/>
    <w:rsid w:val="305B5DCA"/>
    <w:rsid w:val="30662EDC"/>
    <w:rsid w:val="30666833"/>
    <w:rsid w:val="306B5DA3"/>
    <w:rsid w:val="306E3146"/>
    <w:rsid w:val="30731155"/>
    <w:rsid w:val="30736266"/>
    <w:rsid w:val="307418D9"/>
    <w:rsid w:val="3075311F"/>
    <w:rsid w:val="307C0A59"/>
    <w:rsid w:val="30836316"/>
    <w:rsid w:val="30896BCA"/>
    <w:rsid w:val="308C32C8"/>
    <w:rsid w:val="30913CD1"/>
    <w:rsid w:val="30A05CC2"/>
    <w:rsid w:val="30A220D4"/>
    <w:rsid w:val="30A27B64"/>
    <w:rsid w:val="30A316E4"/>
    <w:rsid w:val="30A33395"/>
    <w:rsid w:val="30A532D8"/>
    <w:rsid w:val="30A6777C"/>
    <w:rsid w:val="30A702B2"/>
    <w:rsid w:val="30A77050"/>
    <w:rsid w:val="30AC6E15"/>
    <w:rsid w:val="30B023A9"/>
    <w:rsid w:val="30B05F05"/>
    <w:rsid w:val="30B11C7D"/>
    <w:rsid w:val="30B579BF"/>
    <w:rsid w:val="30B67293"/>
    <w:rsid w:val="30BA3228"/>
    <w:rsid w:val="30BA70F9"/>
    <w:rsid w:val="30BD0622"/>
    <w:rsid w:val="30BF439A"/>
    <w:rsid w:val="30BF6314"/>
    <w:rsid w:val="30C054F1"/>
    <w:rsid w:val="30C61284"/>
    <w:rsid w:val="30C916BD"/>
    <w:rsid w:val="30D104D3"/>
    <w:rsid w:val="30D455A5"/>
    <w:rsid w:val="30D862EC"/>
    <w:rsid w:val="30DD5D86"/>
    <w:rsid w:val="30DF67EA"/>
    <w:rsid w:val="30E16A06"/>
    <w:rsid w:val="30E52F22"/>
    <w:rsid w:val="30E91417"/>
    <w:rsid w:val="30F26A37"/>
    <w:rsid w:val="30F304E8"/>
    <w:rsid w:val="30F30FA7"/>
    <w:rsid w:val="30F33128"/>
    <w:rsid w:val="30F73B34"/>
    <w:rsid w:val="30FA3624"/>
    <w:rsid w:val="30FB7DA1"/>
    <w:rsid w:val="30FC114A"/>
    <w:rsid w:val="30FC739C"/>
    <w:rsid w:val="31026DF7"/>
    <w:rsid w:val="310B5831"/>
    <w:rsid w:val="310F3573"/>
    <w:rsid w:val="31104BF6"/>
    <w:rsid w:val="3112096E"/>
    <w:rsid w:val="3118764E"/>
    <w:rsid w:val="311A3CC6"/>
    <w:rsid w:val="311C7A3E"/>
    <w:rsid w:val="311E5564"/>
    <w:rsid w:val="31233144"/>
    <w:rsid w:val="3124258B"/>
    <w:rsid w:val="31280191"/>
    <w:rsid w:val="31293F09"/>
    <w:rsid w:val="312A2724"/>
    <w:rsid w:val="312E32CE"/>
    <w:rsid w:val="313528AE"/>
    <w:rsid w:val="3138414C"/>
    <w:rsid w:val="313A7EC4"/>
    <w:rsid w:val="313B4368"/>
    <w:rsid w:val="313B7382"/>
    <w:rsid w:val="313E79B5"/>
    <w:rsid w:val="31456F95"/>
    <w:rsid w:val="31464ABB"/>
    <w:rsid w:val="31475925"/>
    <w:rsid w:val="3148438F"/>
    <w:rsid w:val="314B0324"/>
    <w:rsid w:val="314B3E80"/>
    <w:rsid w:val="314D409C"/>
    <w:rsid w:val="314F5689"/>
    <w:rsid w:val="315076E8"/>
    <w:rsid w:val="315216B2"/>
    <w:rsid w:val="31572824"/>
    <w:rsid w:val="315F792B"/>
    <w:rsid w:val="31602F13"/>
    <w:rsid w:val="316338F1"/>
    <w:rsid w:val="316425BA"/>
    <w:rsid w:val="31663A7F"/>
    <w:rsid w:val="31684A32"/>
    <w:rsid w:val="317258B0"/>
    <w:rsid w:val="31741628"/>
    <w:rsid w:val="317970CD"/>
    <w:rsid w:val="317E0299"/>
    <w:rsid w:val="31886E82"/>
    <w:rsid w:val="318B0720"/>
    <w:rsid w:val="318B26F6"/>
    <w:rsid w:val="318E3ACA"/>
    <w:rsid w:val="31944FBA"/>
    <w:rsid w:val="31945827"/>
    <w:rsid w:val="31951075"/>
    <w:rsid w:val="3196159F"/>
    <w:rsid w:val="31970012"/>
    <w:rsid w:val="319728AC"/>
    <w:rsid w:val="31993C82"/>
    <w:rsid w:val="31994BEB"/>
    <w:rsid w:val="319C292D"/>
    <w:rsid w:val="31A16195"/>
    <w:rsid w:val="31A43590"/>
    <w:rsid w:val="31A517E2"/>
    <w:rsid w:val="31A55C86"/>
    <w:rsid w:val="31AA3033"/>
    <w:rsid w:val="31B23EFF"/>
    <w:rsid w:val="31B47A43"/>
    <w:rsid w:val="31B639EF"/>
    <w:rsid w:val="31BB2DB3"/>
    <w:rsid w:val="31CA749A"/>
    <w:rsid w:val="31CD2AE7"/>
    <w:rsid w:val="31CF2D03"/>
    <w:rsid w:val="31CF6638"/>
    <w:rsid w:val="31CF685F"/>
    <w:rsid w:val="31D04385"/>
    <w:rsid w:val="31D420C7"/>
    <w:rsid w:val="31D76878"/>
    <w:rsid w:val="31DA51F1"/>
    <w:rsid w:val="31E0281A"/>
    <w:rsid w:val="31E22A36"/>
    <w:rsid w:val="31E71DFA"/>
    <w:rsid w:val="31E87920"/>
    <w:rsid w:val="31EB1C40"/>
    <w:rsid w:val="31ED3189"/>
    <w:rsid w:val="31F3494A"/>
    <w:rsid w:val="31F6028F"/>
    <w:rsid w:val="31F6390D"/>
    <w:rsid w:val="31F821B4"/>
    <w:rsid w:val="31F84007"/>
    <w:rsid w:val="31FD7663"/>
    <w:rsid w:val="320209E2"/>
    <w:rsid w:val="32024E86"/>
    <w:rsid w:val="32072B0C"/>
    <w:rsid w:val="3209173E"/>
    <w:rsid w:val="320A5AE9"/>
    <w:rsid w:val="320A5CEC"/>
    <w:rsid w:val="320C360F"/>
    <w:rsid w:val="320E382B"/>
    <w:rsid w:val="320F4CE3"/>
    <w:rsid w:val="32116E77"/>
    <w:rsid w:val="32133C07"/>
    <w:rsid w:val="3220530C"/>
    <w:rsid w:val="322546D1"/>
    <w:rsid w:val="323112C7"/>
    <w:rsid w:val="32370516"/>
    <w:rsid w:val="32386DC2"/>
    <w:rsid w:val="32387E06"/>
    <w:rsid w:val="323A4620"/>
    <w:rsid w:val="32432AB9"/>
    <w:rsid w:val="32432DA9"/>
    <w:rsid w:val="3244724D"/>
    <w:rsid w:val="32470AEB"/>
    <w:rsid w:val="324B621D"/>
    <w:rsid w:val="324C160F"/>
    <w:rsid w:val="324C7D2D"/>
    <w:rsid w:val="324E164F"/>
    <w:rsid w:val="32594867"/>
    <w:rsid w:val="325B4596"/>
    <w:rsid w:val="325B6344"/>
    <w:rsid w:val="326055F9"/>
    <w:rsid w:val="32621481"/>
    <w:rsid w:val="3264169D"/>
    <w:rsid w:val="3268379A"/>
    <w:rsid w:val="32684654"/>
    <w:rsid w:val="326A47D9"/>
    <w:rsid w:val="326C0551"/>
    <w:rsid w:val="3273368E"/>
    <w:rsid w:val="32774791"/>
    <w:rsid w:val="327C33CE"/>
    <w:rsid w:val="327D42D6"/>
    <w:rsid w:val="327F45AD"/>
    <w:rsid w:val="3281224F"/>
    <w:rsid w:val="3287538B"/>
    <w:rsid w:val="32885138"/>
    <w:rsid w:val="328B4E7C"/>
    <w:rsid w:val="328F5FEE"/>
    <w:rsid w:val="32902492"/>
    <w:rsid w:val="32917FB8"/>
    <w:rsid w:val="329830F5"/>
    <w:rsid w:val="32A001FB"/>
    <w:rsid w:val="32A23F73"/>
    <w:rsid w:val="32A423C1"/>
    <w:rsid w:val="32A45F3D"/>
    <w:rsid w:val="32A75EAC"/>
    <w:rsid w:val="32A80F95"/>
    <w:rsid w:val="32A907CC"/>
    <w:rsid w:val="32AC6A32"/>
    <w:rsid w:val="32B36180"/>
    <w:rsid w:val="32BA12BD"/>
    <w:rsid w:val="32C20171"/>
    <w:rsid w:val="32C46B15"/>
    <w:rsid w:val="32C61A89"/>
    <w:rsid w:val="32C739DA"/>
    <w:rsid w:val="32C959A4"/>
    <w:rsid w:val="32CE2FBA"/>
    <w:rsid w:val="32CE6B16"/>
    <w:rsid w:val="32D21006"/>
    <w:rsid w:val="32D3412D"/>
    <w:rsid w:val="32D560F7"/>
    <w:rsid w:val="32D72D60"/>
    <w:rsid w:val="32D87995"/>
    <w:rsid w:val="32DB0C08"/>
    <w:rsid w:val="32DF2AD1"/>
    <w:rsid w:val="32E620B2"/>
    <w:rsid w:val="32F22D30"/>
    <w:rsid w:val="32F80037"/>
    <w:rsid w:val="32F83B93"/>
    <w:rsid w:val="32FB423F"/>
    <w:rsid w:val="32FD2138"/>
    <w:rsid w:val="32FD42FE"/>
    <w:rsid w:val="32FF13C6"/>
    <w:rsid w:val="330469DC"/>
    <w:rsid w:val="33062754"/>
    <w:rsid w:val="33064502"/>
    <w:rsid w:val="33074C71"/>
    <w:rsid w:val="33076FAA"/>
    <w:rsid w:val="3308251E"/>
    <w:rsid w:val="330C763F"/>
    <w:rsid w:val="331035D3"/>
    <w:rsid w:val="33136C1F"/>
    <w:rsid w:val="33152997"/>
    <w:rsid w:val="33173268"/>
    <w:rsid w:val="33184235"/>
    <w:rsid w:val="331A61FF"/>
    <w:rsid w:val="332130EA"/>
    <w:rsid w:val="3321758E"/>
    <w:rsid w:val="33226E62"/>
    <w:rsid w:val="33233306"/>
    <w:rsid w:val="33260700"/>
    <w:rsid w:val="33270FD5"/>
    <w:rsid w:val="33274478"/>
    <w:rsid w:val="332848FF"/>
    <w:rsid w:val="332C31B3"/>
    <w:rsid w:val="332E1CAB"/>
    <w:rsid w:val="33303667"/>
    <w:rsid w:val="33317CF6"/>
    <w:rsid w:val="3337229A"/>
    <w:rsid w:val="334150DF"/>
    <w:rsid w:val="3341553A"/>
    <w:rsid w:val="33420DD0"/>
    <w:rsid w:val="33446DD8"/>
    <w:rsid w:val="334B63B9"/>
    <w:rsid w:val="334B6A2C"/>
    <w:rsid w:val="334E5EA9"/>
    <w:rsid w:val="335079DD"/>
    <w:rsid w:val="33544D3A"/>
    <w:rsid w:val="3355548A"/>
    <w:rsid w:val="335C05C6"/>
    <w:rsid w:val="33641229"/>
    <w:rsid w:val="336631F3"/>
    <w:rsid w:val="336B6A5B"/>
    <w:rsid w:val="336E3E55"/>
    <w:rsid w:val="33721B98"/>
    <w:rsid w:val="33727DEA"/>
    <w:rsid w:val="337771AE"/>
    <w:rsid w:val="337A6C42"/>
    <w:rsid w:val="337F42B4"/>
    <w:rsid w:val="33814E53"/>
    <w:rsid w:val="33835198"/>
    <w:rsid w:val="338576BC"/>
    <w:rsid w:val="33890C8F"/>
    <w:rsid w:val="338B2C59"/>
    <w:rsid w:val="338B4A07"/>
    <w:rsid w:val="3390201E"/>
    <w:rsid w:val="339337F1"/>
    <w:rsid w:val="33946D15"/>
    <w:rsid w:val="33957634"/>
    <w:rsid w:val="33997124"/>
    <w:rsid w:val="339A0409"/>
    <w:rsid w:val="339A5F22"/>
    <w:rsid w:val="339B6127"/>
    <w:rsid w:val="339C7798"/>
    <w:rsid w:val="339E0904"/>
    <w:rsid w:val="33A31D51"/>
    <w:rsid w:val="33AB32FB"/>
    <w:rsid w:val="33AD441A"/>
    <w:rsid w:val="33B369B9"/>
    <w:rsid w:val="33B45D0C"/>
    <w:rsid w:val="33B64FB5"/>
    <w:rsid w:val="33BB353F"/>
    <w:rsid w:val="33C00B55"/>
    <w:rsid w:val="33C06DA7"/>
    <w:rsid w:val="33C148CD"/>
    <w:rsid w:val="33C1667B"/>
    <w:rsid w:val="33C70135"/>
    <w:rsid w:val="33CA19D4"/>
    <w:rsid w:val="33CF4B12"/>
    <w:rsid w:val="33CF6FEA"/>
    <w:rsid w:val="33D22636"/>
    <w:rsid w:val="33D4015C"/>
    <w:rsid w:val="33D67EDA"/>
    <w:rsid w:val="33DB70C9"/>
    <w:rsid w:val="33DB7795"/>
    <w:rsid w:val="33DF2244"/>
    <w:rsid w:val="33E02FA5"/>
    <w:rsid w:val="33EA5BD2"/>
    <w:rsid w:val="33F24A86"/>
    <w:rsid w:val="33F26834"/>
    <w:rsid w:val="33F86541"/>
    <w:rsid w:val="33F94067"/>
    <w:rsid w:val="33F96EE8"/>
    <w:rsid w:val="33F97BC3"/>
    <w:rsid w:val="33FB7DDF"/>
    <w:rsid w:val="34014CC9"/>
    <w:rsid w:val="340A0022"/>
    <w:rsid w:val="340D1B3C"/>
    <w:rsid w:val="340F2FE6"/>
    <w:rsid w:val="34125129"/>
    <w:rsid w:val="34126ED7"/>
    <w:rsid w:val="34127371"/>
    <w:rsid w:val="34176476"/>
    <w:rsid w:val="341C1B03"/>
    <w:rsid w:val="341D5FA7"/>
    <w:rsid w:val="341E587B"/>
    <w:rsid w:val="34206F06"/>
    <w:rsid w:val="34223EE1"/>
    <w:rsid w:val="34237336"/>
    <w:rsid w:val="342A06C4"/>
    <w:rsid w:val="342A5883"/>
    <w:rsid w:val="342B1D46"/>
    <w:rsid w:val="343155AF"/>
    <w:rsid w:val="34394463"/>
    <w:rsid w:val="343E1A7A"/>
    <w:rsid w:val="343F09D0"/>
    <w:rsid w:val="34403A44"/>
    <w:rsid w:val="34417025"/>
    <w:rsid w:val="344352E2"/>
    <w:rsid w:val="34460FA6"/>
    <w:rsid w:val="3446520A"/>
    <w:rsid w:val="34495916"/>
    <w:rsid w:val="344B2998"/>
    <w:rsid w:val="34533777"/>
    <w:rsid w:val="345561DA"/>
    <w:rsid w:val="345968B4"/>
    <w:rsid w:val="3461446D"/>
    <w:rsid w:val="34614FCD"/>
    <w:rsid w:val="34621C0C"/>
    <w:rsid w:val="34645984"/>
    <w:rsid w:val="346534AA"/>
    <w:rsid w:val="346B2679"/>
    <w:rsid w:val="346C65E7"/>
    <w:rsid w:val="34731B63"/>
    <w:rsid w:val="34735BC7"/>
    <w:rsid w:val="3474193F"/>
    <w:rsid w:val="34761214"/>
    <w:rsid w:val="347646CB"/>
    <w:rsid w:val="347B0F20"/>
    <w:rsid w:val="34870AC9"/>
    <w:rsid w:val="34872F23"/>
    <w:rsid w:val="348778C5"/>
    <w:rsid w:val="3491604D"/>
    <w:rsid w:val="34923CF6"/>
    <w:rsid w:val="34931DC5"/>
    <w:rsid w:val="349618B6"/>
    <w:rsid w:val="34990848"/>
    <w:rsid w:val="349A75F8"/>
    <w:rsid w:val="349F2677"/>
    <w:rsid w:val="349F69BC"/>
    <w:rsid w:val="34A2025B"/>
    <w:rsid w:val="34A43FD3"/>
    <w:rsid w:val="34A96986"/>
    <w:rsid w:val="34AE6BFF"/>
    <w:rsid w:val="34AF23C5"/>
    <w:rsid w:val="34B23F6B"/>
    <w:rsid w:val="34B8182C"/>
    <w:rsid w:val="34BA4404"/>
    <w:rsid w:val="34BB131C"/>
    <w:rsid w:val="34BF7E98"/>
    <w:rsid w:val="34C53F49"/>
    <w:rsid w:val="34C60A94"/>
    <w:rsid w:val="34C71A6F"/>
    <w:rsid w:val="34C75F13"/>
    <w:rsid w:val="34CC6AF3"/>
    <w:rsid w:val="34D05E90"/>
    <w:rsid w:val="34D23635"/>
    <w:rsid w:val="34D643A8"/>
    <w:rsid w:val="34E2334C"/>
    <w:rsid w:val="34E73EBF"/>
    <w:rsid w:val="34EB10A7"/>
    <w:rsid w:val="34EC597A"/>
    <w:rsid w:val="34F0015F"/>
    <w:rsid w:val="34F04BAC"/>
    <w:rsid w:val="34F07218"/>
    <w:rsid w:val="34F30AB6"/>
    <w:rsid w:val="34F62354"/>
    <w:rsid w:val="34FA0097"/>
    <w:rsid w:val="34FD36E3"/>
    <w:rsid w:val="34FD621F"/>
    <w:rsid w:val="35040F15"/>
    <w:rsid w:val="3504792C"/>
    <w:rsid w:val="350727B3"/>
    <w:rsid w:val="350B22A4"/>
    <w:rsid w:val="350B4052"/>
    <w:rsid w:val="350C3926"/>
    <w:rsid w:val="350E58F0"/>
    <w:rsid w:val="35153555"/>
    <w:rsid w:val="35153CD7"/>
    <w:rsid w:val="35207995"/>
    <w:rsid w:val="35222F03"/>
    <w:rsid w:val="35234C75"/>
    <w:rsid w:val="35244234"/>
    <w:rsid w:val="35284C04"/>
    <w:rsid w:val="352A3E47"/>
    <w:rsid w:val="352E7D40"/>
    <w:rsid w:val="35322589"/>
    <w:rsid w:val="35327830"/>
    <w:rsid w:val="35335357"/>
    <w:rsid w:val="35366BF5"/>
    <w:rsid w:val="35374E47"/>
    <w:rsid w:val="35374FBB"/>
    <w:rsid w:val="353F2D6F"/>
    <w:rsid w:val="354237EC"/>
    <w:rsid w:val="35447B38"/>
    <w:rsid w:val="35454F3B"/>
    <w:rsid w:val="35481FE4"/>
    <w:rsid w:val="35492DCC"/>
    <w:rsid w:val="35496928"/>
    <w:rsid w:val="354B08F2"/>
    <w:rsid w:val="35521C81"/>
    <w:rsid w:val="355552CD"/>
    <w:rsid w:val="355C2AFF"/>
    <w:rsid w:val="355C43F8"/>
    <w:rsid w:val="355E6877"/>
    <w:rsid w:val="355E6EF8"/>
    <w:rsid w:val="35610116"/>
    <w:rsid w:val="356161D1"/>
    <w:rsid w:val="356419B4"/>
    <w:rsid w:val="356B011D"/>
    <w:rsid w:val="356B276A"/>
    <w:rsid w:val="35725E7F"/>
    <w:rsid w:val="3579545F"/>
    <w:rsid w:val="35831E3A"/>
    <w:rsid w:val="358A2DE4"/>
    <w:rsid w:val="358B5193"/>
    <w:rsid w:val="358B6F41"/>
    <w:rsid w:val="358E07DF"/>
    <w:rsid w:val="359027A9"/>
    <w:rsid w:val="35917553"/>
    <w:rsid w:val="359531D4"/>
    <w:rsid w:val="359758E5"/>
    <w:rsid w:val="359A53D6"/>
    <w:rsid w:val="359F29EC"/>
    <w:rsid w:val="359F479A"/>
    <w:rsid w:val="35A00B74"/>
    <w:rsid w:val="35A26038"/>
    <w:rsid w:val="35A27D3E"/>
    <w:rsid w:val="35A324DC"/>
    <w:rsid w:val="35A63D7A"/>
    <w:rsid w:val="35AA43BF"/>
    <w:rsid w:val="35AB7FA2"/>
    <w:rsid w:val="35AF5C6F"/>
    <w:rsid w:val="35B46497"/>
    <w:rsid w:val="35B50461"/>
    <w:rsid w:val="35B93933"/>
    <w:rsid w:val="35B93AAE"/>
    <w:rsid w:val="35BA15D4"/>
    <w:rsid w:val="35BA7826"/>
    <w:rsid w:val="35BB5A78"/>
    <w:rsid w:val="35BF0C44"/>
    <w:rsid w:val="35C6441D"/>
    <w:rsid w:val="35C73C18"/>
    <w:rsid w:val="35C97A69"/>
    <w:rsid w:val="35CA5CBB"/>
    <w:rsid w:val="35CC64D3"/>
    <w:rsid w:val="35D72186"/>
    <w:rsid w:val="35DE4F44"/>
    <w:rsid w:val="35EE1820"/>
    <w:rsid w:val="35EE5A12"/>
    <w:rsid w:val="35F1149A"/>
    <w:rsid w:val="35F26FC0"/>
    <w:rsid w:val="35F40B39"/>
    <w:rsid w:val="35F965A0"/>
    <w:rsid w:val="35FE7713"/>
    <w:rsid w:val="36004674"/>
    <w:rsid w:val="360056B4"/>
    <w:rsid w:val="36010FB1"/>
    <w:rsid w:val="36062A6B"/>
    <w:rsid w:val="36064819"/>
    <w:rsid w:val="360E2E9B"/>
    <w:rsid w:val="36112898"/>
    <w:rsid w:val="36145188"/>
    <w:rsid w:val="36153F8A"/>
    <w:rsid w:val="36177589"/>
    <w:rsid w:val="361A2641"/>
    <w:rsid w:val="361B3D26"/>
    <w:rsid w:val="361E5856"/>
    <w:rsid w:val="361F4BB1"/>
    <w:rsid w:val="36201D7F"/>
    <w:rsid w:val="36211653"/>
    <w:rsid w:val="362311BF"/>
    <w:rsid w:val="3627310D"/>
    <w:rsid w:val="36317AE8"/>
    <w:rsid w:val="36370E76"/>
    <w:rsid w:val="36385A86"/>
    <w:rsid w:val="36394BEF"/>
    <w:rsid w:val="363C023B"/>
    <w:rsid w:val="363C16DB"/>
    <w:rsid w:val="363D46DF"/>
    <w:rsid w:val="36437C4D"/>
    <w:rsid w:val="364A2958"/>
    <w:rsid w:val="364A6DFC"/>
    <w:rsid w:val="364B2D47"/>
    <w:rsid w:val="3652293B"/>
    <w:rsid w:val="36541EFB"/>
    <w:rsid w:val="3658151C"/>
    <w:rsid w:val="36600502"/>
    <w:rsid w:val="36617CA1"/>
    <w:rsid w:val="36631C6B"/>
    <w:rsid w:val="36653C36"/>
    <w:rsid w:val="36687282"/>
    <w:rsid w:val="366A2FFA"/>
    <w:rsid w:val="36751AE8"/>
    <w:rsid w:val="3676647A"/>
    <w:rsid w:val="367766D0"/>
    <w:rsid w:val="367B6FB5"/>
    <w:rsid w:val="367C137F"/>
    <w:rsid w:val="3680281D"/>
    <w:rsid w:val="36826596"/>
    <w:rsid w:val="368816D2"/>
    <w:rsid w:val="36941E25"/>
    <w:rsid w:val="369462C9"/>
    <w:rsid w:val="36946BC1"/>
    <w:rsid w:val="36965B9D"/>
    <w:rsid w:val="369938DF"/>
    <w:rsid w:val="369B5C60"/>
    <w:rsid w:val="369D517D"/>
    <w:rsid w:val="36A22E13"/>
    <w:rsid w:val="36A4475E"/>
    <w:rsid w:val="36A54032"/>
    <w:rsid w:val="36A908A1"/>
    <w:rsid w:val="36AA39B8"/>
    <w:rsid w:val="36B10C29"/>
    <w:rsid w:val="36B14785"/>
    <w:rsid w:val="36B2214A"/>
    <w:rsid w:val="36B45E54"/>
    <w:rsid w:val="36BC6087"/>
    <w:rsid w:val="36BD312A"/>
    <w:rsid w:val="36BF0C3B"/>
    <w:rsid w:val="36C00E6C"/>
    <w:rsid w:val="36C3270A"/>
    <w:rsid w:val="36C5292F"/>
    <w:rsid w:val="36C74F37"/>
    <w:rsid w:val="36CC16CD"/>
    <w:rsid w:val="36CC5A63"/>
    <w:rsid w:val="36D13079"/>
    <w:rsid w:val="36D14E27"/>
    <w:rsid w:val="36D20293"/>
    <w:rsid w:val="36DF7544"/>
    <w:rsid w:val="36E27F3D"/>
    <w:rsid w:val="36E36908"/>
    <w:rsid w:val="36EC1C61"/>
    <w:rsid w:val="36F11F50"/>
    <w:rsid w:val="36F12401"/>
    <w:rsid w:val="36F31241"/>
    <w:rsid w:val="36F62AE0"/>
    <w:rsid w:val="36FA25D0"/>
    <w:rsid w:val="36FD79CA"/>
    <w:rsid w:val="36FE4E3B"/>
    <w:rsid w:val="3701395E"/>
    <w:rsid w:val="37046FAB"/>
    <w:rsid w:val="37076A9B"/>
    <w:rsid w:val="370C5E5F"/>
    <w:rsid w:val="370E5675"/>
    <w:rsid w:val="370F5FEA"/>
    <w:rsid w:val="37164F30"/>
    <w:rsid w:val="371D31FA"/>
    <w:rsid w:val="371F550B"/>
    <w:rsid w:val="37221C09"/>
    <w:rsid w:val="372236DF"/>
    <w:rsid w:val="37230728"/>
    <w:rsid w:val="372413FB"/>
    <w:rsid w:val="372B2789"/>
    <w:rsid w:val="372D6263"/>
    <w:rsid w:val="372E5DD5"/>
    <w:rsid w:val="372F1B4E"/>
    <w:rsid w:val="37321D6A"/>
    <w:rsid w:val="373553B6"/>
    <w:rsid w:val="37384EA6"/>
    <w:rsid w:val="373A0948"/>
    <w:rsid w:val="37403D2D"/>
    <w:rsid w:val="37405B09"/>
    <w:rsid w:val="3747333B"/>
    <w:rsid w:val="374750E9"/>
    <w:rsid w:val="37476EAE"/>
    <w:rsid w:val="37492C0F"/>
    <w:rsid w:val="374970B3"/>
    <w:rsid w:val="375021F0"/>
    <w:rsid w:val="37503F9E"/>
    <w:rsid w:val="37531CE0"/>
    <w:rsid w:val="375717D0"/>
    <w:rsid w:val="375A4E1C"/>
    <w:rsid w:val="375C0B95"/>
    <w:rsid w:val="375C7D4D"/>
    <w:rsid w:val="37620175"/>
    <w:rsid w:val="37621F23"/>
    <w:rsid w:val="376833C8"/>
    <w:rsid w:val="3769147A"/>
    <w:rsid w:val="376D0EA1"/>
    <w:rsid w:val="376D2DA2"/>
    <w:rsid w:val="37701926"/>
    <w:rsid w:val="377063EE"/>
    <w:rsid w:val="37735EDE"/>
    <w:rsid w:val="377C2FE5"/>
    <w:rsid w:val="37816E26"/>
    <w:rsid w:val="37854FB0"/>
    <w:rsid w:val="378578B7"/>
    <w:rsid w:val="3787198A"/>
    <w:rsid w:val="378812A1"/>
    <w:rsid w:val="37922808"/>
    <w:rsid w:val="379522F8"/>
    <w:rsid w:val="37991DE9"/>
    <w:rsid w:val="379E7A8F"/>
    <w:rsid w:val="37A30D30"/>
    <w:rsid w:val="37AF6638"/>
    <w:rsid w:val="37B00EE0"/>
    <w:rsid w:val="37B02C8E"/>
    <w:rsid w:val="37B24C58"/>
    <w:rsid w:val="37B54749"/>
    <w:rsid w:val="37B704C1"/>
    <w:rsid w:val="37B7226F"/>
    <w:rsid w:val="37BF7375"/>
    <w:rsid w:val="37C329C2"/>
    <w:rsid w:val="37C87E10"/>
    <w:rsid w:val="37C91FA2"/>
    <w:rsid w:val="37CD1A92"/>
    <w:rsid w:val="37CE3417"/>
    <w:rsid w:val="37D810B0"/>
    <w:rsid w:val="37D90437"/>
    <w:rsid w:val="37DE3C9F"/>
    <w:rsid w:val="37DE3EDF"/>
    <w:rsid w:val="37DE5A4E"/>
    <w:rsid w:val="37E34E12"/>
    <w:rsid w:val="37E35438"/>
    <w:rsid w:val="37EA2644"/>
    <w:rsid w:val="37EA4D68"/>
    <w:rsid w:val="37EF7C5B"/>
    <w:rsid w:val="37F065A7"/>
    <w:rsid w:val="37F52D97"/>
    <w:rsid w:val="37F86C7C"/>
    <w:rsid w:val="37FB16C1"/>
    <w:rsid w:val="37FD193B"/>
    <w:rsid w:val="38005350"/>
    <w:rsid w:val="3801173C"/>
    <w:rsid w:val="3809239F"/>
    <w:rsid w:val="3811387B"/>
    <w:rsid w:val="381178FA"/>
    <w:rsid w:val="381551E7"/>
    <w:rsid w:val="381625C9"/>
    <w:rsid w:val="381B27FE"/>
    <w:rsid w:val="381C4EC4"/>
    <w:rsid w:val="381C6576"/>
    <w:rsid w:val="381E409C"/>
    <w:rsid w:val="38233460"/>
    <w:rsid w:val="3825367C"/>
    <w:rsid w:val="382748DE"/>
    <w:rsid w:val="38284F1B"/>
    <w:rsid w:val="382C4A0B"/>
    <w:rsid w:val="38303DCF"/>
    <w:rsid w:val="38312021"/>
    <w:rsid w:val="38341B11"/>
    <w:rsid w:val="383605D0"/>
    <w:rsid w:val="38367638"/>
    <w:rsid w:val="384269BF"/>
    <w:rsid w:val="384568C3"/>
    <w:rsid w:val="38474CC1"/>
    <w:rsid w:val="3848736B"/>
    <w:rsid w:val="384C75D4"/>
    <w:rsid w:val="384D4981"/>
    <w:rsid w:val="384D672F"/>
    <w:rsid w:val="384E5D69"/>
    <w:rsid w:val="384F24A7"/>
    <w:rsid w:val="3853706C"/>
    <w:rsid w:val="38547ABE"/>
    <w:rsid w:val="38591578"/>
    <w:rsid w:val="38593326"/>
    <w:rsid w:val="385C4BC4"/>
    <w:rsid w:val="385F2AC6"/>
    <w:rsid w:val="386C3059"/>
    <w:rsid w:val="386F2B4A"/>
    <w:rsid w:val="386F48F8"/>
    <w:rsid w:val="38701D47"/>
    <w:rsid w:val="387648BB"/>
    <w:rsid w:val="387737AC"/>
    <w:rsid w:val="387939C8"/>
    <w:rsid w:val="387D2179"/>
    <w:rsid w:val="387D5266"/>
    <w:rsid w:val="387D59CC"/>
    <w:rsid w:val="387F02D5"/>
    <w:rsid w:val="38806B05"/>
    <w:rsid w:val="3881462B"/>
    <w:rsid w:val="3882287D"/>
    <w:rsid w:val="38841112"/>
    <w:rsid w:val="3885236D"/>
    <w:rsid w:val="38877E93"/>
    <w:rsid w:val="38887767"/>
    <w:rsid w:val="38890D63"/>
    <w:rsid w:val="38910D12"/>
    <w:rsid w:val="3891486E"/>
    <w:rsid w:val="389600D6"/>
    <w:rsid w:val="38961E84"/>
    <w:rsid w:val="389E342F"/>
    <w:rsid w:val="38A02D03"/>
    <w:rsid w:val="38A30A45"/>
    <w:rsid w:val="38A547BD"/>
    <w:rsid w:val="38AA3B82"/>
    <w:rsid w:val="38AA5930"/>
    <w:rsid w:val="38AC5D96"/>
    <w:rsid w:val="38AF2F46"/>
    <w:rsid w:val="38B4055C"/>
    <w:rsid w:val="38B642D4"/>
    <w:rsid w:val="38BE762D"/>
    <w:rsid w:val="38D0030D"/>
    <w:rsid w:val="38D605BB"/>
    <w:rsid w:val="38D94467"/>
    <w:rsid w:val="38DD7AB3"/>
    <w:rsid w:val="38E17EBE"/>
    <w:rsid w:val="38E2331B"/>
    <w:rsid w:val="38E70932"/>
    <w:rsid w:val="38EA0422"/>
    <w:rsid w:val="38EB4BA1"/>
    <w:rsid w:val="38EC5F48"/>
    <w:rsid w:val="38ED3A6E"/>
    <w:rsid w:val="38EF77E6"/>
    <w:rsid w:val="38F02330"/>
    <w:rsid w:val="38F21F6F"/>
    <w:rsid w:val="38FB5B4F"/>
    <w:rsid w:val="390037A2"/>
    <w:rsid w:val="39017524"/>
    <w:rsid w:val="3902751A"/>
    <w:rsid w:val="39047736"/>
    <w:rsid w:val="390B0AC4"/>
    <w:rsid w:val="390F7E89"/>
    <w:rsid w:val="39111E53"/>
    <w:rsid w:val="39131727"/>
    <w:rsid w:val="391536CC"/>
    <w:rsid w:val="39167892"/>
    <w:rsid w:val="39180AEB"/>
    <w:rsid w:val="391905F6"/>
    <w:rsid w:val="391D3FA7"/>
    <w:rsid w:val="392313D8"/>
    <w:rsid w:val="39243934"/>
    <w:rsid w:val="392530AD"/>
    <w:rsid w:val="39266F2C"/>
    <w:rsid w:val="39276F80"/>
    <w:rsid w:val="39292CF8"/>
    <w:rsid w:val="392E2DE3"/>
    <w:rsid w:val="392E47B3"/>
    <w:rsid w:val="392F4087"/>
    <w:rsid w:val="3930052B"/>
    <w:rsid w:val="39395969"/>
    <w:rsid w:val="39400042"/>
    <w:rsid w:val="394C2E8B"/>
    <w:rsid w:val="394C61B4"/>
    <w:rsid w:val="394C69E7"/>
    <w:rsid w:val="395104A1"/>
    <w:rsid w:val="39536A18"/>
    <w:rsid w:val="395D0BF4"/>
    <w:rsid w:val="395D6E46"/>
    <w:rsid w:val="395F3352"/>
    <w:rsid w:val="39673821"/>
    <w:rsid w:val="39683B63"/>
    <w:rsid w:val="396B1563"/>
    <w:rsid w:val="396B3311"/>
    <w:rsid w:val="39702FCD"/>
    <w:rsid w:val="39726FC0"/>
    <w:rsid w:val="39736669"/>
    <w:rsid w:val="397A3554"/>
    <w:rsid w:val="397C1E1E"/>
    <w:rsid w:val="398443D3"/>
    <w:rsid w:val="39846181"/>
    <w:rsid w:val="39857FA0"/>
    <w:rsid w:val="398759AA"/>
    <w:rsid w:val="398B39AD"/>
    <w:rsid w:val="398C590D"/>
    <w:rsid w:val="39902D77"/>
    <w:rsid w:val="39986745"/>
    <w:rsid w:val="399A1E48"/>
    <w:rsid w:val="399F745E"/>
    <w:rsid w:val="39A24859"/>
    <w:rsid w:val="39A93006"/>
    <w:rsid w:val="39AB0C07"/>
    <w:rsid w:val="39AC6246"/>
    <w:rsid w:val="39AE1450"/>
    <w:rsid w:val="39B051C8"/>
    <w:rsid w:val="39B555DC"/>
    <w:rsid w:val="39BA1BA2"/>
    <w:rsid w:val="39BA53ED"/>
    <w:rsid w:val="39BA6046"/>
    <w:rsid w:val="39BE5B37"/>
    <w:rsid w:val="39C36951"/>
    <w:rsid w:val="39C37EED"/>
    <w:rsid w:val="39C96289"/>
    <w:rsid w:val="39D15E14"/>
    <w:rsid w:val="39D215E2"/>
    <w:rsid w:val="39D35F94"/>
    <w:rsid w:val="39E11825"/>
    <w:rsid w:val="39E60BE9"/>
    <w:rsid w:val="39F00649"/>
    <w:rsid w:val="39FA666B"/>
    <w:rsid w:val="39FF21D2"/>
    <w:rsid w:val="3A013C75"/>
    <w:rsid w:val="3A015A23"/>
    <w:rsid w:val="3A086DB2"/>
    <w:rsid w:val="3A0B4AF4"/>
    <w:rsid w:val="3A0D43C8"/>
    <w:rsid w:val="3A0E0140"/>
    <w:rsid w:val="3A2636DC"/>
    <w:rsid w:val="3A287454"/>
    <w:rsid w:val="3A291355"/>
    <w:rsid w:val="3A2A17ED"/>
    <w:rsid w:val="3A2B0CF2"/>
    <w:rsid w:val="3A2F07E2"/>
    <w:rsid w:val="3A2F5E69"/>
    <w:rsid w:val="3A306505"/>
    <w:rsid w:val="3A307B14"/>
    <w:rsid w:val="3A345DF9"/>
    <w:rsid w:val="3A3556CD"/>
    <w:rsid w:val="3A361B71"/>
    <w:rsid w:val="3A396F6B"/>
    <w:rsid w:val="3A3C3AC3"/>
    <w:rsid w:val="3A3C6A5B"/>
    <w:rsid w:val="3A410516"/>
    <w:rsid w:val="3A465B2C"/>
    <w:rsid w:val="3A4713EA"/>
    <w:rsid w:val="3A491D5B"/>
    <w:rsid w:val="3A4B4EF0"/>
    <w:rsid w:val="3A4C4973"/>
    <w:rsid w:val="3A4D23C5"/>
    <w:rsid w:val="3A4F49E1"/>
    <w:rsid w:val="3A575643"/>
    <w:rsid w:val="3A5C534F"/>
    <w:rsid w:val="3A5C70FE"/>
    <w:rsid w:val="3A60099C"/>
    <w:rsid w:val="3A606BEE"/>
    <w:rsid w:val="3A624A91"/>
    <w:rsid w:val="3A647D60"/>
    <w:rsid w:val="3A655977"/>
    <w:rsid w:val="3A661D2A"/>
    <w:rsid w:val="3A693547"/>
    <w:rsid w:val="3A6C0607"/>
    <w:rsid w:val="3A777A93"/>
    <w:rsid w:val="3A7C32FC"/>
    <w:rsid w:val="3A83468A"/>
    <w:rsid w:val="3A850402"/>
    <w:rsid w:val="3A856654"/>
    <w:rsid w:val="3A8A77C7"/>
    <w:rsid w:val="3A8B1791"/>
    <w:rsid w:val="3A8B353F"/>
    <w:rsid w:val="3A916DA7"/>
    <w:rsid w:val="3A9C574C"/>
    <w:rsid w:val="3A9F67DE"/>
    <w:rsid w:val="3AA50AA5"/>
    <w:rsid w:val="3AA60379"/>
    <w:rsid w:val="3AA765CB"/>
    <w:rsid w:val="3AA84975"/>
    <w:rsid w:val="3AAA686F"/>
    <w:rsid w:val="3AAF1C2A"/>
    <w:rsid w:val="3AB94550"/>
    <w:rsid w:val="3ABB6EE9"/>
    <w:rsid w:val="3AC0143A"/>
    <w:rsid w:val="3AC76C6D"/>
    <w:rsid w:val="3AD14FE6"/>
    <w:rsid w:val="3AD273C0"/>
    <w:rsid w:val="3AD406FD"/>
    <w:rsid w:val="3AD87EAE"/>
    <w:rsid w:val="3ADB0230"/>
    <w:rsid w:val="3ADB5C01"/>
    <w:rsid w:val="3AEC222F"/>
    <w:rsid w:val="3AED425D"/>
    <w:rsid w:val="3AEE244B"/>
    <w:rsid w:val="3AEF3ACE"/>
    <w:rsid w:val="3AF235BE"/>
    <w:rsid w:val="3AF44E7B"/>
    <w:rsid w:val="3AF92B9E"/>
    <w:rsid w:val="3AFB06C4"/>
    <w:rsid w:val="3B005CDB"/>
    <w:rsid w:val="3B044D5F"/>
    <w:rsid w:val="3B05268E"/>
    <w:rsid w:val="3B057795"/>
    <w:rsid w:val="3B077069"/>
    <w:rsid w:val="3B0F5F1E"/>
    <w:rsid w:val="3B131EB2"/>
    <w:rsid w:val="3B154DCA"/>
    <w:rsid w:val="3B182ADC"/>
    <w:rsid w:val="3B1A58C8"/>
    <w:rsid w:val="3B1F165E"/>
    <w:rsid w:val="3B1F2193"/>
    <w:rsid w:val="3B20012B"/>
    <w:rsid w:val="3B20297A"/>
    <w:rsid w:val="3B273268"/>
    <w:rsid w:val="3B295232"/>
    <w:rsid w:val="3B2C2F74"/>
    <w:rsid w:val="3B2E4835"/>
    <w:rsid w:val="3B2F036E"/>
    <w:rsid w:val="3B334302"/>
    <w:rsid w:val="3B385475"/>
    <w:rsid w:val="3B3911ED"/>
    <w:rsid w:val="3B3E3935"/>
    <w:rsid w:val="3B3E6803"/>
    <w:rsid w:val="3B421129"/>
    <w:rsid w:val="3B424545"/>
    <w:rsid w:val="3B455DE4"/>
    <w:rsid w:val="3B471B5C"/>
    <w:rsid w:val="3B506C62"/>
    <w:rsid w:val="3B514788"/>
    <w:rsid w:val="3B516536"/>
    <w:rsid w:val="3B544018"/>
    <w:rsid w:val="3B567FF1"/>
    <w:rsid w:val="3B585B17"/>
    <w:rsid w:val="3B5953EB"/>
    <w:rsid w:val="3B5C156A"/>
    <w:rsid w:val="3B5D312D"/>
    <w:rsid w:val="3B6049CB"/>
    <w:rsid w:val="3B674701"/>
    <w:rsid w:val="3B783AC3"/>
    <w:rsid w:val="3B824942"/>
    <w:rsid w:val="3B8A0145"/>
    <w:rsid w:val="3B8C57C0"/>
    <w:rsid w:val="3B8F0B30"/>
    <w:rsid w:val="3B8F1A46"/>
    <w:rsid w:val="3B914B85"/>
    <w:rsid w:val="3B9B5A04"/>
    <w:rsid w:val="3BA030E4"/>
    <w:rsid w:val="3BA1126C"/>
    <w:rsid w:val="3BA352B8"/>
    <w:rsid w:val="3BAD60C9"/>
    <w:rsid w:val="3BB14054"/>
    <w:rsid w:val="3BB23479"/>
    <w:rsid w:val="3BB70A8F"/>
    <w:rsid w:val="3BB80364"/>
    <w:rsid w:val="3BB97B51"/>
    <w:rsid w:val="3BBC5C79"/>
    <w:rsid w:val="3BC36092"/>
    <w:rsid w:val="3BC9431F"/>
    <w:rsid w:val="3BCD02B3"/>
    <w:rsid w:val="3BCE402B"/>
    <w:rsid w:val="3BD827B4"/>
    <w:rsid w:val="3BD86C58"/>
    <w:rsid w:val="3BDD601C"/>
    <w:rsid w:val="3BDF7FE6"/>
    <w:rsid w:val="3BE178BA"/>
    <w:rsid w:val="3BE64ED1"/>
    <w:rsid w:val="3BE949C1"/>
    <w:rsid w:val="3BEB0739"/>
    <w:rsid w:val="3BF13876"/>
    <w:rsid w:val="3BF21AC7"/>
    <w:rsid w:val="3BF50BF3"/>
    <w:rsid w:val="3BF80796"/>
    <w:rsid w:val="3BF84C04"/>
    <w:rsid w:val="3BF910A8"/>
    <w:rsid w:val="3BFD046C"/>
    <w:rsid w:val="3BFE66BE"/>
    <w:rsid w:val="3C073099"/>
    <w:rsid w:val="3C0812EB"/>
    <w:rsid w:val="3C090BBF"/>
    <w:rsid w:val="3C123F18"/>
    <w:rsid w:val="3C137C90"/>
    <w:rsid w:val="3C1557B6"/>
    <w:rsid w:val="3C1A2DCC"/>
    <w:rsid w:val="3C2123AD"/>
    <w:rsid w:val="3C261771"/>
    <w:rsid w:val="3C2D0566"/>
    <w:rsid w:val="3C2D6FA3"/>
    <w:rsid w:val="3C2E6878"/>
    <w:rsid w:val="3C340332"/>
    <w:rsid w:val="3C3C3388"/>
    <w:rsid w:val="3C3E4D0D"/>
    <w:rsid w:val="3C3F0A85"/>
    <w:rsid w:val="3C422D59"/>
    <w:rsid w:val="3C43474B"/>
    <w:rsid w:val="3C44609B"/>
    <w:rsid w:val="3C461E13"/>
    <w:rsid w:val="3C48190C"/>
    <w:rsid w:val="3C495460"/>
    <w:rsid w:val="3C4B1FED"/>
    <w:rsid w:val="3C4D1165"/>
    <w:rsid w:val="3C4F6F1A"/>
    <w:rsid w:val="3C5105A9"/>
    <w:rsid w:val="3C5462DE"/>
    <w:rsid w:val="3C547ECE"/>
    <w:rsid w:val="3C5C6C38"/>
    <w:rsid w:val="3C65673D"/>
    <w:rsid w:val="3C683B38"/>
    <w:rsid w:val="3C696E12"/>
    <w:rsid w:val="3C6A3D54"/>
    <w:rsid w:val="3C6F3118"/>
    <w:rsid w:val="3C6F58C4"/>
    <w:rsid w:val="3C730346"/>
    <w:rsid w:val="3C771FCD"/>
    <w:rsid w:val="3C773F49"/>
    <w:rsid w:val="3C7B7D0F"/>
    <w:rsid w:val="3C7C3A87"/>
    <w:rsid w:val="3C7C5CF0"/>
    <w:rsid w:val="3C7E093B"/>
    <w:rsid w:val="3C7F70D3"/>
    <w:rsid w:val="3C812A11"/>
    <w:rsid w:val="3C862210"/>
    <w:rsid w:val="3C887ED2"/>
    <w:rsid w:val="3C8C1F1C"/>
    <w:rsid w:val="3C8C345B"/>
    <w:rsid w:val="3C8D7A42"/>
    <w:rsid w:val="3C9012E0"/>
    <w:rsid w:val="3C9131FB"/>
    <w:rsid w:val="3C920BB5"/>
    <w:rsid w:val="3C940DD1"/>
    <w:rsid w:val="3C964F89"/>
    <w:rsid w:val="3CA64660"/>
    <w:rsid w:val="3CA803D8"/>
    <w:rsid w:val="3CAA678F"/>
    <w:rsid w:val="3CAC611A"/>
    <w:rsid w:val="3CAF24F9"/>
    <w:rsid w:val="3CB21257"/>
    <w:rsid w:val="3CB324B6"/>
    <w:rsid w:val="3CB7061B"/>
    <w:rsid w:val="3CBE016E"/>
    <w:rsid w:val="3CBF2BDF"/>
    <w:rsid w:val="3CD411CD"/>
    <w:rsid w:val="3CD7266C"/>
    <w:rsid w:val="3CDE3DFA"/>
    <w:rsid w:val="3CE76DA2"/>
    <w:rsid w:val="3CEB6F17"/>
    <w:rsid w:val="3CF7310E"/>
    <w:rsid w:val="3CF950D8"/>
    <w:rsid w:val="3D023F8C"/>
    <w:rsid w:val="3D071D8D"/>
    <w:rsid w:val="3D0C587F"/>
    <w:rsid w:val="3D0F66A9"/>
    <w:rsid w:val="3D121C40"/>
    <w:rsid w:val="3D166483"/>
    <w:rsid w:val="3D1B32A0"/>
    <w:rsid w:val="3D1B504E"/>
    <w:rsid w:val="3D1B6DFC"/>
    <w:rsid w:val="3D1C6419"/>
    <w:rsid w:val="3D1D2B74"/>
    <w:rsid w:val="3D263EE9"/>
    <w:rsid w:val="3D2739F3"/>
    <w:rsid w:val="3D2832C7"/>
    <w:rsid w:val="3D287938"/>
    <w:rsid w:val="3D2A34E3"/>
    <w:rsid w:val="3D2E1E50"/>
    <w:rsid w:val="3D344362"/>
    <w:rsid w:val="3D3A18F3"/>
    <w:rsid w:val="3D3B2FFA"/>
    <w:rsid w:val="3D4225DB"/>
    <w:rsid w:val="3D4445A5"/>
    <w:rsid w:val="3D475E43"/>
    <w:rsid w:val="3D485717"/>
    <w:rsid w:val="3D4C3459"/>
    <w:rsid w:val="3D532A3A"/>
    <w:rsid w:val="3D583BAC"/>
    <w:rsid w:val="3D5C4464"/>
    <w:rsid w:val="3D5E4F3B"/>
    <w:rsid w:val="3D5F204D"/>
    <w:rsid w:val="3D606F05"/>
    <w:rsid w:val="3D614D46"/>
    <w:rsid w:val="3D6235D0"/>
    <w:rsid w:val="3D632551"/>
    <w:rsid w:val="3D643997"/>
    <w:rsid w:val="3D643CF0"/>
    <w:rsid w:val="3D6E1622"/>
    <w:rsid w:val="3D7E4729"/>
    <w:rsid w:val="3D826D07"/>
    <w:rsid w:val="3D842BF3"/>
    <w:rsid w:val="3D8C1AA8"/>
    <w:rsid w:val="3D8D1E85"/>
    <w:rsid w:val="3D8E5820"/>
    <w:rsid w:val="3D8E75CE"/>
    <w:rsid w:val="3D956BAE"/>
    <w:rsid w:val="3D9E4D9F"/>
    <w:rsid w:val="3DA07301"/>
    <w:rsid w:val="3DA2751D"/>
    <w:rsid w:val="3DA474D0"/>
    <w:rsid w:val="3DAC3EF8"/>
    <w:rsid w:val="3DB035CB"/>
    <w:rsid w:val="3DB42DAD"/>
    <w:rsid w:val="3DB64D77"/>
    <w:rsid w:val="3DBA4867"/>
    <w:rsid w:val="3DBF3C2B"/>
    <w:rsid w:val="3DC2196D"/>
    <w:rsid w:val="3DC76F84"/>
    <w:rsid w:val="3DCE3E6E"/>
    <w:rsid w:val="3DD376D7"/>
    <w:rsid w:val="3DD671C7"/>
    <w:rsid w:val="3DDE107A"/>
    <w:rsid w:val="3DDE30D7"/>
    <w:rsid w:val="3DE17472"/>
    <w:rsid w:val="3DE37141"/>
    <w:rsid w:val="3DE43692"/>
    <w:rsid w:val="3DE47B36"/>
    <w:rsid w:val="3DE80B1E"/>
    <w:rsid w:val="3DE82198"/>
    <w:rsid w:val="3DE96EFA"/>
    <w:rsid w:val="3DEC0798"/>
    <w:rsid w:val="3DEC433E"/>
    <w:rsid w:val="3DF5562D"/>
    <w:rsid w:val="3DF8538F"/>
    <w:rsid w:val="3DF97023"/>
    <w:rsid w:val="3DFB09DB"/>
    <w:rsid w:val="3DFC4E7F"/>
    <w:rsid w:val="3E027FBC"/>
    <w:rsid w:val="3E045AE2"/>
    <w:rsid w:val="3E111B9C"/>
    <w:rsid w:val="3E121833"/>
    <w:rsid w:val="3E130E71"/>
    <w:rsid w:val="3E18158D"/>
    <w:rsid w:val="3E1877DF"/>
    <w:rsid w:val="3E1916B9"/>
    <w:rsid w:val="3E1A49E0"/>
    <w:rsid w:val="3E204BB6"/>
    <w:rsid w:val="3E22515D"/>
    <w:rsid w:val="3E2E7003"/>
    <w:rsid w:val="3E300685"/>
    <w:rsid w:val="3E303169"/>
    <w:rsid w:val="3E330175"/>
    <w:rsid w:val="3E350391"/>
    <w:rsid w:val="3E372759"/>
    <w:rsid w:val="3E392B8C"/>
    <w:rsid w:val="3E3D2DA2"/>
    <w:rsid w:val="3E3E7246"/>
    <w:rsid w:val="3E3F6B1A"/>
    <w:rsid w:val="3E401E78"/>
    <w:rsid w:val="3E442382"/>
    <w:rsid w:val="3E491747"/>
    <w:rsid w:val="3E4B1963"/>
    <w:rsid w:val="3E4D56DB"/>
    <w:rsid w:val="3E506F79"/>
    <w:rsid w:val="3E517927"/>
    <w:rsid w:val="3E530817"/>
    <w:rsid w:val="3E5552BA"/>
    <w:rsid w:val="3E635641"/>
    <w:rsid w:val="3E6A061F"/>
    <w:rsid w:val="3E6B3DB3"/>
    <w:rsid w:val="3E6D18D9"/>
    <w:rsid w:val="3E6D7B2B"/>
    <w:rsid w:val="3E714DC9"/>
    <w:rsid w:val="3E75078E"/>
    <w:rsid w:val="3E7569E0"/>
    <w:rsid w:val="3E774506"/>
    <w:rsid w:val="3E7B28C6"/>
    <w:rsid w:val="3E7C7D6E"/>
    <w:rsid w:val="3E80785E"/>
    <w:rsid w:val="3E8804C1"/>
    <w:rsid w:val="3E886713"/>
    <w:rsid w:val="3E8D0837"/>
    <w:rsid w:val="3E8F3F2D"/>
    <w:rsid w:val="3E904E16"/>
    <w:rsid w:val="3E927592"/>
    <w:rsid w:val="3E9A01F4"/>
    <w:rsid w:val="3E9A1FA2"/>
    <w:rsid w:val="3E9B7D33"/>
    <w:rsid w:val="3EA119E9"/>
    <w:rsid w:val="3EA82F1E"/>
    <w:rsid w:val="3EAA61FD"/>
    <w:rsid w:val="3EAB0654"/>
    <w:rsid w:val="3EB94B1E"/>
    <w:rsid w:val="3EBC4EB8"/>
    <w:rsid w:val="3EC040FF"/>
    <w:rsid w:val="3EC05EAD"/>
    <w:rsid w:val="3EC130F0"/>
    <w:rsid w:val="3EC14C3B"/>
    <w:rsid w:val="3EC314F9"/>
    <w:rsid w:val="3EC55271"/>
    <w:rsid w:val="3ECA0ADA"/>
    <w:rsid w:val="3ED70A3A"/>
    <w:rsid w:val="3ED96F6F"/>
    <w:rsid w:val="3EDC080D"/>
    <w:rsid w:val="3EDC644D"/>
    <w:rsid w:val="3EDE4585"/>
    <w:rsid w:val="3EDE5D3C"/>
    <w:rsid w:val="3EE53B65"/>
    <w:rsid w:val="3EE576C2"/>
    <w:rsid w:val="3EE871B2"/>
    <w:rsid w:val="3EED47C8"/>
    <w:rsid w:val="3EEF4CE9"/>
    <w:rsid w:val="3EF01989"/>
    <w:rsid w:val="3EF15791"/>
    <w:rsid w:val="3EF43DA9"/>
    <w:rsid w:val="3EFC4A0B"/>
    <w:rsid w:val="3EFD797F"/>
    <w:rsid w:val="3F006998"/>
    <w:rsid w:val="3F010273"/>
    <w:rsid w:val="3F03223E"/>
    <w:rsid w:val="3F067638"/>
    <w:rsid w:val="3F11379C"/>
    <w:rsid w:val="3F1672B1"/>
    <w:rsid w:val="3F185944"/>
    <w:rsid w:val="3F1955BD"/>
    <w:rsid w:val="3F1E2728"/>
    <w:rsid w:val="3F204B9E"/>
    <w:rsid w:val="3F205AEF"/>
    <w:rsid w:val="3F214472"/>
    <w:rsid w:val="3F21637D"/>
    <w:rsid w:val="3F251D38"/>
    <w:rsid w:val="3F255D10"/>
    <w:rsid w:val="3F2803A6"/>
    <w:rsid w:val="3F340649"/>
    <w:rsid w:val="3F346EC7"/>
    <w:rsid w:val="3F4940F4"/>
    <w:rsid w:val="3F4A39C9"/>
    <w:rsid w:val="3F4A4676"/>
    <w:rsid w:val="3F4A7E6C"/>
    <w:rsid w:val="3F4C14EF"/>
    <w:rsid w:val="3F4D34B9"/>
    <w:rsid w:val="3F4D5267"/>
    <w:rsid w:val="3F516B05"/>
    <w:rsid w:val="3F520ACF"/>
    <w:rsid w:val="3F52287D"/>
    <w:rsid w:val="3F5304CB"/>
    <w:rsid w:val="3F5860E5"/>
    <w:rsid w:val="3F593C0C"/>
    <w:rsid w:val="3F5B561C"/>
    <w:rsid w:val="3F5B5BD6"/>
    <w:rsid w:val="3F5D4990"/>
    <w:rsid w:val="3F60143E"/>
    <w:rsid w:val="3F632CDC"/>
    <w:rsid w:val="3F6A2743"/>
    <w:rsid w:val="3F6D08A1"/>
    <w:rsid w:val="3F6F1681"/>
    <w:rsid w:val="3F702A77"/>
    <w:rsid w:val="3F76656C"/>
    <w:rsid w:val="3F7F7B16"/>
    <w:rsid w:val="3F80563C"/>
    <w:rsid w:val="3F851FE8"/>
    <w:rsid w:val="3F8841E0"/>
    <w:rsid w:val="3F887B44"/>
    <w:rsid w:val="3F8A61EF"/>
    <w:rsid w:val="3F8C2233"/>
    <w:rsid w:val="3F8C5D8F"/>
    <w:rsid w:val="3F940D9B"/>
    <w:rsid w:val="3F9D1D4A"/>
    <w:rsid w:val="3FA0183A"/>
    <w:rsid w:val="3FA11769"/>
    <w:rsid w:val="3FA23805"/>
    <w:rsid w:val="3FA35906"/>
    <w:rsid w:val="3FA4757D"/>
    <w:rsid w:val="3FA70E1B"/>
    <w:rsid w:val="3FAA26B9"/>
    <w:rsid w:val="3FAB6A81"/>
    <w:rsid w:val="3FAE27A0"/>
    <w:rsid w:val="3FAE3F57"/>
    <w:rsid w:val="3FB11AF9"/>
    <w:rsid w:val="3FB13A48"/>
    <w:rsid w:val="3FB15DC1"/>
    <w:rsid w:val="3FB377C0"/>
    <w:rsid w:val="3FB37991"/>
    <w:rsid w:val="3FB86B84"/>
    <w:rsid w:val="3FBA0B4E"/>
    <w:rsid w:val="3FBB6674"/>
    <w:rsid w:val="3FC1012F"/>
    <w:rsid w:val="3FC45529"/>
    <w:rsid w:val="3FC5486B"/>
    <w:rsid w:val="3FC65745"/>
    <w:rsid w:val="3FC8073C"/>
    <w:rsid w:val="3FC96FE3"/>
    <w:rsid w:val="3FCD725B"/>
    <w:rsid w:val="3FD6525C"/>
    <w:rsid w:val="3FD85478"/>
    <w:rsid w:val="3FDA2F9E"/>
    <w:rsid w:val="3FDD38DB"/>
    <w:rsid w:val="3FE040B5"/>
    <w:rsid w:val="3FE1257F"/>
    <w:rsid w:val="3FE3596A"/>
    <w:rsid w:val="3FEB56A9"/>
    <w:rsid w:val="3FF12096"/>
    <w:rsid w:val="3FF73B50"/>
    <w:rsid w:val="3FFB2F15"/>
    <w:rsid w:val="3FFB3BF1"/>
    <w:rsid w:val="3FFD6C8D"/>
    <w:rsid w:val="3FFF2A05"/>
    <w:rsid w:val="400105AF"/>
    <w:rsid w:val="40011C8E"/>
    <w:rsid w:val="40026051"/>
    <w:rsid w:val="4004001B"/>
    <w:rsid w:val="40055B41"/>
    <w:rsid w:val="400718BA"/>
    <w:rsid w:val="40072F05"/>
    <w:rsid w:val="40073668"/>
    <w:rsid w:val="400E2C48"/>
    <w:rsid w:val="4013200C"/>
    <w:rsid w:val="40181D19"/>
    <w:rsid w:val="401D10DD"/>
    <w:rsid w:val="401F4E55"/>
    <w:rsid w:val="40224945"/>
    <w:rsid w:val="402266F3"/>
    <w:rsid w:val="40270B39"/>
    <w:rsid w:val="40295CD4"/>
    <w:rsid w:val="402D29DD"/>
    <w:rsid w:val="403042F9"/>
    <w:rsid w:val="40316936"/>
    <w:rsid w:val="40324B88"/>
    <w:rsid w:val="40336F0D"/>
    <w:rsid w:val="40344207"/>
    <w:rsid w:val="403501D5"/>
    <w:rsid w:val="403567A5"/>
    <w:rsid w:val="40387CC5"/>
    <w:rsid w:val="403A64C9"/>
    <w:rsid w:val="40420B44"/>
    <w:rsid w:val="40442B0E"/>
    <w:rsid w:val="40477F08"/>
    <w:rsid w:val="40490124"/>
    <w:rsid w:val="40491ED2"/>
    <w:rsid w:val="404B79F8"/>
    <w:rsid w:val="40503261"/>
    <w:rsid w:val="40512B35"/>
    <w:rsid w:val="405260B6"/>
    <w:rsid w:val="40532D51"/>
    <w:rsid w:val="40543F70"/>
    <w:rsid w:val="40561BAC"/>
    <w:rsid w:val="40572841"/>
    <w:rsid w:val="40586E6A"/>
    <w:rsid w:val="405A00AB"/>
    <w:rsid w:val="405A5969"/>
    <w:rsid w:val="405C39B3"/>
    <w:rsid w:val="405F5252"/>
    <w:rsid w:val="40606703"/>
    <w:rsid w:val="40642868"/>
    <w:rsid w:val="40644B6A"/>
    <w:rsid w:val="40657FDE"/>
    <w:rsid w:val="40681E9C"/>
    <w:rsid w:val="4068695F"/>
    <w:rsid w:val="406E1939"/>
    <w:rsid w:val="40714F85"/>
    <w:rsid w:val="407229FE"/>
    <w:rsid w:val="40747F3A"/>
    <w:rsid w:val="407A47C9"/>
    <w:rsid w:val="407B27E6"/>
    <w:rsid w:val="407B40C8"/>
    <w:rsid w:val="407D0BE3"/>
    <w:rsid w:val="407E7DCE"/>
    <w:rsid w:val="40827192"/>
    <w:rsid w:val="408847A8"/>
    <w:rsid w:val="4092048B"/>
    <w:rsid w:val="40980764"/>
    <w:rsid w:val="40984D90"/>
    <w:rsid w:val="40A2464F"/>
    <w:rsid w:val="40A35A86"/>
    <w:rsid w:val="40A435AC"/>
    <w:rsid w:val="40A610D2"/>
    <w:rsid w:val="40A9648B"/>
    <w:rsid w:val="40AA2996"/>
    <w:rsid w:val="40AB493B"/>
    <w:rsid w:val="40AB71F6"/>
    <w:rsid w:val="40B3559D"/>
    <w:rsid w:val="40B557B9"/>
    <w:rsid w:val="40B808FD"/>
    <w:rsid w:val="40B82BB4"/>
    <w:rsid w:val="40B87861"/>
    <w:rsid w:val="40CD48B1"/>
    <w:rsid w:val="40CF23D7"/>
    <w:rsid w:val="40CF687B"/>
    <w:rsid w:val="40D043A1"/>
    <w:rsid w:val="40D45C40"/>
    <w:rsid w:val="40D479EE"/>
    <w:rsid w:val="40D50AD5"/>
    <w:rsid w:val="40D64955"/>
    <w:rsid w:val="40D95004"/>
    <w:rsid w:val="40DB0111"/>
    <w:rsid w:val="40E40233"/>
    <w:rsid w:val="40E652C5"/>
    <w:rsid w:val="40E67721"/>
    <w:rsid w:val="40EE67CF"/>
    <w:rsid w:val="40EF4827"/>
    <w:rsid w:val="40F112A6"/>
    <w:rsid w:val="40F462E2"/>
    <w:rsid w:val="40F9316B"/>
    <w:rsid w:val="40FC0B8B"/>
    <w:rsid w:val="410006BA"/>
    <w:rsid w:val="410127AD"/>
    <w:rsid w:val="41032081"/>
    <w:rsid w:val="410B53D9"/>
    <w:rsid w:val="4113332C"/>
    <w:rsid w:val="411B5DE0"/>
    <w:rsid w:val="41234AB3"/>
    <w:rsid w:val="4128540D"/>
    <w:rsid w:val="412A0E34"/>
    <w:rsid w:val="412A5860"/>
    <w:rsid w:val="412F3A1A"/>
    <w:rsid w:val="41322966"/>
    <w:rsid w:val="4134048C"/>
    <w:rsid w:val="4134747D"/>
    <w:rsid w:val="41386A1A"/>
    <w:rsid w:val="41395AA3"/>
    <w:rsid w:val="41405083"/>
    <w:rsid w:val="41452699"/>
    <w:rsid w:val="41474664"/>
    <w:rsid w:val="414B4683"/>
    <w:rsid w:val="414D77A0"/>
    <w:rsid w:val="414E1461"/>
    <w:rsid w:val="414F52C6"/>
    <w:rsid w:val="41517536"/>
    <w:rsid w:val="415625C0"/>
    <w:rsid w:val="415E55EA"/>
    <w:rsid w:val="41656898"/>
    <w:rsid w:val="4168282C"/>
    <w:rsid w:val="41686388"/>
    <w:rsid w:val="4169503B"/>
    <w:rsid w:val="416D1BF0"/>
    <w:rsid w:val="416D399E"/>
    <w:rsid w:val="416F7716"/>
    <w:rsid w:val="41726593"/>
    <w:rsid w:val="41744D2D"/>
    <w:rsid w:val="41774FF8"/>
    <w:rsid w:val="417C11C2"/>
    <w:rsid w:val="417C1E33"/>
    <w:rsid w:val="417E7959"/>
    <w:rsid w:val="41815E93"/>
    <w:rsid w:val="41834E63"/>
    <w:rsid w:val="418470C8"/>
    <w:rsid w:val="418C651A"/>
    <w:rsid w:val="418D0FB4"/>
    <w:rsid w:val="418F1B67"/>
    <w:rsid w:val="41905E35"/>
    <w:rsid w:val="41945FEF"/>
    <w:rsid w:val="41957174"/>
    <w:rsid w:val="41961147"/>
    <w:rsid w:val="41970A1B"/>
    <w:rsid w:val="4199221E"/>
    <w:rsid w:val="419B335C"/>
    <w:rsid w:val="419E1DAA"/>
    <w:rsid w:val="41A76EB0"/>
    <w:rsid w:val="41AA204A"/>
    <w:rsid w:val="41AC096A"/>
    <w:rsid w:val="41AF045B"/>
    <w:rsid w:val="41B15F81"/>
    <w:rsid w:val="41B161BF"/>
    <w:rsid w:val="41BD0482"/>
    <w:rsid w:val="41BE41FA"/>
    <w:rsid w:val="41C26220"/>
    <w:rsid w:val="41C31E4D"/>
    <w:rsid w:val="41CC7DDB"/>
    <w:rsid w:val="41CE1354"/>
    <w:rsid w:val="41D25C9A"/>
    <w:rsid w:val="41D81760"/>
    <w:rsid w:val="41D829E2"/>
    <w:rsid w:val="41D852BC"/>
    <w:rsid w:val="41DD6D76"/>
    <w:rsid w:val="41E00614"/>
    <w:rsid w:val="41E023C2"/>
    <w:rsid w:val="41E55C2A"/>
    <w:rsid w:val="41E579D9"/>
    <w:rsid w:val="41E62B52"/>
    <w:rsid w:val="41EA3241"/>
    <w:rsid w:val="41F105E2"/>
    <w:rsid w:val="41FB36A0"/>
    <w:rsid w:val="41FB71FC"/>
    <w:rsid w:val="41FD6B3E"/>
    <w:rsid w:val="41FF0A19"/>
    <w:rsid w:val="41FF6CEC"/>
    <w:rsid w:val="420267DC"/>
    <w:rsid w:val="42044303"/>
    <w:rsid w:val="42051E29"/>
    <w:rsid w:val="42097B6B"/>
    <w:rsid w:val="420A5691"/>
    <w:rsid w:val="420B38E3"/>
    <w:rsid w:val="420C765B"/>
    <w:rsid w:val="420F7775"/>
    <w:rsid w:val="42145FEA"/>
    <w:rsid w:val="42164036"/>
    <w:rsid w:val="4216643E"/>
    <w:rsid w:val="421D594F"/>
    <w:rsid w:val="42202EE5"/>
    <w:rsid w:val="42220C2D"/>
    <w:rsid w:val="422864B8"/>
    <w:rsid w:val="42293D69"/>
    <w:rsid w:val="422F090E"/>
    <w:rsid w:val="423170C2"/>
    <w:rsid w:val="42336996"/>
    <w:rsid w:val="423544BC"/>
    <w:rsid w:val="42381CFC"/>
    <w:rsid w:val="42383FAC"/>
    <w:rsid w:val="42424E2B"/>
    <w:rsid w:val="424478FA"/>
    <w:rsid w:val="424741EF"/>
    <w:rsid w:val="424B0183"/>
    <w:rsid w:val="424E557E"/>
    <w:rsid w:val="42507548"/>
    <w:rsid w:val="42521512"/>
    <w:rsid w:val="42547DAF"/>
    <w:rsid w:val="42562684"/>
    <w:rsid w:val="425871B4"/>
    <w:rsid w:val="42592791"/>
    <w:rsid w:val="425A2175"/>
    <w:rsid w:val="425C28E7"/>
    <w:rsid w:val="42613503"/>
    <w:rsid w:val="4265231C"/>
    <w:rsid w:val="4266495D"/>
    <w:rsid w:val="42672AE3"/>
    <w:rsid w:val="4269685C"/>
    <w:rsid w:val="426B6130"/>
    <w:rsid w:val="426C1EA8"/>
    <w:rsid w:val="426E79CE"/>
    <w:rsid w:val="42701998"/>
    <w:rsid w:val="42725710"/>
    <w:rsid w:val="42731488"/>
    <w:rsid w:val="42764AD5"/>
    <w:rsid w:val="42791D7B"/>
    <w:rsid w:val="427C5B2B"/>
    <w:rsid w:val="42935686"/>
    <w:rsid w:val="429531AD"/>
    <w:rsid w:val="429733C9"/>
    <w:rsid w:val="429803FC"/>
    <w:rsid w:val="429B2137"/>
    <w:rsid w:val="429B4F3B"/>
    <w:rsid w:val="429D02B3"/>
    <w:rsid w:val="429D6505"/>
    <w:rsid w:val="42A41642"/>
    <w:rsid w:val="42AB0C22"/>
    <w:rsid w:val="42AD2F58"/>
    <w:rsid w:val="42B15B0D"/>
    <w:rsid w:val="42B250CF"/>
    <w:rsid w:val="42B37AD7"/>
    <w:rsid w:val="42B705DC"/>
    <w:rsid w:val="42B86E9B"/>
    <w:rsid w:val="42BE6BA7"/>
    <w:rsid w:val="42BF5744"/>
    <w:rsid w:val="42BF647C"/>
    <w:rsid w:val="42C13A57"/>
    <w:rsid w:val="42C5221E"/>
    <w:rsid w:val="42C615B8"/>
    <w:rsid w:val="42C81561"/>
    <w:rsid w:val="42C85330"/>
    <w:rsid w:val="42C972FA"/>
    <w:rsid w:val="42CD2946"/>
    <w:rsid w:val="42CE6EAA"/>
    <w:rsid w:val="42D068DB"/>
    <w:rsid w:val="42D17F20"/>
    <w:rsid w:val="42D31F27"/>
    <w:rsid w:val="42D33CD5"/>
    <w:rsid w:val="42D55C9F"/>
    <w:rsid w:val="42D946C8"/>
    <w:rsid w:val="42DE4F27"/>
    <w:rsid w:val="42E934F8"/>
    <w:rsid w:val="42EB101F"/>
    <w:rsid w:val="42EB7271"/>
    <w:rsid w:val="42F054EA"/>
    <w:rsid w:val="42F500EF"/>
    <w:rsid w:val="42F51E9D"/>
    <w:rsid w:val="42F56341"/>
    <w:rsid w:val="42F97BDF"/>
    <w:rsid w:val="42FB5D1B"/>
    <w:rsid w:val="42FC75D2"/>
    <w:rsid w:val="42FF448C"/>
    <w:rsid w:val="43016A94"/>
    <w:rsid w:val="430345BA"/>
    <w:rsid w:val="430857B1"/>
    <w:rsid w:val="430A3B9B"/>
    <w:rsid w:val="430B40D6"/>
    <w:rsid w:val="43106CD7"/>
    <w:rsid w:val="431379ED"/>
    <w:rsid w:val="431467C7"/>
    <w:rsid w:val="431762B8"/>
    <w:rsid w:val="431E7646"/>
    <w:rsid w:val="4320516C"/>
    <w:rsid w:val="43221B36"/>
    <w:rsid w:val="432307B8"/>
    <w:rsid w:val="43236A0A"/>
    <w:rsid w:val="43246F63"/>
    <w:rsid w:val="43291B47"/>
    <w:rsid w:val="432F53AF"/>
    <w:rsid w:val="43300153"/>
    <w:rsid w:val="43324E9F"/>
    <w:rsid w:val="433724B6"/>
    <w:rsid w:val="43394480"/>
    <w:rsid w:val="43397FDC"/>
    <w:rsid w:val="433B01F8"/>
    <w:rsid w:val="43416B84"/>
    <w:rsid w:val="43422AB4"/>
    <w:rsid w:val="434500D6"/>
    <w:rsid w:val="43452E25"/>
    <w:rsid w:val="434626F9"/>
    <w:rsid w:val="43482915"/>
    <w:rsid w:val="43492377"/>
    <w:rsid w:val="434D3A87"/>
    <w:rsid w:val="434F15AD"/>
    <w:rsid w:val="43505326"/>
    <w:rsid w:val="43506B33"/>
    <w:rsid w:val="435B43F6"/>
    <w:rsid w:val="435B61A4"/>
    <w:rsid w:val="435C016E"/>
    <w:rsid w:val="435E3EE6"/>
    <w:rsid w:val="435F1EE6"/>
    <w:rsid w:val="436037BB"/>
    <w:rsid w:val="43670FED"/>
    <w:rsid w:val="43724D6E"/>
    <w:rsid w:val="43741014"/>
    <w:rsid w:val="437454B8"/>
    <w:rsid w:val="43761230"/>
    <w:rsid w:val="43770394"/>
    <w:rsid w:val="437B23A2"/>
    <w:rsid w:val="437E3F86"/>
    <w:rsid w:val="43805C0B"/>
    <w:rsid w:val="43860D47"/>
    <w:rsid w:val="43866F99"/>
    <w:rsid w:val="4389705D"/>
    <w:rsid w:val="438A6A89"/>
    <w:rsid w:val="438D14B8"/>
    <w:rsid w:val="438F5B8F"/>
    <w:rsid w:val="43903853"/>
    <w:rsid w:val="4391067D"/>
    <w:rsid w:val="439711A6"/>
    <w:rsid w:val="43971D09"/>
    <w:rsid w:val="43972F54"/>
    <w:rsid w:val="43975DFB"/>
    <w:rsid w:val="43980E0E"/>
    <w:rsid w:val="43996CCD"/>
    <w:rsid w:val="439B4E9A"/>
    <w:rsid w:val="439C669D"/>
    <w:rsid w:val="43A21908"/>
    <w:rsid w:val="43A86F10"/>
    <w:rsid w:val="43AA0EDA"/>
    <w:rsid w:val="43AC6A00"/>
    <w:rsid w:val="43AF029E"/>
    <w:rsid w:val="43B03CB9"/>
    <w:rsid w:val="43B835F7"/>
    <w:rsid w:val="43B86CB7"/>
    <w:rsid w:val="43BC1E41"/>
    <w:rsid w:val="43BE4985"/>
    <w:rsid w:val="43C024AB"/>
    <w:rsid w:val="43C44755"/>
    <w:rsid w:val="43C53829"/>
    <w:rsid w:val="43C71A8C"/>
    <w:rsid w:val="43CF6418"/>
    <w:rsid w:val="43D1290A"/>
    <w:rsid w:val="43DA6601"/>
    <w:rsid w:val="43DB5537"/>
    <w:rsid w:val="43DB72E5"/>
    <w:rsid w:val="43E22422"/>
    <w:rsid w:val="43E50164"/>
    <w:rsid w:val="43E52DF0"/>
    <w:rsid w:val="43E837B0"/>
    <w:rsid w:val="43EC14F2"/>
    <w:rsid w:val="43EE6A01"/>
    <w:rsid w:val="43EE7018"/>
    <w:rsid w:val="43F26E29"/>
    <w:rsid w:val="43F72ED6"/>
    <w:rsid w:val="43F87E97"/>
    <w:rsid w:val="43F959BD"/>
    <w:rsid w:val="43FD725B"/>
    <w:rsid w:val="44043E2E"/>
    <w:rsid w:val="44091829"/>
    <w:rsid w:val="440D03B1"/>
    <w:rsid w:val="440E1469"/>
    <w:rsid w:val="440F5436"/>
    <w:rsid w:val="440F6F8F"/>
    <w:rsid w:val="44100DFC"/>
    <w:rsid w:val="44116432"/>
    <w:rsid w:val="441445A5"/>
    <w:rsid w:val="4415656C"/>
    <w:rsid w:val="44166EFA"/>
    <w:rsid w:val="441822E7"/>
    <w:rsid w:val="441A605F"/>
    <w:rsid w:val="441A7FDC"/>
    <w:rsid w:val="442372A7"/>
    <w:rsid w:val="44246EDE"/>
    <w:rsid w:val="44261009"/>
    <w:rsid w:val="4427252A"/>
    <w:rsid w:val="44290050"/>
    <w:rsid w:val="442C389E"/>
    <w:rsid w:val="442C5D93"/>
    <w:rsid w:val="442D435B"/>
    <w:rsid w:val="442E1B0B"/>
    <w:rsid w:val="44305883"/>
    <w:rsid w:val="44307631"/>
    <w:rsid w:val="44354C47"/>
    <w:rsid w:val="44371B6D"/>
    <w:rsid w:val="443A1503"/>
    <w:rsid w:val="443A4914"/>
    <w:rsid w:val="443D28B6"/>
    <w:rsid w:val="44426CAB"/>
    <w:rsid w:val="44450C02"/>
    <w:rsid w:val="444B65C3"/>
    <w:rsid w:val="444E3F5B"/>
    <w:rsid w:val="44501A81"/>
    <w:rsid w:val="4451110B"/>
    <w:rsid w:val="445552E9"/>
    <w:rsid w:val="445E0735"/>
    <w:rsid w:val="44627A06"/>
    <w:rsid w:val="44637025"/>
    <w:rsid w:val="446612A5"/>
    <w:rsid w:val="44676DCB"/>
    <w:rsid w:val="446C2633"/>
    <w:rsid w:val="446C43E1"/>
    <w:rsid w:val="446C58FC"/>
    <w:rsid w:val="446C6A86"/>
    <w:rsid w:val="446F7A2D"/>
    <w:rsid w:val="44725579"/>
    <w:rsid w:val="447659E0"/>
    <w:rsid w:val="447757CE"/>
    <w:rsid w:val="44781E36"/>
    <w:rsid w:val="44817E8C"/>
    <w:rsid w:val="44890AEF"/>
    <w:rsid w:val="44896D41"/>
    <w:rsid w:val="448D4A83"/>
    <w:rsid w:val="44982715"/>
    <w:rsid w:val="44983428"/>
    <w:rsid w:val="44983A2C"/>
    <w:rsid w:val="44990651"/>
    <w:rsid w:val="44A1408B"/>
    <w:rsid w:val="44A228C8"/>
    <w:rsid w:val="44A26055"/>
    <w:rsid w:val="44A45929"/>
    <w:rsid w:val="44A616A1"/>
    <w:rsid w:val="44B244EA"/>
    <w:rsid w:val="44B331E0"/>
    <w:rsid w:val="44B34CFB"/>
    <w:rsid w:val="44B60469"/>
    <w:rsid w:val="44BA15F0"/>
    <w:rsid w:val="44BA339E"/>
    <w:rsid w:val="44BF7AC3"/>
    <w:rsid w:val="44CD4E80"/>
    <w:rsid w:val="44D2693A"/>
    <w:rsid w:val="44D47202"/>
    <w:rsid w:val="44D51F86"/>
    <w:rsid w:val="44D75CFE"/>
    <w:rsid w:val="44D7601C"/>
    <w:rsid w:val="44D9433B"/>
    <w:rsid w:val="44DA57EF"/>
    <w:rsid w:val="44DD0E3B"/>
    <w:rsid w:val="44E65F41"/>
    <w:rsid w:val="44E67CEF"/>
    <w:rsid w:val="44E73BB7"/>
    <w:rsid w:val="44E95A32"/>
    <w:rsid w:val="44EB3558"/>
    <w:rsid w:val="44EE0E23"/>
    <w:rsid w:val="44F369B3"/>
    <w:rsid w:val="44F47E43"/>
    <w:rsid w:val="44F7014F"/>
    <w:rsid w:val="44F71EFD"/>
    <w:rsid w:val="44FB6D18"/>
    <w:rsid w:val="44FC5765"/>
    <w:rsid w:val="44FD328B"/>
    <w:rsid w:val="450665E4"/>
    <w:rsid w:val="45085EB8"/>
    <w:rsid w:val="450B59A8"/>
    <w:rsid w:val="45103453"/>
    <w:rsid w:val="451A208F"/>
    <w:rsid w:val="451C7BB5"/>
    <w:rsid w:val="451E392D"/>
    <w:rsid w:val="451E56DB"/>
    <w:rsid w:val="451F07A9"/>
    <w:rsid w:val="452151CC"/>
    <w:rsid w:val="452D3B70"/>
    <w:rsid w:val="452E1696"/>
    <w:rsid w:val="45361337"/>
    <w:rsid w:val="453D1570"/>
    <w:rsid w:val="453E44C3"/>
    <w:rsid w:val="454113CA"/>
    <w:rsid w:val="45433394"/>
    <w:rsid w:val="454B2248"/>
    <w:rsid w:val="454F1D39"/>
    <w:rsid w:val="45537DEC"/>
    <w:rsid w:val="45554E75"/>
    <w:rsid w:val="45561319"/>
    <w:rsid w:val="45572F66"/>
    <w:rsid w:val="4557374E"/>
    <w:rsid w:val="45594965"/>
    <w:rsid w:val="455C1CD5"/>
    <w:rsid w:val="455F7AA2"/>
    <w:rsid w:val="456357E4"/>
    <w:rsid w:val="45694677"/>
    <w:rsid w:val="456A1278"/>
    <w:rsid w:val="456D2B35"/>
    <w:rsid w:val="456F73FA"/>
    <w:rsid w:val="45705263"/>
    <w:rsid w:val="457225E6"/>
    <w:rsid w:val="4575533A"/>
    <w:rsid w:val="457572C5"/>
    <w:rsid w:val="4577128F"/>
    <w:rsid w:val="4577303D"/>
    <w:rsid w:val="457B0D80"/>
    <w:rsid w:val="457C2402"/>
    <w:rsid w:val="457C4AF8"/>
    <w:rsid w:val="45810DBE"/>
    <w:rsid w:val="4585575A"/>
    <w:rsid w:val="458614D2"/>
    <w:rsid w:val="4588524B"/>
    <w:rsid w:val="45886D5E"/>
    <w:rsid w:val="458D460F"/>
    <w:rsid w:val="458E2C2A"/>
    <w:rsid w:val="459B292C"/>
    <w:rsid w:val="459D5EDD"/>
    <w:rsid w:val="45AA6F6F"/>
    <w:rsid w:val="45B20519"/>
    <w:rsid w:val="45B55914"/>
    <w:rsid w:val="45B61DB8"/>
    <w:rsid w:val="45B621A6"/>
    <w:rsid w:val="45B750ED"/>
    <w:rsid w:val="45BB2D4F"/>
    <w:rsid w:val="45BB5620"/>
    <w:rsid w:val="45BE0C6C"/>
    <w:rsid w:val="45BE132A"/>
    <w:rsid w:val="45C05FFC"/>
    <w:rsid w:val="45C269AF"/>
    <w:rsid w:val="45C51FFB"/>
    <w:rsid w:val="45C5302A"/>
    <w:rsid w:val="45CA13BF"/>
    <w:rsid w:val="45CF69D6"/>
    <w:rsid w:val="45D4433F"/>
    <w:rsid w:val="45D93CF8"/>
    <w:rsid w:val="45DE30BD"/>
    <w:rsid w:val="45E02BB8"/>
    <w:rsid w:val="45E36925"/>
    <w:rsid w:val="45E561F9"/>
    <w:rsid w:val="45EF5615"/>
    <w:rsid w:val="45F37BF4"/>
    <w:rsid w:val="45F91CA4"/>
    <w:rsid w:val="45FC3543"/>
    <w:rsid w:val="460074D7"/>
    <w:rsid w:val="46055575"/>
    <w:rsid w:val="46115240"/>
    <w:rsid w:val="4613720A"/>
    <w:rsid w:val="46162856"/>
    <w:rsid w:val="461865CE"/>
    <w:rsid w:val="46196A5E"/>
    <w:rsid w:val="461E31F0"/>
    <w:rsid w:val="461F5BAF"/>
    <w:rsid w:val="4622744D"/>
    <w:rsid w:val="46274A64"/>
    <w:rsid w:val="462907DC"/>
    <w:rsid w:val="462A4554"/>
    <w:rsid w:val="462B2E73"/>
    <w:rsid w:val="462F56C6"/>
    <w:rsid w:val="46405B25"/>
    <w:rsid w:val="46411F54"/>
    <w:rsid w:val="4644110D"/>
    <w:rsid w:val="46467959"/>
    <w:rsid w:val="46497C2D"/>
    <w:rsid w:val="464A3719"/>
    <w:rsid w:val="464B259D"/>
    <w:rsid w:val="464E1FF0"/>
    <w:rsid w:val="46537607"/>
    <w:rsid w:val="4655791E"/>
    <w:rsid w:val="46582E6F"/>
    <w:rsid w:val="465D66D7"/>
    <w:rsid w:val="465E7D59"/>
    <w:rsid w:val="46603AD2"/>
    <w:rsid w:val="46647E6D"/>
    <w:rsid w:val="466A4950"/>
    <w:rsid w:val="467127B2"/>
    <w:rsid w:val="4679227C"/>
    <w:rsid w:val="46845A12"/>
    <w:rsid w:val="468679DC"/>
    <w:rsid w:val="468E4AE3"/>
    <w:rsid w:val="4692101F"/>
    <w:rsid w:val="469211D3"/>
    <w:rsid w:val="46954F32"/>
    <w:rsid w:val="46963997"/>
    <w:rsid w:val="46972CAA"/>
    <w:rsid w:val="46A13E00"/>
    <w:rsid w:val="46A52348"/>
    <w:rsid w:val="46A61E2C"/>
    <w:rsid w:val="46AB11F1"/>
    <w:rsid w:val="46B34549"/>
    <w:rsid w:val="46B42276"/>
    <w:rsid w:val="46B53706"/>
    <w:rsid w:val="46B53E1D"/>
    <w:rsid w:val="46B64A65"/>
    <w:rsid w:val="46B70B31"/>
    <w:rsid w:val="46B8390E"/>
    <w:rsid w:val="46BB3E4F"/>
    <w:rsid w:val="46BF378F"/>
    <w:rsid w:val="46BF7389"/>
    <w:rsid w:val="46C329DE"/>
    <w:rsid w:val="46C67ED5"/>
    <w:rsid w:val="46C92AC2"/>
    <w:rsid w:val="46CB3641"/>
    <w:rsid w:val="46CE4EDF"/>
    <w:rsid w:val="46DA7D28"/>
    <w:rsid w:val="46DA7FD3"/>
    <w:rsid w:val="46E14C12"/>
    <w:rsid w:val="46E329F6"/>
    <w:rsid w:val="46ED1809"/>
    <w:rsid w:val="46EE5581"/>
    <w:rsid w:val="46F10BCE"/>
    <w:rsid w:val="46F32B98"/>
    <w:rsid w:val="46F506BE"/>
    <w:rsid w:val="46F56670"/>
    <w:rsid w:val="46FA5CD4"/>
    <w:rsid w:val="4700075A"/>
    <w:rsid w:val="47013507"/>
    <w:rsid w:val="470466AC"/>
    <w:rsid w:val="470703F1"/>
    <w:rsid w:val="47086643"/>
    <w:rsid w:val="471212E7"/>
    <w:rsid w:val="47134FE8"/>
    <w:rsid w:val="471E2976"/>
    <w:rsid w:val="471F1BDF"/>
    <w:rsid w:val="471F2E35"/>
    <w:rsid w:val="47215957"/>
    <w:rsid w:val="472213DD"/>
    <w:rsid w:val="4723347D"/>
    <w:rsid w:val="47262F6D"/>
    <w:rsid w:val="472B149F"/>
    <w:rsid w:val="472B32A4"/>
    <w:rsid w:val="472F1E22"/>
    <w:rsid w:val="473531B0"/>
    <w:rsid w:val="47372A84"/>
    <w:rsid w:val="47373CCA"/>
    <w:rsid w:val="473A2575"/>
    <w:rsid w:val="473C009B"/>
    <w:rsid w:val="47421A42"/>
    <w:rsid w:val="47422C86"/>
    <w:rsid w:val="474D674C"/>
    <w:rsid w:val="475353E4"/>
    <w:rsid w:val="47561677"/>
    <w:rsid w:val="475A2C17"/>
    <w:rsid w:val="475F022D"/>
    <w:rsid w:val="47655843"/>
    <w:rsid w:val="476615BC"/>
    <w:rsid w:val="47664E5A"/>
    <w:rsid w:val="47674649"/>
    <w:rsid w:val="47680E90"/>
    <w:rsid w:val="476E221E"/>
    <w:rsid w:val="47705F96"/>
    <w:rsid w:val="477737C9"/>
    <w:rsid w:val="47794E4B"/>
    <w:rsid w:val="477A1F4F"/>
    <w:rsid w:val="477C748E"/>
    <w:rsid w:val="47881532"/>
    <w:rsid w:val="478A7E98"/>
    <w:rsid w:val="478D08F6"/>
    <w:rsid w:val="478F28C0"/>
    <w:rsid w:val="47925F0D"/>
    <w:rsid w:val="479A3A13"/>
    <w:rsid w:val="479B775A"/>
    <w:rsid w:val="479E0D55"/>
    <w:rsid w:val="47A9156B"/>
    <w:rsid w:val="47AD71EA"/>
    <w:rsid w:val="47AE1558"/>
    <w:rsid w:val="47B24801"/>
    <w:rsid w:val="47B70069"/>
    <w:rsid w:val="47BA0608"/>
    <w:rsid w:val="47C076C6"/>
    <w:rsid w:val="47C41970"/>
    <w:rsid w:val="47C54534"/>
    <w:rsid w:val="47CB141F"/>
    <w:rsid w:val="47D06A35"/>
    <w:rsid w:val="47D14C87"/>
    <w:rsid w:val="47D261CA"/>
    <w:rsid w:val="47D46525"/>
    <w:rsid w:val="47DB5B06"/>
    <w:rsid w:val="47EF7803"/>
    <w:rsid w:val="47F04B43"/>
    <w:rsid w:val="47F41B58"/>
    <w:rsid w:val="47F646ED"/>
    <w:rsid w:val="47F830A4"/>
    <w:rsid w:val="47FC5A7C"/>
    <w:rsid w:val="47FE48C9"/>
    <w:rsid w:val="47FF02E4"/>
    <w:rsid w:val="48015BEF"/>
    <w:rsid w:val="480212E4"/>
    <w:rsid w:val="48036E0A"/>
    <w:rsid w:val="48084421"/>
    <w:rsid w:val="480A1F47"/>
    <w:rsid w:val="480A63EB"/>
    <w:rsid w:val="480D36B8"/>
    <w:rsid w:val="480F1B5E"/>
    <w:rsid w:val="4812529F"/>
    <w:rsid w:val="481334F1"/>
    <w:rsid w:val="48142DC6"/>
    <w:rsid w:val="48191BB7"/>
    <w:rsid w:val="48192719"/>
    <w:rsid w:val="48194880"/>
    <w:rsid w:val="481A0DE7"/>
    <w:rsid w:val="482272D3"/>
    <w:rsid w:val="482374AD"/>
    <w:rsid w:val="48286871"/>
    <w:rsid w:val="482D16AD"/>
    <w:rsid w:val="482F70AB"/>
    <w:rsid w:val="48303B74"/>
    <w:rsid w:val="48311BC9"/>
    <w:rsid w:val="48373D12"/>
    <w:rsid w:val="48394150"/>
    <w:rsid w:val="483B65A4"/>
    <w:rsid w:val="48493247"/>
    <w:rsid w:val="48497FAC"/>
    <w:rsid w:val="484F02A2"/>
    <w:rsid w:val="484F7160"/>
    <w:rsid w:val="485338EE"/>
    <w:rsid w:val="485476CA"/>
    <w:rsid w:val="485D476D"/>
    <w:rsid w:val="48612C99"/>
    <w:rsid w:val="48691363"/>
    <w:rsid w:val="486D24D6"/>
    <w:rsid w:val="486F44A0"/>
    <w:rsid w:val="4875617D"/>
    <w:rsid w:val="48783354"/>
    <w:rsid w:val="487B2E45"/>
    <w:rsid w:val="487E46E3"/>
    <w:rsid w:val="48825F81"/>
    <w:rsid w:val="48855A71"/>
    <w:rsid w:val="48875227"/>
    <w:rsid w:val="48875B13"/>
    <w:rsid w:val="4889040A"/>
    <w:rsid w:val="488937B4"/>
    <w:rsid w:val="48904B42"/>
    <w:rsid w:val="48912668"/>
    <w:rsid w:val="48934632"/>
    <w:rsid w:val="48952158"/>
    <w:rsid w:val="4898622A"/>
    <w:rsid w:val="489A6272"/>
    <w:rsid w:val="489D100D"/>
    <w:rsid w:val="489D65CF"/>
    <w:rsid w:val="489F2FD7"/>
    <w:rsid w:val="48A44149"/>
    <w:rsid w:val="48A979B2"/>
    <w:rsid w:val="48AA1192"/>
    <w:rsid w:val="48AA33F6"/>
    <w:rsid w:val="48AA54D8"/>
    <w:rsid w:val="48AE39F0"/>
    <w:rsid w:val="48AF2AEE"/>
    <w:rsid w:val="48AF415E"/>
    <w:rsid w:val="48B05D7E"/>
    <w:rsid w:val="48B14AB8"/>
    <w:rsid w:val="48B50B9A"/>
    <w:rsid w:val="48B52FCC"/>
    <w:rsid w:val="48BB1493"/>
    <w:rsid w:val="48BC175E"/>
    <w:rsid w:val="48BD345D"/>
    <w:rsid w:val="48BD520B"/>
    <w:rsid w:val="48C93BB0"/>
    <w:rsid w:val="48CC7A03"/>
    <w:rsid w:val="48D013E2"/>
    <w:rsid w:val="48D11FAA"/>
    <w:rsid w:val="48D34A2F"/>
    <w:rsid w:val="48D63A46"/>
    <w:rsid w:val="48D82994"/>
    <w:rsid w:val="48DF1625"/>
    <w:rsid w:val="48E11FE9"/>
    <w:rsid w:val="48E96000"/>
    <w:rsid w:val="48EB7FCA"/>
    <w:rsid w:val="48ED1CCD"/>
    <w:rsid w:val="48EF37C9"/>
    <w:rsid w:val="48F01094"/>
    <w:rsid w:val="48F14EB5"/>
    <w:rsid w:val="48F21359"/>
    <w:rsid w:val="48F74FD3"/>
    <w:rsid w:val="48F93332"/>
    <w:rsid w:val="48F96812"/>
    <w:rsid w:val="48FB5D34"/>
    <w:rsid w:val="48FC6BF1"/>
    <w:rsid w:val="48FF39F0"/>
    <w:rsid w:val="4900334A"/>
    <w:rsid w:val="49064E04"/>
    <w:rsid w:val="49066BB2"/>
    <w:rsid w:val="49081894"/>
    <w:rsid w:val="49121BEA"/>
    <w:rsid w:val="491237A9"/>
    <w:rsid w:val="49153299"/>
    <w:rsid w:val="49155047"/>
    <w:rsid w:val="49156DF5"/>
    <w:rsid w:val="49180694"/>
    <w:rsid w:val="49184B37"/>
    <w:rsid w:val="491D3EFC"/>
    <w:rsid w:val="491D5CAA"/>
    <w:rsid w:val="491F5EC6"/>
    <w:rsid w:val="49203F9B"/>
    <w:rsid w:val="49247038"/>
    <w:rsid w:val="492C413F"/>
    <w:rsid w:val="492C4B3F"/>
    <w:rsid w:val="493059DD"/>
    <w:rsid w:val="49325BF9"/>
    <w:rsid w:val="49351245"/>
    <w:rsid w:val="493A4AAE"/>
    <w:rsid w:val="494D2A33"/>
    <w:rsid w:val="494E2307"/>
    <w:rsid w:val="494F11BA"/>
    <w:rsid w:val="49507E2D"/>
    <w:rsid w:val="49575660"/>
    <w:rsid w:val="495A5150"/>
    <w:rsid w:val="495A6762"/>
    <w:rsid w:val="496122BB"/>
    <w:rsid w:val="49634005"/>
    <w:rsid w:val="496658A3"/>
    <w:rsid w:val="496E4757"/>
    <w:rsid w:val="497003A2"/>
    <w:rsid w:val="49792B95"/>
    <w:rsid w:val="497C50C6"/>
    <w:rsid w:val="497F0713"/>
    <w:rsid w:val="49830203"/>
    <w:rsid w:val="49872E8D"/>
    <w:rsid w:val="498B355B"/>
    <w:rsid w:val="498C1EF3"/>
    <w:rsid w:val="498C3781"/>
    <w:rsid w:val="498D72D3"/>
    <w:rsid w:val="49960185"/>
    <w:rsid w:val="49990A3E"/>
    <w:rsid w:val="499C12C5"/>
    <w:rsid w:val="49A10689"/>
    <w:rsid w:val="49A275D6"/>
    <w:rsid w:val="49A60395"/>
    <w:rsid w:val="49A62E0C"/>
    <w:rsid w:val="49AD6025"/>
    <w:rsid w:val="49AF0FF8"/>
    <w:rsid w:val="49B06B1E"/>
    <w:rsid w:val="49B239B2"/>
    <w:rsid w:val="49B900C8"/>
    <w:rsid w:val="49B93C25"/>
    <w:rsid w:val="49BE123B"/>
    <w:rsid w:val="49BF6D61"/>
    <w:rsid w:val="49C425C9"/>
    <w:rsid w:val="49C600F0"/>
    <w:rsid w:val="49C76ABA"/>
    <w:rsid w:val="49CD5922"/>
    <w:rsid w:val="49CF224E"/>
    <w:rsid w:val="49CF44B3"/>
    <w:rsid w:val="49D4280C"/>
    <w:rsid w:val="49D50F50"/>
    <w:rsid w:val="49DE368B"/>
    <w:rsid w:val="49E07403"/>
    <w:rsid w:val="49E15DA4"/>
    <w:rsid w:val="49E52C6C"/>
    <w:rsid w:val="49E54A1A"/>
    <w:rsid w:val="49EB5DA8"/>
    <w:rsid w:val="49ED7D72"/>
    <w:rsid w:val="49EE69A9"/>
    <w:rsid w:val="49F369D0"/>
    <w:rsid w:val="49F51BC7"/>
    <w:rsid w:val="49F904C5"/>
    <w:rsid w:val="49FB10AC"/>
    <w:rsid w:val="4A001853"/>
    <w:rsid w:val="4A007AA5"/>
    <w:rsid w:val="4A0155CC"/>
    <w:rsid w:val="4A046A9C"/>
    <w:rsid w:val="4A047020"/>
    <w:rsid w:val="4A05330E"/>
    <w:rsid w:val="4A080708"/>
    <w:rsid w:val="4A084BAC"/>
    <w:rsid w:val="4A0A0924"/>
    <w:rsid w:val="4A0F5F3A"/>
    <w:rsid w:val="4A105D76"/>
    <w:rsid w:val="4A1452FF"/>
    <w:rsid w:val="4A174DEF"/>
    <w:rsid w:val="4A233794"/>
    <w:rsid w:val="4A2512BA"/>
    <w:rsid w:val="4A271F13"/>
    <w:rsid w:val="4A273284"/>
    <w:rsid w:val="4A275658"/>
    <w:rsid w:val="4A286FFC"/>
    <w:rsid w:val="4A296AB4"/>
    <w:rsid w:val="4A2A7770"/>
    <w:rsid w:val="4A2C751E"/>
    <w:rsid w:val="4A335716"/>
    <w:rsid w:val="4A346E6B"/>
    <w:rsid w:val="4A350F1C"/>
    <w:rsid w:val="4A394D65"/>
    <w:rsid w:val="4A3B69E4"/>
    <w:rsid w:val="4A49144C"/>
    <w:rsid w:val="4A4A0D21"/>
    <w:rsid w:val="4A4B2050"/>
    <w:rsid w:val="4A5334F5"/>
    <w:rsid w:val="4A595408"/>
    <w:rsid w:val="4A5B1180"/>
    <w:rsid w:val="4A5C2802"/>
    <w:rsid w:val="4A60067D"/>
    <w:rsid w:val="4A62606A"/>
    <w:rsid w:val="4A633B90"/>
    <w:rsid w:val="4A6504DB"/>
    <w:rsid w:val="4A69389D"/>
    <w:rsid w:val="4A6C5C50"/>
    <w:rsid w:val="4A6E4CB8"/>
    <w:rsid w:val="4A722025"/>
    <w:rsid w:val="4A735665"/>
    <w:rsid w:val="4A767D68"/>
    <w:rsid w:val="4A7E72E8"/>
    <w:rsid w:val="4A7E7EDF"/>
    <w:rsid w:val="4A7F4E6E"/>
    <w:rsid w:val="4A81342B"/>
    <w:rsid w:val="4A815424"/>
    <w:rsid w:val="4A8204BA"/>
    <w:rsid w:val="4A834233"/>
    <w:rsid w:val="4A835FE1"/>
    <w:rsid w:val="4A857561"/>
    <w:rsid w:val="4A873937"/>
    <w:rsid w:val="4A897A9B"/>
    <w:rsid w:val="4A8E3303"/>
    <w:rsid w:val="4A916067"/>
    <w:rsid w:val="4A9B157C"/>
    <w:rsid w:val="4A9B5A20"/>
    <w:rsid w:val="4A9E7B65"/>
    <w:rsid w:val="4AA246B9"/>
    <w:rsid w:val="4AAC5537"/>
    <w:rsid w:val="4AAE7501"/>
    <w:rsid w:val="4AB443EC"/>
    <w:rsid w:val="4AB663B6"/>
    <w:rsid w:val="4AB71995"/>
    <w:rsid w:val="4ABB1C1E"/>
    <w:rsid w:val="4AC05487"/>
    <w:rsid w:val="4AC72371"/>
    <w:rsid w:val="4AC9433B"/>
    <w:rsid w:val="4ACA63AC"/>
    <w:rsid w:val="4ACB608C"/>
    <w:rsid w:val="4ACC0E05"/>
    <w:rsid w:val="4AD33FB6"/>
    <w:rsid w:val="4AD36F68"/>
    <w:rsid w:val="4AD54A8E"/>
    <w:rsid w:val="4ADD1B95"/>
    <w:rsid w:val="4ADD3293"/>
    <w:rsid w:val="4AE178D7"/>
    <w:rsid w:val="4AE9678B"/>
    <w:rsid w:val="4AEB42B2"/>
    <w:rsid w:val="4AED34A5"/>
    <w:rsid w:val="4AF13892"/>
    <w:rsid w:val="4AF33166"/>
    <w:rsid w:val="4AF55130"/>
    <w:rsid w:val="4AF97A1B"/>
    <w:rsid w:val="4B037DE9"/>
    <w:rsid w:val="4B044C48"/>
    <w:rsid w:val="4B045373"/>
    <w:rsid w:val="4B0B04B0"/>
    <w:rsid w:val="4B0C5B54"/>
    <w:rsid w:val="4B0E7FA0"/>
    <w:rsid w:val="4B103D18"/>
    <w:rsid w:val="4B115DA6"/>
    <w:rsid w:val="4B16637A"/>
    <w:rsid w:val="4B1D01E3"/>
    <w:rsid w:val="4B1E0E0F"/>
    <w:rsid w:val="4B291CB9"/>
    <w:rsid w:val="4B29302C"/>
    <w:rsid w:val="4B2E5BB8"/>
    <w:rsid w:val="4B2E7EB5"/>
    <w:rsid w:val="4B324B4F"/>
    <w:rsid w:val="4B375749"/>
    <w:rsid w:val="4B460986"/>
    <w:rsid w:val="4B4D612E"/>
    <w:rsid w:val="4B4D6D1A"/>
    <w:rsid w:val="4B50680B"/>
    <w:rsid w:val="4B5347B3"/>
    <w:rsid w:val="4B5A4F93"/>
    <w:rsid w:val="4B5C6F5D"/>
    <w:rsid w:val="4B5E0F27"/>
    <w:rsid w:val="4B657B84"/>
    <w:rsid w:val="4B676243"/>
    <w:rsid w:val="4B6E6C91"/>
    <w:rsid w:val="4B7047B7"/>
    <w:rsid w:val="4B72052F"/>
    <w:rsid w:val="4B75139B"/>
    <w:rsid w:val="4B7774C8"/>
    <w:rsid w:val="4B797DE4"/>
    <w:rsid w:val="4B7A3D36"/>
    <w:rsid w:val="4B8244EA"/>
    <w:rsid w:val="4B854E33"/>
    <w:rsid w:val="4B884BA2"/>
    <w:rsid w:val="4B893ACB"/>
    <w:rsid w:val="4B895879"/>
    <w:rsid w:val="4B8D464C"/>
    <w:rsid w:val="4B8E10E1"/>
    <w:rsid w:val="4B9009B5"/>
    <w:rsid w:val="4B9420AF"/>
    <w:rsid w:val="4B951516"/>
    <w:rsid w:val="4B95421D"/>
    <w:rsid w:val="4B971D44"/>
    <w:rsid w:val="4B986E74"/>
    <w:rsid w:val="4B9A7A86"/>
    <w:rsid w:val="4B9C67CB"/>
    <w:rsid w:val="4B9F32EE"/>
    <w:rsid w:val="4BA206E8"/>
    <w:rsid w:val="4BA34B8C"/>
    <w:rsid w:val="4BA6467C"/>
    <w:rsid w:val="4BA6642B"/>
    <w:rsid w:val="4BAF1783"/>
    <w:rsid w:val="4BAF3531"/>
    <w:rsid w:val="4BAF5028"/>
    <w:rsid w:val="4BB20EAC"/>
    <w:rsid w:val="4BB40B47"/>
    <w:rsid w:val="4BB71666"/>
    <w:rsid w:val="4BB74194"/>
    <w:rsid w:val="4BB87F0C"/>
    <w:rsid w:val="4BBA0128"/>
    <w:rsid w:val="4BBE22D0"/>
    <w:rsid w:val="4BC13264"/>
    <w:rsid w:val="4BC55F37"/>
    <w:rsid w:val="4BC6087B"/>
    <w:rsid w:val="4BC62629"/>
    <w:rsid w:val="4BC66AD5"/>
    <w:rsid w:val="4BC82845"/>
    <w:rsid w:val="4BCA0332"/>
    <w:rsid w:val="4BD17005"/>
    <w:rsid w:val="4BD52542"/>
    <w:rsid w:val="4BD7168F"/>
    <w:rsid w:val="4BD81B3F"/>
    <w:rsid w:val="4BDB2578"/>
    <w:rsid w:val="4BDC1E4C"/>
    <w:rsid w:val="4BDE1A39"/>
    <w:rsid w:val="4BE23238"/>
    <w:rsid w:val="4BE24594"/>
    <w:rsid w:val="4BE57EF0"/>
    <w:rsid w:val="4BE86A43"/>
    <w:rsid w:val="4BEA2EA8"/>
    <w:rsid w:val="4BEA4601"/>
    <w:rsid w:val="4BEB7BAC"/>
    <w:rsid w:val="4BF22C05"/>
    <w:rsid w:val="4BF727C2"/>
    <w:rsid w:val="4BF929FE"/>
    <w:rsid w:val="4C043151"/>
    <w:rsid w:val="4C06511B"/>
    <w:rsid w:val="4C100436"/>
    <w:rsid w:val="4C111764"/>
    <w:rsid w:val="4C11235F"/>
    <w:rsid w:val="4C136DB7"/>
    <w:rsid w:val="4C155A3A"/>
    <w:rsid w:val="4C19021A"/>
    <w:rsid w:val="4C1A71C0"/>
    <w:rsid w:val="4C2061DD"/>
    <w:rsid w:val="4C211F55"/>
    <w:rsid w:val="4C2203C7"/>
    <w:rsid w:val="4C2423E7"/>
    <w:rsid w:val="4C2757BD"/>
    <w:rsid w:val="4C2C4B82"/>
    <w:rsid w:val="4C2F4672"/>
    <w:rsid w:val="4C3502ED"/>
    <w:rsid w:val="4C35155C"/>
    <w:rsid w:val="4C365A00"/>
    <w:rsid w:val="4C381751"/>
    <w:rsid w:val="4C396EE1"/>
    <w:rsid w:val="4C3C5099"/>
    <w:rsid w:val="4C43011D"/>
    <w:rsid w:val="4C465518"/>
    <w:rsid w:val="4C4874E2"/>
    <w:rsid w:val="4C4A398B"/>
    <w:rsid w:val="4C4B0646"/>
    <w:rsid w:val="4C4B0D80"/>
    <w:rsid w:val="4C500546"/>
    <w:rsid w:val="4C561BFF"/>
    <w:rsid w:val="4C5D4223"/>
    <w:rsid w:val="4C5F2FD8"/>
    <w:rsid w:val="4C6360CA"/>
    <w:rsid w:val="4C6562E6"/>
    <w:rsid w:val="4C667968"/>
    <w:rsid w:val="4C673E0C"/>
    <w:rsid w:val="4C686721"/>
    <w:rsid w:val="4C717FF4"/>
    <w:rsid w:val="4C73529F"/>
    <w:rsid w:val="4C746529"/>
    <w:rsid w:val="4C76404F"/>
    <w:rsid w:val="4C7D5CD0"/>
    <w:rsid w:val="4C7E2443"/>
    <w:rsid w:val="4C7E2F03"/>
    <w:rsid w:val="4C83676C"/>
    <w:rsid w:val="4C854292"/>
    <w:rsid w:val="4C8749CF"/>
    <w:rsid w:val="4C8F5111"/>
    <w:rsid w:val="4C915AE9"/>
    <w:rsid w:val="4C9B1D07"/>
    <w:rsid w:val="4C9D782D"/>
    <w:rsid w:val="4C9E5354"/>
    <w:rsid w:val="4CA0731E"/>
    <w:rsid w:val="4CA50490"/>
    <w:rsid w:val="4CAA3CF8"/>
    <w:rsid w:val="4CB132D9"/>
    <w:rsid w:val="4CB22BAD"/>
    <w:rsid w:val="4CB42DC9"/>
    <w:rsid w:val="4CBB4158"/>
    <w:rsid w:val="4CBB5446"/>
    <w:rsid w:val="4CBB7CB4"/>
    <w:rsid w:val="4CBD6264"/>
    <w:rsid w:val="4CC0351C"/>
    <w:rsid w:val="4CC1418D"/>
    <w:rsid w:val="4CC27294"/>
    <w:rsid w:val="4CC72AFC"/>
    <w:rsid w:val="4CC90623"/>
    <w:rsid w:val="4CCC0113"/>
    <w:rsid w:val="4CCE3E8B"/>
    <w:rsid w:val="4CCF1721"/>
    <w:rsid w:val="4CD42100"/>
    <w:rsid w:val="4CD60F91"/>
    <w:rsid w:val="4CD82614"/>
    <w:rsid w:val="4CDA7185"/>
    <w:rsid w:val="4CDB2104"/>
    <w:rsid w:val="4CE0771A"/>
    <w:rsid w:val="4CE27A83"/>
    <w:rsid w:val="4CE30FB8"/>
    <w:rsid w:val="4CE4545C"/>
    <w:rsid w:val="4CEA7917"/>
    <w:rsid w:val="4CEB10AB"/>
    <w:rsid w:val="4CEF795D"/>
    <w:rsid w:val="4CF23C94"/>
    <w:rsid w:val="4CF907DC"/>
    <w:rsid w:val="4CFF2296"/>
    <w:rsid w:val="4D01600E"/>
    <w:rsid w:val="4D0478AD"/>
    <w:rsid w:val="4D052F7C"/>
    <w:rsid w:val="4D0553D3"/>
    <w:rsid w:val="4D0771CE"/>
    <w:rsid w:val="4D07739D"/>
    <w:rsid w:val="4D0B4AF7"/>
    <w:rsid w:val="4D0C050F"/>
    <w:rsid w:val="4D106251"/>
    <w:rsid w:val="4D112DB7"/>
    <w:rsid w:val="4D186EB4"/>
    <w:rsid w:val="4D1D1077"/>
    <w:rsid w:val="4D203FBB"/>
    <w:rsid w:val="4D213656"/>
    <w:rsid w:val="4D227A97"/>
    <w:rsid w:val="4D245859"/>
    <w:rsid w:val="4D292E6F"/>
    <w:rsid w:val="4D2A553A"/>
    <w:rsid w:val="4D2A6BE7"/>
    <w:rsid w:val="4D3161C8"/>
    <w:rsid w:val="4D341814"/>
    <w:rsid w:val="4D387149"/>
    <w:rsid w:val="4D3E5B2F"/>
    <w:rsid w:val="4D3F08E5"/>
    <w:rsid w:val="4D4128AF"/>
    <w:rsid w:val="4D41465D"/>
    <w:rsid w:val="4D447CA9"/>
    <w:rsid w:val="4D4642C1"/>
    <w:rsid w:val="4D4952BF"/>
    <w:rsid w:val="4D4B54DB"/>
    <w:rsid w:val="4D4C15C3"/>
    <w:rsid w:val="4D50060F"/>
    <w:rsid w:val="4D510618"/>
    <w:rsid w:val="4D52245A"/>
    <w:rsid w:val="4D5819A6"/>
    <w:rsid w:val="4D587BF8"/>
    <w:rsid w:val="4D5A3970"/>
    <w:rsid w:val="4D5B6AF6"/>
    <w:rsid w:val="4D5F0F87"/>
    <w:rsid w:val="4D602609"/>
    <w:rsid w:val="4D613D7B"/>
    <w:rsid w:val="4D637AFB"/>
    <w:rsid w:val="4D657858"/>
    <w:rsid w:val="4D663ABA"/>
    <w:rsid w:val="4D671B0D"/>
    <w:rsid w:val="4D671BE9"/>
    <w:rsid w:val="4D673998"/>
    <w:rsid w:val="4D6B5ED2"/>
    <w:rsid w:val="4D6B792C"/>
    <w:rsid w:val="4D6C0FAE"/>
    <w:rsid w:val="4D6D36A4"/>
    <w:rsid w:val="4D6F7D20"/>
    <w:rsid w:val="4D7311B2"/>
    <w:rsid w:val="4D754306"/>
    <w:rsid w:val="4D7560B4"/>
    <w:rsid w:val="4D7F6F33"/>
    <w:rsid w:val="4D801229"/>
    <w:rsid w:val="4D93478D"/>
    <w:rsid w:val="4D950505"/>
    <w:rsid w:val="4D9A5B1B"/>
    <w:rsid w:val="4D9E1789"/>
    <w:rsid w:val="4D9F6104"/>
    <w:rsid w:val="4DA6686F"/>
    <w:rsid w:val="4DA70238"/>
    <w:rsid w:val="4DAB40F0"/>
    <w:rsid w:val="4DAC584E"/>
    <w:rsid w:val="4DB20386"/>
    <w:rsid w:val="4DBA7F6B"/>
    <w:rsid w:val="4DC030AB"/>
    <w:rsid w:val="4DC91DCC"/>
    <w:rsid w:val="4DCD3956"/>
    <w:rsid w:val="4DCD4142"/>
    <w:rsid w:val="4DCF7EBB"/>
    <w:rsid w:val="4DD576A3"/>
    <w:rsid w:val="4DD63967"/>
    <w:rsid w:val="4DD76D6F"/>
    <w:rsid w:val="4DDB6BFF"/>
    <w:rsid w:val="4DDC4386"/>
    <w:rsid w:val="4DE33966"/>
    <w:rsid w:val="4DE4148C"/>
    <w:rsid w:val="4DE72BC1"/>
    <w:rsid w:val="4DE84AD8"/>
    <w:rsid w:val="4DEA4CF4"/>
    <w:rsid w:val="4DEB0C5A"/>
    <w:rsid w:val="4DEB281B"/>
    <w:rsid w:val="4DEC3D92"/>
    <w:rsid w:val="4DF07E31"/>
    <w:rsid w:val="4DF25957"/>
    <w:rsid w:val="4DF47921"/>
    <w:rsid w:val="4DFB07F6"/>
    <w:rsid w:val="4DFD7765"/>
    <w:rsid w:val="4DFE60AA"/>
    <w:rsid w:val="4DFF0074"/>
    <w:rsid w:val="4E013DEC"/>
    <w:rsid w:val="4E015B9A"/>
    <w:rsid w:val="4E05458D"/>
    <w:rsid w:val="4E0631B0"/>
    <w:rsid w:val="4E092CA1"/>
    <w:rsid w:val="4E0F6509"/>
    <w:rsid w:val="4E125FF9"/>
    <w:rsid w:val="4E17716C"/>
    <w:rsid w:val="4E1E48C9"/>
    <w:rsid w:val="4E1F4272"/>
    <w:rsid w:val="4E233D62"/>
    <w:rsid w:val="4E2A50F1"/>
    <w:rsid w:val="4E2F0959"/>
    <w:rsid w:val="4E3160E5"/>
    <w:rsid w:val="4E341FBE"/>
    <w:rsid w:val="4E377A28"/>
    <w:rsid w:val="4E393FCB"/>
    <w:rsid w:val="4E3C4E24"/>
    <w:rsid w:val="4E3C637F"/>
    <w:rsid w:val="4E4249FE"/>
    <w:rsid w:val="4E4361B3"/>
    <w:rsid w:val="4E4B5067"/>
    <w:rsid w:val="4E4C150B"/>
    <w:rsid w:val="4E4D5283"/>
    <w:rsid w:val="4E4D7031"/>
    <w:rsid w:val="4E54216E"/>
    <w:rsid w:val="4E593845"/>
    <w:rsid w:val="4E5959D6"/>
    <w:rsid w:val="4E5B174E"/>
    <w:rsid w:val="4E5B34FC"/>
    <w:rsid w:val="4E5E6F20"/>
    <w:rsid w:val="4E6032F9"/>
    <w:rsid w:val="4E634255"/>
    <w:rsid w:val="4E704ACE"/>
    <w:rsid w:val="4E704CB8"/>
    <w:rsid w:val="4E742810"/>
    <w:rsid w:val="4E7445BE"/>
    <w:rsid w:val="4E74636C"/>
    <w:rsid w:val="4E7630B5"/>
    <w:rsid w:val="4E7B76FB"/>
    <w:rsid w:val="4E810A89"/>
    <w:rsid w:val="4E86699F"/>
    <w:rsid w:val="4E870795"/>
    <w:rsid w:val="4E8B1908"/>
    <w:rsid w:val="4E8C5DAC"/>
    <w:rsid w:val="4E8E2A2B"/>
    <w:rsid w:val="4E913AB2"/>
    <w:rsid w:val="4E915170"/>
    <w:rsid w:val="4E94787D"/>
    <w:rsid w:val="4E9B7D9D"/>
    <w:rsid w:val="4EA053B3"/>
    <w:rsid w:val="4EA102E2"/>
    <w:rsid w:val="4EA17C8F"/>
    <w:rsid w:val="4EA359A6"/>
    <w:rsid w:val="4EA6550A"/>
    <w:rsid w:val="4EAB1DFB"/>
    <w:rsid w:val="4EAC3D58"/>
    <w:rsid w:val="4EB23E06"/>
    <w:rsid w:val="4EB34DB5"/>
    <w:rsid w:val="4EBC732B"/>
    <w:rsid w:val="4EBE1CDD"/>
    <w:rsid w:val="4EC76DE4"/>
    <w:rsid w:val="4EC86752"/>
    <w:rsid w:val="4ECD1134"/>
    <w:rsid w:val="4EDB288F"/>
    <w:rsid w:val="4EDD489A"/>
    <w:rsid w:val="4EDD6607"/>
    <w:rsid w:val="4EE259CC"/>
    <w:rsid w:val="4EE72FE2"/>
    <w:rsid w:val="4EE82754"/>
    <w:rsid w:val="4EEB46BC"/>
    <w:rsid w:val="4EEE25C2"/>
    <w:rsid w:val="4EEF00E8"/>
    <w:rsid w:val="4EF010DE"/>
    <w:rsid w:val="4EF35D62"/>
    <w:rsid w:val="4EF35DAE"/>
    <w:rsid w:val="4EF456FF"/>
    <w:rsid w:val="4EFD4104"/>
    <w:rsid w:val="4EFD57EA"/>
    <w:rsid w:val="4EFE20DA"/>
    <w:rsid w:val="4EFF657E"/>
    <w:rsid w:val="4F0A4F22"/>
    <w:rsid w:val="4F0B3083"/>
    <w:rsid w:val="4F0C4518"/>
    <w:rsid w:val="4F0C47F7"/>
    <w:rsid w:val="4F10078B"/>
    <w:rsid w:val="4F155DA1"/>
    <w:rsid w:val="4F1638C7"/>
    <w:rsid w:val="4F1A0675"/>
    <w:rsid w:val="4F264A1F"/>
    <w:rsid w:val="4F304531"/>
    <w:rsid w:val="4F335731"/>
    <w:rsid w:val="4F366C62"/>
    <w:rsid w:val="4F391E42"/>
    <w:rsid w:val="4F3B1580"/>
    <w:rsid w:val="4F3F2E1E"/>
    <w:rsid w:val="4F462EFD"/>
    <w:rsid w:val="4F48059A"/>
    <w:rsid w:val="4F4C027D"/>
    <w:rsid w:val="4F502064"/>
    <w:rsid w:val="4F545746"/>
    <w:rsid w:val="4F586138"/>
    <w:rsid w:val="4F5A7C58"/>
    <w:rsid w:val="4F5B752C"/>
    <w:rsid w:val="4F5F0DCA"/>
    <w:rsid w:val="4F5F701C"/>
    <w:rsid w:val="4F602D94"/>
    <w:rsid w:val="4F607C7C"/>
    <w:rsid w:val="4F642884"/>
    <w:rsid w:val="4F6C34E7"/>
    <w:rsid w:val="4F722B08"/>
    <w:rsid w:val="4F727462"/>
    <w:rsid w:val="4F7505EE"/>
    <w:rsid w:val="4F786330"/>
    <w:rsid w:val="4F7A3E56"/>
    <w:rsid w:val="4F7B197C"/>
    <w:rsid w:val="4F7B70CD"/>
    <w:rsid w:val="4F7D249C"/>
    <w:rsid w:val="4F8A06B2"/>
    <w:rsid w:val="4F8A1C34"/>
    <w:rsid w:val="4F8C5937"/>
    <w:rsid w:val="4F9A62A6"/>
    <w:rsid w:val="4F9B20F2"/>
    <w:rsid w:val="4FA2515B"/>
    <w:rsid w:val="4FA843B3"/>
    <w:rsid w:val="4FB32C07"/>
    <w:rsid w:val="4FB355BA"/>
    <w:rsid w:val="4FC27B2B"/>
    <w:rsid w:val="4FC341FE"/>
    <w:rsid w:val="4FC6709B"/>
    <w:rsid w:val="4FC6793C"/>
    <w:rsid w:val="4FC77EC1"/>
    <w:rsid w:val="4FC86546"/>
    <w:rsid w:val="4FC9093A"/>
    <w:rsid w:val="4FC96B8B"/>
    <w:rsid w:val="4FCB2904"/>
    <w:rsid w:val="4FD0420C"/>
    <w:rsid w:val="4FD23C92"/>
    <w:rsid w:val="4FD73056"/>
    <w:rsid w:val="4FD83119"/>
    <w:rsid w:val="4FDB25F0"/>
    <w:rsid w:val="4FDD65FE"/>
    <w:rsid w:val="4FE00BD0"/>
    <w:rsid w:val="4FE15C85"/>
    <w:rsid w:val="4FE37C4D"/>
    <w:rsid w:val="4FE60679"/>
    <w:rsid w:val="4FEC63D6"/>
    <w:rsid w:val="4FF26C0A"/>
    <w:rsid w:val="4FF44F30"/>
    <w:rsid w:val="4FF72FDB"/>
    <w:rsid w:val="4FF736F9"/>
    <w:rsid w:val="4FF97471"/>
    <w:rsid w:val="4FFB430F"/>
    <w:rsid w:val="4FFB77B4"/>
    <w:rsid w:val="500100D3"/>
    <w:rsid w:val="50051787"/>
    <w:rsid w:val="50096F88"/>
    <w:rsid w:val="5019541D"/>
    <w:rsid w:val="502025E6"/>
    <w:rsid w:val="50204548"/>
    <w:rsid w:val="5023004A"/>
    <w:rsid w:val="502618E8"/>
    <w:rsid w:val="502671EF"/>
    <w:rsid w:val="502A587C"/>
    <w:rsid w:val="502B45B5"/>
    <w:rsid w:val="502C31C9"/>
    <w:rsid w:val="502F4C40"/>
    <w:rsid w:val="50342257"/>
    <w:rsid w:val="50363EAE"/>
    <w:rsid w:val="50406E4E"/>
    <w:rsid w:val="50412BC6"/>
    <w:rsid w:val="50416722"/>
    <w:rsid w:val="504C2305"/>
    <w:rsid w:val="504F6091"/>
    <w:rsid w:val="50504BB7"/>
    <w:rsid w:val="50512CDB"/>
    <w:rsid w:val="505C3DCB"/>
    <w:rsid w:val="505C7A00"/>
    <w:rsid w:val="505E5526"/>
    <w:rsid w:val="5062323D"/>
    <w:rsid w:val="50632B3C"/>
    <w:rsid w:val="50650662"/>
    <w:rsid w:val="506568B4"/>
    <w:rsid w:val="50670FCE"/>
    <w:rsid w:val="50677642"/>
    <w:rsid w:val="506A3F67"/>
    <w:rsid w:val="506B7C43"/>
    <w:rsid w:val="506E3618"/>
    <w:rsid w:val="50753961"/>
    <w:rsid w:val="50792360"/>
    <w:rsid w:val="507A1C34"/>
    <w:rsid w:val="507C3BFE"/>
    <w:rsid w:val="507C775A"/>
    <w:rsid w:val="5080549C"/>
    <w:rsid w:val="50845601"/>
    <w:rsid w:val="508639ED"/>
    <w:rsid w:val="50884351"/>
    <w:rsid w:val="508B3E41"/>
    <w:rsid w:val="508C6C56"/>
    <w:rsid w:val="50926F7D"/>
    <w:rsid w:val="509360D4"/>
    <w:rsid w:val="50962F12"/>
    <w:rsid w:val="509671E9"/>
    <w:rsid w:val="509E3B74"/>
    <w:rsid w:val="50A078EC"/>
    <w:rsid w:val="50A27D01"/>
    <w:rsid w:val="50A82C45"/>
    <w:rsid w:val="50AF0574"/>
    <w:rsid w:val="50B27620"/>
    <w:rsid w:val="50B415EA"/>
    <w:rsid w:val="50B655A8"/>
    <w:rsid w:val="50B74C36"/>
    <w:rsid w:val="50B75092"/>
    <w:rsid w:val="50B82E88"/>
    <w:rsid w:val="50B9275C"/>
    <w:rsid w:val="50BB64D4"/>
    <w:rsid w:val="50BF3131"/>
    <w:rsid w:val="50C03AEB"/>
    <w:rsid w:val="50C0770F"/>
    <w:rsid w:val="50C3182D"/>
    <w:rsid w:val="50C335DB"/>
    <w:rsid w:val="50C51101"/>
    <w:rsid w:val="50C730CB"/>
    <w:rsid w:val="50D2381E"/>
    <w:rsid w:val="50D332F9"/>
    <w:rsid w:val="50D41344"/>
    <w:rsid w:val="50DB26D2"/>
    <w:rsid w:val="50DB6B76"/>
    <w:rsid w:val="50DE1895"/>
    <w:rsid w:val="50DF273A"/>
    <w:rsid w:val="50E7230A"/>
    <w:rsid w:val="50E72A30"/>
    <w:rsid w:val="50EA0B67"/>
    <w:rsid w:val="50ED1318"/>
    <w:rsid w:val="50EE68AA"/>
    <w:rsid w:val="50F419E6"/>
    <w:rsid w:val="50FB0677"/>
    <w:rsid w:val="510B2C00"/>
    <w:rsid w:val="510B72DB"/>
    <w:rsid w:val="510C4F82"/>
    <w:rsid w:val="510E07AC"/>
    <w:rsid w:val="510F6820"/>
    <w:rsid w:val="51145BE4"/>
    <w:rsid w:val="5115067F"/>
    <w:rsid w:val="5117791C"/>
    <w:rsid w:val="51181B78"/>
    <w:rsid w:val="511931FB"/>
    <w:rsid w:val="511A0490"/>
    <w:rsid w:val="511B5691"/>
    <w:rsid w:val="512362C8"/>
    <w:rsid w:val="51252566"/>
    <w:rsid w:val="51254295"/>
    <w:rsid w:val="51273B6A"/>
    <w:rsid w:val="51296AA7"/>
    <w:rsid w:val="512C1180"/>
    <w:rsid w:val="512C12A1"/>
    <w:rsid w:val="512C5624"/>
    <w:rsid w:val="51330760"/>
    <w:rsid w:val="51383FC9"/>
    <w:rsid w:val="513B13C3"/>
    <w:rsid w:val="513B5867"/>
    <w:rsid w:val="513D513B"/>
    <w:rsid w:val="513F7105"/>
    <w:rsid w:val="514001E2"/>
    <w:rsid w:val="51430181"/>
    <w:rsid w:val="5144296E"/>
    <w:rsid w:val="514A7858"/>
    <w:rsid w:val="514E7348"/>
    <w:rsid w:val="514F154D"/>
    <w:rsid w:val="51581F75"/>
    <w:rsid w:val="515D3A2F"/>
    <w:rsid w:val="515E6059"/>
    <w:rsid w:val="516052CE"/>
    <w:rsid w:val="51622DF4"/>
    <w:rsid w:val="51646B6C"/>
    <w:rsid w:val="516649D1"/>
    <w:rsid w:val="51694182"/>
    <w:rsid w:val="516D7C5E"/>
    <w:rsid w:val="516E79EA"/>
    <w:rsid w:val="516F72BF"/>
    <w:rsid w:val="51703763"/>
    <w:rsid w:val="51714DE5"/>
    <w:rsid w:val="5172503A"/>
    <w:rsid w:val="51735001"/>
    <w:rsid w:val="517A16BA"/>
    <w:rsid w:val="517D3696"/>
    <w:rsid w:val="517D7C2E"/>
    <w:rsid w:val="5180327A"/>
    <w:rsid w:val="51815DE6"/>
    <w:rsid w:val="518432EA"/>
    <w:rsid w:val="518E7C7F"/>
    <w:rsid w:val="518F170F"/>
    <w:rsid w:val="51905BB3"/>
    <w:rsid w:val="51937451"/>
    <w:rsid w:val="51960CEF"/>
    <w:rsid w:val="519805C3"/>
    <w:rsid w:val="51982C18"/>
    <w:rsid w:val="51A52DCC"/>
    <w:rsid w:val="51A61CB4"/>
    <w:rsid w:val="51A73BDA"/>
    <w:rsid w:val="51A90A23"/>
    <w:rsid w:val="51AE7DE7"/>
    <w:rsid w:val="51B03B5F"/>
    <w:rsid w:val="51B11CB1"/>
    <w:rsid w:val="51B3364F"/>
    <w:rsid w:val="51B41B91"/>
    <w:rsid w:val="51B43FDF"/>
    <w:rsid w:val="51B64EEE"/>
    <w:rsid w:val="51BB2504"/>
    <w:rsid w:val="51BF3DA2"/>
    <w:rsid w:val="51C15D6C"/>
    <w:rsid w:val="51C55131"/>
    <w:rsid w:val="51C67F82"/>
    <w:rsid w:val="51CD2BBA"/>
    <w:rsid w:val="51D3784E"/>
    <w:rsid w:val="51D57A6A"/>
    <w:rsid w:val="51D672E8"/>
    <w:rsid w:val="51D73EA3"/>
    <w:rsid w:val="51D77C42"/>
    <w:rsid w:val="51DA6E2E"/>
    <w:rsid w:val="51DC16DA"/>
    <w:rsid w:val="51E23F34"/>
    <w:rsid w:val="51E82D50"/>
    <w:rsid w:val="51E952C3"/>
    <w:rsid w:val="51E965C3"/>
    <w:rsid w:val="51F06651"/>
    <w:rsid w:val="51F31C9E"/>
    <w:rsid w:val="51F53C68"/>
    <w:rsid w:val="51F94C61"/>
    <w:rsid w:val="51FA3520"/>
    <w:rsid w:val="51FB0B52"/>
    <w:rsid w:val="51FD6CF7"/>
    <w:rsid w:val="52045C59"/>
    <w:rsid w:val="5208399B"/>
    <w:rsid w:val="520914C1"/>
    <w:rsid w:val="520D1996"/>
    <w:rsid w:val="520F3B0B"/>
    <w:rsid w:val="520F4E5D"/>
    <w:rsid w:val="52100AA2"/>
    <w:rsid w:val="521045FE"/>
    <w:rsid w:val="521073DB"/>
    <w:rsid w:val="52140592"/>
    <w:rsid w:val="52171E30"/>
    <w:rsid w:val="5217598C"/>
    <w:rsid w:val="52181704"/>
    <w:rsid w:val="521E2C2C"/>
    <w:rsid w:val="521F6F37"/>
    <w:rsid w:val="52205820"/>
    <w:rsid w:val="522105B9"/>
    <w:rsid w:val="522307D5"/>
    <w:rsid w:val="522400A9"/>
    <w:rsid w:val="522462FB"/>
    <w:rsid w:val="522956BF"/>
    <w:rsid w:val="522B1438"/>
    <w:rsid w:val="52354064"/>
    <w:rsid w:val="52397C05"/>
    <w:rsid w:val="523C1897"/>
    <w:rsid w:val="52413E39"/>
    <w:rsid w:val="52416EAD"/>
    <w:rsid w:val="5248023B"/>
    <w:rsid w:val="52541547"/>
    <w:rsid w:val="525564B4"/>
    <w:rsid w:val="525A3ACB"/>
    <w:rsid w:val="525A7F6F"/>
    <w:rsid w:val="525C5A95"/>
    <w:rsid w:val="525C62A9"/>
    <w:rsid w:val="525D1856"/>
    <w:rsid w:val="525F471D"/>
    <w:rsid w:val="52606CC0"/>
    <w:rsid w:val="52630BD1"/>
    <w:rsid w:val="526C41FE"/>
    <w:rsid w:val="527252B8"/>
    <w:rsid w:val="52736C03"/>
    <w:rsid w:val="52750905"/>
    <w:rsid w:val="52757AD4"/>
    <w:rsid w:val="527A416D"/>
    <w:rsid w:val="52815ED9"/>
    <w:rsid w:val="52833022"/>
    <w:rsid w:val="5283444E"/>
    <w:rsid w:val="528A2602"/>
    <w:rsid w:val="528D42BC"/>
    <w:rsid w:val="528F19C6"/>
    <w:rsid w:val="528F5E6A"/>
    <w:rsid w:val="529B480F"/>
    <w:rsid w:val="529C2335"/>
    <w:rsid w:val="529F07F0"/>
    <w:rsid w:val="52A5743C"/>
    <w:rsid w:val="52A74DE1"/>
    <w:rsid w:val="52A80CDA"/>
    <w:rsid w:val="52AD4542"/>
    <w:rsid w:val="52B150B2"/>
    <w:rsid w:val="52B31730"/>
    <w:rsid w:val="52B42038"/>
    <w:rsid w:val="52B713C0"/>
    <w:rsid w:val="52CC45A4"/>
    <w:rsid w:val="52D25D57"/>
    <w:rsid w:val="52D615E9"/>
    <w:rsid w:val="52DB10B0"/>
    <w:rsid w:val="52DC2732"/>
    <w:rsid w:val="52DE46FC"/>
    <w:rsid w:val="52E00CE4"/>
    <w:rsid w:val="52E15131"/>
    <w:rsid w:val="52EA4E4F"/>
    <w:rsid w:val="52EC1D0A"/>
    <w:rsid w:val="52ED535B"/>
    <w:rsid w:val="52EE015F"/>
    <w:rsid w:val="52F03C8B"/>
    <w:rsid w:val="52F21F55"/>
    <w:rsid w:val="52FB3500"/>
    <w:rsid w:val="52FB52AE"/>
    <w:rsid w:val="52FC4B82"/>
    <w:rsid w:val="53113E22"/>
    <w:rsid w:val="53114AD1"/>
    <w:rsid w:val="531243A6"/>
    <w:rsid w:val="53135933"/>
    <w:rsid w:val="531445C2"/>
    <w:rsid w:val="53146370"/>
    <w:rsid w:val="531545EB"/>
    <w:rsid w:val="53162691"/>
    <w:rsid w:val="531719BC"/>
    <w:rsid w:val="531B76FE"/>
    <w:rsid w:val="531C4F83"/>
    <w:rsid w:val="532164E8"/>
    <w:rsid w:val="53242F2F"/>
    <w:rsid w:val="532C35FB"/>
    <w:rsid w:val="532C5467"/>
    <w:rsid w:val="532F4F57"/>
    <w:rsid w:val="53332C9A"/>
    <w:rsid w:val="533405E5"/>
    <w:rsid w:val="53344CA4"/>
    <w:rsid w:val="533A00E5"/>
    <w:rsid w:val="533B173C"/>
    <w:rsid w:val="533E33EC"/>
    <w:rsid w:val="53410230"/>
    <w:rsid w:val="534722A1"/>
    <w:rsid w:val="53487DC7"/>
    <w:rsid w:val="534C78B7"/>
    <w:rsid w:val="534E7AD3"/>
    <w:rsid w:val="535065EA"/>
    <w:rsid w:val="53514ECE"/>
    <w:rsid w:val="53543FB8"/>
    <w:rsid w:val="53547BBD"/>
    <w:rsid w:val="53560736"/>
    <w:rsid w:val="535624E4"/>
    <w:rsid w:val="535970D7"/>
    <w:rsid w:val="535E5DFB"/>
    <w:rsid w:val="53650979"/>
    <w:rsid w:val="53661C02"/>
    <w:rsid w:val="536966BB"/>
    <w:rsid w:val="536A616D"/>
    <w:rsid w:val="536D782E"/>
    <w:rsid w:val="536E3CD2"/>
    <w:rsid w:val="536F1F5F"/>
    <w:rsid w:val="537A08C9"/>
    <w:rsid w:val="537D2167"/>
    <w:rsid w:val="537D3F15"/>
    <w:rsid w:val="537F5EDF"/>
    <w:rsid w:val="53803A05"/>
    <w:rsid w:val="53835884"/>
    <w:rsid w:val="5387401E"/>
    <w:rsid w:val="5389455F"/>
    <w:rsid w:val="538B4016"/>
    <w:rsid w:val="538D415C"/>
    <w:rsid w:val="538F59F6"/>
    <w:rsid w:val="53915C12"/>
    <w:rsid w:val="53933738"/>
    <w:rsid w:val="539354E6"/>
    <w:rsid w:val="53937294"/>
    <w:rsid w:val="5394125E"/>
    <w:rsid w:val="53954C11"/>
    <w:rsid w:val="539574B0"/>
    <w:rsid w:val="539725B9"/>
    <w:rsid w:val="53985ECA"/>
    <w:rsid w:val="539B083F"/>
    <w:rsid w:val="539B439B"/>
    <w:rsid w:val="53A07971"/>
    <w:rsid w:val="53A16DA2"/>
    <w:rsid w:val="53A56FC8"/>
    <w:rsid w:val="53A64ACE"/>
    <w:rsid w:val="53AE0572"/>
    <w:rsid w:val="53AF7E46"/>
    <w:rsid w:val="53B8319F"/>
    <w:rsid w:val="53B841FA"/>
    <w:rsid w:val="53BA1940"/>
    <w:rsid w:val="53BD6A07"/>
    <w:rsid w:val="53BF0089"/>
    <w:rsid w:val="53C01C5E"/>
    <w:rsid w:val="53C102A5"/>
    <w:rsid w:val="53C7314D"/>
    <w:rsid w:val="53C90F08"/>
    <w:rsid w:val="53C94501"/>
    <w:rsid w:val="53CB1124"/>
    <w:rsid w:val="53CB6BD5"/>
    <w:rsid w:val="53CC5ED2"/>
    <w:rsid w:val="53D12D4D"/>
    <w:rsid w:val="53D33222"/>
    <w:rsid w:val="53D55AFF"/>
    <w:rsid w:val="53D8114B"/>
    <w:rsid w:val="53DA1367"/>
    <w:rsid w:val="53E21FCA"/>
    <w:rsid w:val="53E53868"/>
    <w:rsid w:val="53E75832"/>
    <w:rsid w:val="53EE6BC1"/>
    <w:rsid w:val="53F046E7"/>
    <w:rsid w:val="53F1220D"/>
    <w:rsid w:val="53F131C4"/>
    <w:rsid w:val="53F266B1"/>
    <w:rsid w:val="53F3248D"/>
    <w:rsid w:val="53F35F85"/>
    <w:rsid w:val="53F561A1"/>
    <w:rsid w:val="53F71F19"/>
    <w:rsid w:val="53F7312D"/>
    <w:rsid w:val="53F817ED"/>
    <w:rsid w:val="53FA37B7"/>
    <w:rsid w:val="53FC12DE"/>
    <w:rsid w:val="53FD5056"/>
    <w:rsid w:val="53FF492A"/>
    <w:rsid w:val="54027A9B"/>
    <w:rsid w:val="54036E8C"/>
    <w:rsid w:val="54052165"/>
    <w:rsid w:val="5405481F"/>
    <w:rsid w:val="54071A30"/>
    <w:rsid w:val="540E1011"/>
    <w:rsid w:val="540E2877"/>
    <w:rsid w:val="5414301F"/>
    <w:rsid w:val="54143355"/>
    <w:rsid w:val="541A3860"/>
    <w:rsid w:val="541C372E"/>
    <w:rsid w:val="541D3002"/>
    <w:rsid w:val="54212AF2"/>
    <w:rsid w:val="54213733"/>
    <w:rsid w:val="54224ABC"/>
    <w:rsid w:val="5425781E"/>
    <w:rsid w:val="542645AC"/>
    <w:rsid w:val="542919A7"/>
    <w:rsid w:val="5429409D"/>
    <w:rsid w:val="542E3461"/>
    <w:rsid w:val="543547EF"/>
    <w:rsid w:val="54372316"/>
    <w:rsid w:val="543A57B1"/>
    <w:rsid w:val="543D36A4"/>
    <w:rsid w:val="543F0EC5"/>
    <w:rsid w:val="54417AF7"/>
    <w:rsid w:val="54436F0C"/>
    <w:rsid w:val="544607AB"/>
    <w:rsid w:val="544669FD"/>
    <w:rsid w:val="544731AC"/>
    <w:rsid w:val="545729B8"/>
    <w:rsid w:val="545A4256"/>
    <w:rsid w:val="545C3F50"/>
    <w:rsid w:val="545D3516"/>
    <w:rsid w:val="545F0081"/>
    <w:rsid w:val="54624EB9"/>
    <w:rsid w:val="546D5D37"/>
    <w:rsid w:val="546E1AAF"/>
    <w:rsid w:val="546E634D"/>
    <w:rsid w:val="54731287"/>
    <w:rsid w:val="54790B80"/>
    <w:rsid w:val="547A246A"/>
    <w:rsid w:val="547A48F8"/>
    <w:rsid w:val="548117E3"/>
    <w:rsid w:val="54817A35"/>
    <w:rsid w:val="5488491F"/>
    <w:rsid w:val="54890697"/>
    <w:rsid w:val="548F1073"/>
    <w:rsid w:val="5494100D"/>
    <w:rsid w:val="54972DB4"/>
    <w:rsid w:val="54986918"/>
    <w:rsid w:val="549A4653"/>
    <w:rsid w:val="549E05E7"/>
    <w:rsid w:val="549F7EBB"/>
    <w:rsid w:val="54A11FA8"/>
    <w:rsid w:val="54A25934"/>
    <w:rsid w:val="54A43723"/>
    <w:rsid w:val="54A61249"/>
    <w:rsid w:val="54A83213"/>
    <w:rsid w:val="54A86D6F"/>
    <w:rsid w:val="54AF45A2"/>
    <w:rsid w:val="54B90F7D"/>
    <w:rsid w:val="54BB39AB"/>
    <w:rsid w:val="54BC4D80"/>
    <w:rsid w:val="54BC6C04"/>
    <w:rsid w:val="54BF7F59"/>
    <w:rsid w:val="54C44AE3"/>
    <w:rsid w:val="54C47921"/>
    <w:rsid w:val="54C87437"/>
    <w:rsid w:val="54C931A2"/>
    <w:rsid w:val="54C94F38"/>
    <w:rsid w:val="54CB0CB0"/>
    <w:rsid w:val="54CB6F02"/>
    <w:rsid w:val="54D062C6"/>
    <w:rsid w:val="54D34093"/>
    <w:rsid w:val="54D67D81"/>
    <w:rsid w:val="54DA0EF3"/>
    <w:rsid w:val="54DE4E87"/>
    <w:rsid w:val="54E00A4E"/>
    <w:rsid w:val="54E0475B"/>
    <w:rsid w:val="54E22C01"/>
    <w:rsid w:val="54E66377"/>
    <w:rsid w:val="54EC75A4"/>
    <w:rsid w:val="54EE6EEB"/>
    <w:rsid w:val="54F226E1"/>
    <w:rsid w:val="54F375B8"/>
    <w:rsid w:val="54F46459"/>
    <w:rsid w:val="54F93A6F"/>
    <w:rsid w:val="54F975CB"/>
    <w:rsid w:val="54FA3343"/>
    <w:rsid w:val="54FE72D7"/>
    <w:rsid w:val="5503669C"/>
    <w:rsid w:val="550A17D8"/>
    <w:rsid w:val="550B5550"/>
    <w:rsid w:val="55110DB9"/>
    <w:rsid w:val="551507E3"/>
    <w:rsid w:val="551C150B"/>
    <w:rsid w:val="551C775D"/>
    <w:rsid w:val="552503C0"/>
    <w:rsid w:val="55284354"/>
    <w:rsid w:val="552A00CC"/>
    <w:rsid w:val="552A1DE6"/>
    <w:rsid w:val="552D3719"/>
    <w:rsid w:val="55313209"/>
    <w:rsid w:val="553445EE"/>
    <w:rsid w:val="553625CD"/>
    <w:rsid w:val="55393E6B"/>
    <w:rsid w:val="553E1482"/>
    <w:rsid w:val="553E3A3D"/>
    <w:rsid w:val="5540021F"/>
    <w:rsid w:val="55410F72"/>
    <w:rsid w:val="554A5426"/>
    <w:rsid w:val="554C3B9F"/>
    <w:rsid w:val="55546EF7"/>
    <w:rsid w:val="555D56E4"/>
    <w:rsid w:val="55603AEE"/>
    <w:rsid w:val="5563713A"/>
    <w:rsid w:val="55713605"/>
    <w:rsid w:val="55766E6E"/>
    <w:rsid w:val="557721D6"/>
    <w:rsid w:val="55794BB0"/>
    <w:rsid w:val="557D01FC"/>
    <w:rsid w:val="557D644E"/>
    <w:rsid w:val="55823A64"/>
    <w:rsid w:val="5583158B"/>
    <w:rsid w:val="55853555"/>
    <w:rsid w:val="558772CD"/>
    <w:rsid w:val="558B6EAE"/>
    <w:rsid w:val="558E0D1D"/>
    <w:rsid w:val="558E1FA9"/>
    <w:rsid w:val="55913CA7"/>
    <w:rsid w:val="55915A56"/>
    <w:rsid w:val="559519EA"/>
    <w:rsid w:val="5596306C"/>
    <w:rsid w:val="559F33A3"/>
    <w:rsid w:val="55A33905"/>
    <w:rsid w:val="55AA2FBB"/>
    <w:rsid w:val="55AA6F54"/>
    <w:rsid w:val="55AE6607"/>
    <w:rsid w:val="55B17EA6"/>
    <w:rsid w:val="55B47996"/>
    <w:rsid w:val="55B70031"/>
    <w:rsid w:val="55BA13B7"/>
    <w:rsid w:val="55BA31FE"/>
    <w:rsid w:val="55BB2954"/>
    <w:rsid w:val="55BB6F76"/>
    <w:rsid w:val="55BD2CEE"/>
    <w:rsid w:val="55C0458D"/>
    <w:rsid w:val="55CA0F67"/>
    <w:rsid w:val="55CF657E"/>
    <w:rsid w:val="55CF743F"/>
    <w:rsid w:val="55D24196"/>
    <w:rsid w:val="55D818D6"/>
    <w:rsid w:val="55D87B28"/>
    <w:rsid w:val="55DB4F23"/>
    <w:rsid w:val="55DF2C65"/>
    <w:rsid w:val="55E0078B"/>
    <w:rsid w:val="55E91A76"/>
    <w:rsid w:val="55EB160A"/>
    <w:rsid w:val="55EB5A2C"/>
    <w:rsid w:val="55FB4B05"/>
    <w:rsid w:val="55FE4001"/>
    <w:rsid w:val="55FF50B5"/>
    <w:rsid w:val="55FF6E63"/>
    <w:rsid w:val="56012164"/>
    <w:rsid w:val="56027C9E"/>
    <w:rsid w:val="56036A02"/>
    <w:rsid w:val="560501F2"/>
    <w:rsid w:val="56051FA0"/>
    <w:rsid w:val="56066443"/>
    <w:rsid w:val="560721BC"/>
    <w:rsid w:val="56080D11"/>
    <w:rsid w:val="56094A0A"/>
    <w:rsid w:val="560A30DE"/>
    <w:rsid w:val="560A5808"/>
    <w:rsid w:val="56104024"/>
    <w:rsid w:val="561072C2"/>
    <w:rsid w:val="561C5C67"/>
    <w:rsid w:val="561D19DF"/>
    <w:rsid w:val="561D435B"/>
    <w:rsid w:val="561F7505"/>
    <w:rsid w:val="5621502B"/>
    <w:rsid w:val="56262642"/>
    <w:rsid w:val="56270168"/>
    <w:rsid w:val="5627267F"/>
    <w:rsid w:val="56290384"/>
    <w:rsid w:val="562B7C58"/>
    <w:rsid w:val="5630133F"/>
    <w:rsid w:val="56327239"/>
    <w:rsid w:val="56343FEB"/>
    <w:rsid w:val="56352885"/>
    <w:rsid w:val="563665FD"/>
    <w:rsid w:val="563A60ED"/>
    <w:rsid w:val="56462CE4"/>
    <w:rsid w:val="564718DC"/>
    <w:rsid w:val="564A0A0B"/>
    <w:rsid w:val="564D4873"/>
    <w:rsid w:val="564E64E5"/>
    <w:rsid w:val="56507F7F"/>
    <w:rsid w:val="56535401"/>
    <w:rsid w:val="56552F27"/>
    <w:rsid w:val="565D4F75"/>
    <w:rsid w:val="565F35CD"/>
    <w:rsid w:val="566273F2"/>
    <w:rsid w:val="56630382"/>
    <w:rsid w:val="56632351"/>
    <w:rsid w:val="566413BC"/>
    <w:rsid w:val="56660C90"/>
    <w:rsid w:val="56676055"/>
    <w:rsid w:val="56723AD9"/>
    <w:rsid w:val="567535C9"/>
    <w:rsid w:val="56777341"/>
    <w:rsid w:val="567B3098"/>
    <w:rsid w:val="567B6B08"/>
    <w:rsid w:val="567D422C"/>
    <w:rsid w:val="567E32F2"/>
    <w:rsid w:val="567F52F0"/>
    <w:rsid w:val="56837A94"/>
    <w:rsid w:val="568B06F7"/>
    <w:rsid w:val="568E01E7"/>
    <w:rsid w:val="568E6439"/>
    <w:rsid w:val="568F468B"/>
    <w:rsid w:val="568F69F1"/>
    <w:rsid w:val="5690442A"/>
    <w:rsid w:val="5693110A"/>
    <w:rsid w:val="56962151"/>
    <w:rsid w:val="569A012D"/>
    <w:rsid w:val="569A6B8C"/>
    <w:rsid w:val="569B047F"/>
    <w:rsid w:val="569C6DA8"/>
    <w:rsid w:val="569D4227"/>
    <w:rsid w:val="569F2107"/>
    <w:rsid w:val="569F7184"/>
    <w:rsid w:val="56A143BE"/>
    <w:rsid w:val="56AA0572"/>
    <w:rsid w:val="56AE2637"/>
    <w:rsid w:val="56B069F6"/>
    <w:rsid w:val="56B11101"/>
    <w:rsid w:val="56B21F81"/>
    <w:rsid w:val="56B546B5"/>
    <w:rsid w:val="56BA5480"/>
    <w:rsid w:val="56BC6214"/>
    <w:rsid w:val="56BD48C9"/>
    <w:rsid w:val="56BE4E46"/>
    <w:rsid w:val="56BE6D1E"/>
    <w:rsid w:val="56BF4844"/>
    <w:rsid w:val="56C1680E"/>
    <w:rsid w:val="56C422E8"/>
    <w:rsid w:val="56C67981"/>
    <w:rsid w:val="56C8194B"/>
    <w:rsid w:val="56CB4F97"/>
    <w:rsid w:val="56CB66D2"/>
    <w:rsid w:val="56CE4A87"/>
    <w:rsid w:val="56CF2CD9"/>
    <w:rsid w:val="56D33FCA"/>
    <w:rsid w:val="56D36709"/>
    <w:rsid w:val="56D402F0"/>
    <w:rsid w:val="56D41A26"/>
    <w:rsid w:val="56D828A3"/>
    <w:rsid w:val="56E322E1"/>
    <w:rsid w:val="56E542AB"/>
    <w:rsid w:val="56E60DBD"/>
    <w:rsid w:val="56E90F5B"/>
    <w:rsid w:val="56E9101B"/>
    <w:rsid w:val="56F02C50"/>
    <w:rsid w:val="56FA587C"/>
    <w:rsid w:val="570010E5"/>
    <w:rsid w:val="570149BE"/>
    <w:rsid w:val="57016C0B"/>
    <w:rsid w:val="5705494D"/>
    <w:rsid w:val="5706732A"/>
    <w:rsid w:val="570861EB"/>
    <w:rsid w:val="570E371C"/>
    <w:rsid w:val="570E6CD9"/>
    <w:rsid w:val="571406EC"/>
    <w:rsid w:val="57160908"/>
    <w:rsid w:val="571E5A0F"/>
    <w:rsid w:val="571E77BD"/>
    <w:rsid w:val="572172AD"/>
    <w:rsid w:val="572339CC"/>
    <w:rsid w:val="57236B81"/>
    <w:rsid w:val="5728063B"/>
    <w:rsid w:val="57322EEE"/>
    <w:rsid w:val="573401CC"/>
    <w:rsid w:val="573C5E95"/>
    <w:rsid w:val="574134AB"/>
    <w:rsid w:val="574F5BC8"/>
    <w:rsid w:val="5755261B"/>
    <w:rsid w:val="575660C3"/>
    <w:rsid w:val="575E565C"/>
    <w:rsid w:val="57607DD5"/>
    <w:rsid w:val="5765363E"/>
    <w:rsid w:val="57661CD9"/>
    <w:rsid w:val="57681207"/>
    <w:rsid w:val="576C677A"/>
    <w:rsid w:val="5778511F"/>
    <w:rsid w:val="57805D82"/>
    <w:rsid w:val="5786146C"/>
    <w:rsid w:val="57877110"/>
    <w:rsid w:val="578A1867"/>
    <w:rsid w:val="578B4632"/>
    <w:rsid w:val="578B49EE"/>
    <w:rsid w:val="578B62F1"/>
    <w:rsid w:val="578F06BB"/>
    <w:rsid w:val="578F1242"/>
    <w:rsid w:val="578F170A"/>
    <w:rsid w:val="57931F59"/>
    <w:rsid w:val="5794178A"/>
    <w:rsid w:val="57947A7F"/>
    <w:rsid w:val="57972C37"/>
    <w:rsid w:val="57A203EE"/>
    <w:rsid w:val="57A71560"/>
    <w:rsid w:val="57A75A04"/>
    <w:rsid w:val="57A8352A"/>
    <w:rsid w:val="57AC4DC9"/>
    <w:rsid w:val="57AC50AC"/>
    <w:rsid w:val="57B10631"/>
    <w:rsid w:val="57B669EE"/>
    <w:rsid w:val="57C11451"/>
    <w:rsid w:val="57C245EC"/>
    <w:rsid w:val="57C33EC0"/>
    <w:rsid w:val="57C4730F"/>
    <w:rsid w:val="57CC0FC7"/>
    <w:rsid w:val="57D165DD"/>
    <w:rsid w:val="57D4431F"/>
    <w:rsid w:val="57DB56AE"/>
    <w:rsid w:val="57DE2D29"/>
    <w:rsid w:val="57E207EA"/>
    <w:rsid w:val="57E4161C"/>
    <w:rsid w:val="57E44562"/>
    <w:rsid w:val="57E52089"/>
    <w:rsid w:val="57E83927"/>
    <w:rsid w:val="57E90A91"/>
    <w:rsid w:val="57EA7D6E"/>
    <w:rsid w:val="57EF4CB5"/>
    <w:rsid w:val="58003366"/>
    <w:rsid w:val="580544D9"/>
    <w:rsid w:val="580A56F7"/>
    <w:rsid w:val="580A7D41"/>
    <w:rsid w:val="580D795D"/>
    <w:rsid w:val="580E5A83"/>
    <w:rsid w:val="58126ACA"/>
    <w:rsid w:val="5814296E"/>
    <w:rsid w:val="58155B70"/>
    <w:rsid w:val="581666E6"/>
    <w:rsid w:val="581874A5"/>
    <w:rsid w:val="58261E42"/>
    <w:rsid w:val="582E3A30"/>
    <w:rsid w:val="58346B6C"/>
    <w:rsid w:val="583848AE"/>
    <w:rsid w:val="583D3C73"/>
    <w:rsid w:val="583F4939"/>
    <w:rsid w:val="583F79EB"/>
    <w:rsid w:val="584036D5"/>
    <w:rsid w:val="58403763"/>
    <w:rsid w:val="58475690"/>
    <w:rsid w:val="5847689F"/>
    <w:rsid w:val="584C2108"/>
    <w:rsid w:val="584E5E80"/>
    <w:rsid w:val="58530885"/>
    <w:rsid w:val="58534CB1"/>
    <w:rsid w:val="58584F50"/>
    <w:rsid w:val="58647451"/>
    <w:rsid w:val="586C6306"/>
    <w:rsid w:val="586E207E"/>
    <w:rsid w:val="586E6043"/>
    <w:rsid w:val="587873A1"/>
    <w:rsid w:val="587C55A2"/>
    <w:rsid w:val="588875E4"/>
    <w:rsid w:val="5889335C"/>
    <w:rsid w:val="588B04C7"/>
    <w:rsid w:val="588B2C30"/>
    <w:rsid w:val="58905E04"/>
    <w:rsid w:val="58951D01"/>
    <w:rsid w:val="5898534D"/>
    <w:rsid w:val="589908B4"/>
    <w:rsid w:val="58A14202"/>
    <w:rsid w:val="58A27F7A"/>
    <w:rsid w:val="58A576D9"/>
    <w:rsid w:val="58A73174"/>
    <w:rsid w:val="58A75590"/>
    <w:rsid w:val="58A84761"/>
    <w:rsid w:val="58AB1524"/>
    <w:rsid w:val="58AE4B70"/>
    <w:rsid w:val="58BC4D39"/>
    <w:rsid w:val="58BE3005"/>
    <w:rsid w:val="58C3686E"/>
    <w:rsid w:val="58CB127E"/>
    <w:rsid w:val="58CB5722"/>
    <w:rsid w:val="58CF3F50"/>
    <w:rsid w:val="58D565A1"/>
    <w:rsid w:val="58D75E75"/>
    <w:rsid w:val="58DF4D2A"/>
    <w:rsid w:val="58DF7A9F"/>
    <w:rsid w:val="58E27D96"/>
    <w:rsid w:val="58E45716"/>
    <w:rsid w:val="58E83558"/>
    <w:rsid w:val="58E97957"/>
    <w:rsid w:val="58EA204C"/>
    <w:rsid w:val="58ED38EB"/>
    <w:rsid w:val="58EE31BF"/>
    <w:rsid w:val="58F05EF3"/>
    <w:rsid w:val="58F20A49"/>
    <w:rsid w:val="58F20F01"/>
    <w:rsid w:val="58F702C5"/>
    <w:rsid w:val="58FB6BAD"/>
    <w:rsid w:val="58FE1654"/>
    <w:rsid w:val="58FE78A6"/>
    <w:rsid w:val="5900361E"/>
    <w:rsid w:val="59034EBC"/>
    <w:rsid w:val="59060509"/>
    <w:rsid w:val="590649AC"/>
    <w:rsid w:val="590C61E3"/>
    <w:rsid w:val="590F592C"/>
    <w:rsid w:val="591075D9"/>
    <w:rsid w:val="59126EAD"/>
    <w:rsid w:val="59154BEF"/>
    <w:rsid w:val="59172716"/>
    <w:rsid w:val="5919648E"/>
    <w:rsid w:val="591B4618"/>
    <w:rsid w:val="591D026E"/>
    <w:rsid w:val="59205A6E"/>
    <w:rsid w:val="59215342"/>
    <w:rsid w:val="59244AC5"/>
    <w:rsid w:val="59252678"/>
    <w:rsid w:val="59274B48"/>
    <w:rsid w:val="59280071"/>
    <w:rsid w:val="592D1F39"/>
    <w:rsid w:val="592F3F03"/>
    <w:rsid w:val="5931649C"/>
    <w:rsid w:val="59330810"/>
    <w:rsid w:val="59335165"/>
    <w:rsid w:val="593E7CA2"/>
    <w:rsid w:val="59407EBE"/>
    <w:rsid w:val="59426195"/>
    <w:rsid w:val="594C1FFD"/>
    <w:rsid w:val="59561491"/>
    <w:rsid w:val="59575208"/>
    <w:rsid w:val="5960230F"/>
    <w:rsid w:val="59605E6B"/>
    <w:rsid w:val="596671F9"/>
    <w:rsid w:val="5967369D"/>
    <w:rsid w:val="59690422"/>
    <w:rsid w:val="596A0147"/>
    <w:rsid w:val="596B061C"/>
    <w:rsid w:val="596C2A61"/>
    <w:rsid w:val="596D0588"/>
    <w:rsid w:val="59710078"/>
    <w:rsid w:val="5976568E"/>
    <w:rsid w:val="59767E8A"/>
    <w:rsid w:val="59777658"/>
    <w:rsid w:val="59796021"/>
    <w:rsid w:val="597B2CA5"/>
    <w:rsid w:val="597E2795"/>
    <w:rsid w:val="59835FFD"/>
    <w:rsid w:val="59853B23"/>
    <w:rsid w:val="59861649"/>
    <w:rsid w:val="598A2EE8"/>
    <w:rsid w:val="598F6750"/>
    <w:rsid w:val="59914276"/>
    <w:rsid w:val="59927AB8"/>
    <w:rsid w:val="599975CF"/>
    <w:rsid w:val="599978D1"/>
    <w:rsid w:val="599B3347"/>
    <w:rsid w:val="599B50F5"/>
    <w:rsid w:val="599C2C1B"/>
    <w:rsid w:val="59A0095D"/>
    <w:rsid w:val="59A044B9"/>
    <w:rsid w:val="59A26483"/>
    <w:rsid w:val="59A3360E"/>
    <w:rsid w:val="59AD4E28"/>
    <w:rsid w:val="59B11E74"/>
    <w:rsid w:val="59BB7ACA"/>
    <w:rsid w:val="59BD150F"/>
    <w:rsid w:val="59BF77F2"/>
    <w:rsid w:val="59C4289D"/>
    <w:rsid w:val="59C77C98"/>
    <w:rsid w:val="59C94E46"/>
    <w:rsid w:val="59C97EB4"/>
    <w:rsid w:val="59CF1242"/>
    <w:rsid w:val="59D5242F"/>
    <w:rsid w:val="59D71162"/>
    <w:rsid w:val="59D86349"/>
    <w:rsid w:val="59DB7BE7"/>
    <w:rsid w:val="59DC230F"/>
    <w:rsid w:val="59E44DC2"/>
    <w:rsid w:val="59E92304"/>
    <w:rsid w:val="59EA607C"/>
    <w:rsid w:val="59EB0EC0"/>
    <w:rsid w:val="59F00D9B"/>
    <w:rsid w:val="59F12B1E"/>
    <w:rsid w:val="59F1740B"/>
    <w:rsid w:val="59FD7B5D"/>
    <w:rsid w:val="59FE5684"/>
    <w:rsid w:val="5A0507C0"/>
    <w:rsid w:val="5A074538"/>
    <w:rsid w:val="5A0802B0"/>
    <w:rsid w:val="5A094AFF"/>
    <w:rsid w:val="5A0F163F"/>
    <w:rsid w:val="5A1200DE"/>
    <w:rsid w:val="5A1524A8"/>
    <w:rsid w:val="5A1A0DA0"/>
    <w:rsid w:val="5A1A3218"/>
    <w:rsid w:val="5A1D5D2A"/>
    <w:rsid w:val="5A2450EA"/>
    <w:rsid w:val="5A261CE4"/>
    <w:rsid w:val="5A2C3F9F"/>
    <w:rsid w:val="5A2F644A"/>
    <w:rsid w:val="5A3317D1"/>
    <w:rsid w:val="5A36306F"/>
    <w:rsid w:val="5A366BCB"/>
    <w:rsid w:val="5A3C3F0A"/>
    <w:rsid w:val="5A3D7F5A"/>
    <w:rsid w:val="5A4505C3"/>
    <w:rsid w:val="5A455061"/>
    <w:rsid w:val="5A483BEE"/>
    <w:rsid w:val="5A49556B"/>
    <w:rsid w:val="5A4C4641"/>
    <w:rsid w:val="5A4C63EF"/>
    <w:rsid w:val="5A4F0DF0"/>
    <w:rsid w:val="5A5112B1"/>
    <w:rsid w:val="5A5534F6"/>
    <w:rsid w:val="5A56101C"/>
    <w:rsid w:val="5A56726E"/>
    <w:rsid w:val="5A596627"/>
    <w:rsid w:val="5A5D1182"/>
    <w:rsid w:val="5A623E64"/>
    <w:rsid w:val="5A631457"/>
    <w:rsid w:val="5A6A4B79"/>
    <w:rsid w:val="5A6B2D19"/>
    <w:rsid w:val="5A6F47B1"/>
    <w:rsid w:val="5A6F6286"/>
    <w:rsid w:val="5A70032F"/>
    <w:rsid w:val="5A7140A7"/>
    <w:rsid w:val="5A785436"/>
    <w:rsid w:val="5A7A11AE"/>
    <w:rsid w:val="5A81253D"/>
    <w:rsid w:val="5A8C0E92"/>
    <w:rsid w:val="5A8E53FA"/>
    <w:rsid w:val="5A90452E"/>
    <w:rsid w:val="5A92474A"/>
    <w:rsid w:val="5A932270"/>
    <w:rsid w:val="5A93401E"/>
    <w:rsid w:val="5A951B44"/>
    <w:rsid w:val="5A9C7376"/>
    <w:rsid w:val="5AA05121"/>
    <w:rsid w:val="5AA24261"/>
    <w:rsid w:val="5AA63D51"/>
    <w:rsid w:val="5AAD1584"/>
    <w:rsid w:val="5AAE70AA"/>
    <w:rsid w:val="5AB47982"/>
    <w:rsid w:val="5AB75F5E"/>
    <w:rsid w:val="5AB83A84"/>
    <w:rsid w:val="5ABA5A4E"/>
    <w:rsid w:val="5ABC682F"/>
    <w:rsid w:val="5ABD231A"/>
    <w:rsid w:val="5ABF4E13"/>
    <w:rsid w:val="5AC10B8B"/>
    <w:rsid w:val="5AC3557C"/>
    <w:rsid w:val="5AC468CD"/>
    <w:rsid w:val="5ACB1A0A"/>
    <w:rsid w:val="5AD308BE"/>
    <w:rsid w:val="5AD47F91"/>
    <w:rsid w:val="5AD52888"/>
    <w:rsid w:val="5AD7533E"/>
    <w:rsid w:val="5ADD7AB6"/>
    <w:rsid w:val="5ADF1011"/>
    <w:rsid w:val="5AE34EDF"/>
    <w:rsid w:val="5AE66844"/>
    <w:rsid w:val="5AE70570"/>
    <w:rsid w:val="5AE825BC"/>
    <w:rsid w:val="5AEB5C08"/>
    <w:rsid w:val="5AEC2D89"/>
    <w:rsid w:val="5AED7BD2"/>
    <w:rsid w:val="5AEE56F8"/>
    <w:rsid w:val="5AF947C9"/>
    <w:rsid w:val="5AFA22EF"/>
    <w:rsid w:val="5AFE3B8D"/>
    <w:rsid w:val="5AFF16B3"/>
    <w:rsid w:val="5AFF3461"/>
    <w:rsid w:val="5B04316E"/>
    <w:rsid w:val="5B062BA4"/>
    <w:rsid w:val="5B0942E0"/>
    <w:rsid w:val="5B0B5245"/>
    <w:rsid w:val="5B0D5B7E"/>
    <w:rsid w:val="5B0E7B48"/>
    <w:rsid w:val="5B0F5D9A"/>
    <w:rsid w:val="5B110500"/>
    <w:rsid w:val="5B1213E7"/>
    <w:rsid w:val="5B150ED7"/>
    <w:rsid w:val="5B173D6D"/>
    <w:rsid w:val="5B1B1EB0"/>
    <w:rsid w:val="5B1E5FDD"/>
    <w:rsid w:val="5B21162A"/>
    <w:rsid w:val="5B24736C"/>
    <w:rsid w:val="5B253175"/>
    <w:rsid w:val="5B2555BE"/>
    <w:rsid w:val="5B2B6D40"/>
    <w:rsid w:val="5B2D6220"/>
    <w:rsid w:val="5B2E3D47"/>
    <w:rsid w:val="5B30578F"/>
    <w:rsid w:val="5B373A6F"/>
    <w:rsid w:val="5B394BC5"/>
    <w:rsid w:val="5B3C46B5"/>
    <w:rsid w:val="5B412350"/>
    <w:rsid w:val="5B465534"/>
    <w:rsid w:val="5B4A6AFD"/>
    <w:rsid w:val="5B5163B3"/>
    <w:rsid w:val="5B5437AD"/>
    <w:rsid w:val="5B595267"/>
    <w:rsid w:val="5B5A35ED"/>
    <w:rsid w:val="5B5B0FE0"/>
    <w:rsid w:val="5B5B1114"/>
    <w:rsid w:val="5B5C08B4"/>
    <w:rsid w:val="5B5E287E"/>
    <w:rsid w:val="5B5F02E3"/>
    <w:rsid w:val="5B5F03A4"/>
    <w:rsid w:val="5B6559BA"/>
    <w:rsid w:val="5B6D0532"/>
    <w:rsid w:val="5B6D2AC1"/>
    <w:rsid w:val="5B6F4366"/>
    <w:rsid w:val="5B721E85"/>
    <w:rsid w:val="5B773413"/>
    <w:rsid w:val="5B81031A"/>
    <w:rsid w:val="5B8147BE"/>
    <w:rsid w:val="5B8163F9"/>
    <w:rsid w:val="5B81656C"/>
    <w:rsid w:val="5B8303A5"/>
    <w:rsid w:val="5B8942CE"/>
    <w:rsid w:val="5B8D6CBF"/>
    <w:rsid w:val="5B90055D"/>
    <w:rsid w:val="5B936C45"/>
    <w:rsid w:val="5B9462A0"/>
    <w:rsid w:val="5B953DC6"/>
    <w:rsid w:val="5BA7255E"/>
    <w:rsid w:val="5BA83421"/>
    <w:rsid w:val="5BAA7871"/>
    <w:rsid w:val="5BAC183B"/>
    <w:rsid w:val="5BB40BA6"/>
    <w:rsid w:val="5BB9213F"/>
    <w:rsid w:val="5BBB7CD0"/>
    <w:rsid w:val="5BC5073A"/>
    <w:rsid w:val="5BC61027"/>
    <w:rsid w:val="5BCB1D13"/>
    <w:rsid w:val="5BCB77E7"/>
    <w:rsid w:val="5BCE74EA"/>
    <w:rsid w:val="5BCF72D8"/>
    <w:rsid w:val="5BD30872"/>
    <w:rsid w:val="5BD62414"/>
    <w:rsid w:val="5BD7618C"/>
    <w:rsid w:val="5BD82550"/>
    <w:rsid w:val="5BD963A8"/>
    <w:rsid w:val="5BE34B31"/>
    <w:rsid w:val="5BE74621"/>
    <w:rsid w:val="5BE80399"/>
    <w:rsid w:val="5BE9616C"/>
    <w:rsid w:val="5BEC7E8A"/>
    <w:rsid w:val="5BED5228"/>
    <w:rsid w:val="5BF16DC6"/>
    <w:rsid w:val="5BF501EB"/>
    <w:rsid w:val="5BF54D48"/>
    <w:rsid w:val="5BFB44BD"/>
    <w:rsid w:val="5BFD30FD"/>
    <w:rsid w:val="5C001B87"/>
    <w:rsid w:val="5C023B70"/>
    <w:rsid w:val="5C076A71"/>
    <w:rsid w:val="5C0A47B4"/>
    <w:rsid w:val="5C0C401C"/>
    <w:rsid w:val="5C0F1DCA"/>
    <w:rsid w:val="5C116E02"/>
    <w:rsid w:val="5C1271C4"/>
    <w:rsid w:val="5C1318BA"/>
    <w:rsid w:val="5C2238AB"/>
    <w:rsid w:val="5C225659"/>
    <w:rsid w:val="5C257EC4"/>
    <w:rsid w:val="5C2869E8"/>
    <w:rsid w:val="5C292E8C"/>
    <w:rsid w:val="5C2A2760"/>
    <w:rsid w:val="5C2A3405"/>
    <w:rsid w:val="5C2C297C"/>
    <w:rsid w:val="5C2C64D8"/>
    <w:rsid w:val="5C327B4C"/>
    <w:rsid w:val="5C35053A"/>
    <w:rsid w:val="5C3839BE"/>
    <w:rsid w:val="5C425CFC"/>
    <w:rsid w:val="5C49708A"/>
    <w:rsid w:val="5C4A7263"/>
    <w:rsid w:val="5C4B1054"/>
    <w:rsid w:val="5C5477DD"/>
    <w:rsid w:val="5C5617A7"/>
    <w:rsid w:val="5C621EFA"/>
    <w:rsid w:val="5C6739B4"/>
    <w:rsid w:val="5C6953BD"/>
    <w:rsid w:val="5C6A5252"/>
    <w:rsid w:val="5C6C4831"/>
    <w:rsid w:val="5C6E4D42"/>
    <w:rsid w:val="5C700ABB"/>
    <w:rsid w:val="5C71038F"/>
    <w:rsid w:val="5C711886"/>
    <w:rsid w:val="5C717C20"/>
    <w:rsid w:val="5C732359"/>
    <w:rsid w:val="5C735EB5"/>
    <w:rsid w:val="5C7557DB"/>
    <w:rsid w:val="5C757E7F"/>
    <w:rsid w:val="5C7E43CA"/>
    <w:rsid w:val="5C7E7D99"/>
    <w:rsid w:val="5C82434A"/>
    <w:rsid w:val="5C891B7C"/>
    <w:rsid w:val="5C9522CF"/>
    <w:rsid w:val="5C961BA3"/>
    <w:rsid w:val="5C977477"/>
    <w:rsid w:val="5C981DBF"/>
    <w:rsid w:val="5C992FA1"/>
    <w:rsid w:val="5C9B540C"/>
    <w:rsid w:val="5CA973B1"/>
    <w:rsid w:val="5CAA31C3"/>
    <w:rsid w:val="5CAF2C65"/>
    <w:rsid w:val="5CB14C2F"/>
    <w:rsid w:val="5CB27BBC"/>
    <w:rsid w:val="5CB54546"/>
    <w:rsid w:val="5CBD35D4"/>
    <w:rsid w:val="5CBD5382"/>
    <w:rsid w:val="5CBF0F39"/>
    <w:rsid w:val="5CC04E72"/>
    <w:rsid w:val="5CC329C7"/>
    <w:rsid w:val="5CC72AC3"/>
    <w:rsid w:val="5CC901CB"/>
    <w:rsid w:val="5CCB5CF1"/>
    <w:rsid w:val="5CD03307"/>
    <w:rsid w:val="5CD304BD"/>
    <w:rsid w:val="5CD34443"/>
    <w:rsid w:val="5CD54DC2"/>
    <w:rsid w:val="5CDC7EFE"/>
    <w:rsid w:val="5CDF354A"/>
    <w:rsid w:val="5CE13766"/>
    <w:rsid w:val="5CE26473"/>
    <w:rsid w:val="5CE45005"/>
    <w:rsid w:val="5CE605C8"/>
    <w:rsid w:val="5CE70651"/>
    <w:rsid w:val="5CEA679A"/>
    <w:rsid w:val="5CEB6393"/>
    <w:rsid w:val="5CED210B"/>
    <w:rsid w:val="5CEE19DF"/>
    <w:rsid w:val="5CEE5661"/>
    <w:rsid w:val="5CF60894"/>
    <w:rsid w:val="5CF63912"/>
    <w:rsid w:val="5CF74D38"/>
    <w:rsid w:val="5D011713"/>
    <w:rsid w:val="5D041203"/>
    <w:rsid w:val="5D0D6309"/>
    <w:rsid w:val="5D107BA8"/>
    <w:rsid w:val="5D153410"/>
    <w:rsid w:val="5D177188"/>
    <w:rsid w:val="5D183B62"/>
    <w:rsid w:val="5D186A5C"/>
    <w:rsid w:val="5D1A6C78"/>
    <w:rsid w:val="5D1B7FA1"/>
    <w:rsid w:val="5D235B2D"/>
    <w:rsid w:val="5D261179"/>
    <w:rsid w:val="5D26772D"/>
    <w:rsid w:val="5D283594"/>
    <w:rsid w:val="5D284EF1"/>
    <w:rsid w:val="5D292A17"/>
    <w:rsid w:val="5D2A0C97"/>
    <w:rsid w:val="5D2A397A"/>
    <w:rsid w:val="5D2B4EC5"/>
    <w:rsid w:val="5D2C42B6"/>
    <w:rsid w:val="5D303DA6"/>
    <w:rsid w:val="5D363899"/>
    <w:rsid w:val="5D376935"/>
    <w:rsid w:val="5D3E4715"/>
    <w:rsid w:val="5D3F66DF"/>
    <w:rsid w:val="5D415FB3"/>
    <w:rsid w:val="5D431D2B"/>
    <w:rsid w:val="5D443CF5"/>
    <w:rsid w:val="5D49561A"/>
    <w:rsid w:val="5D4B0BE0"/>
    <w:rsid w:val="5D4C7FC4"/>
    <w:rsid w:val="5D4F6922"/>
    <w:rsid w:val="5D5455C9"/>
    <w:rsid w:val="5D5604BA"/>
    <w:rsid w:val="5D5850AB"/>
    <w:rsid w:val="5D596D7F"/>
    <w:rsid w:val="5D5A7075"/>
    <w:rsid w:val="5D5E6B65"/>
    <w:rsid w:val="5D675E7D"/>
    <w:rsid w:val="5D6D6DA8"/>
    <w:rsid w:val="5D6E412D"/>
    <w:rsid w:val="5D6F2B20"/>
    <w:rsid w:val="5D7410F1"/>
    <w:rsid w:val="5D752101"/>
    <w:rsid w:val="5D7A14C5"/>
    <w:rsid w:val="5D7B3359"/>
    <w:rsid w:val="5D7B40C8"/>
    <w:rsid w:val="5D7E0FB5"/>
    <w:rsid w:val="5D8414EE"/>
    <w:rsid w:val="5D8A795A"/>
    <w:rsid w:val="5D8C2994"/>
    <w:rsid w:val="5D8D2C4F"/>
    <w:rsid w:val="5D8D744A"/>
    <w:rsid w:val="5D921815"/>
    <w:rsid w:val="5D9500AD"/>
    <w:rsid w:val="5D952D4B"/>
    <w:rsid w:val="5D964370"/>
    <w:rsid w:val="5D977470"/>
    <w:rsid w:val="5D997B9D"/>
    <w:rsid w:val="5D9A3915"/>
    <w:rsid w:val="5DA14CA4"/>
    <w:rsid w:val="5DA64068"/>
    <w:rsid w:val="5DA86032"/>
    <w:rsid w:val="5DAB167E"/>
    <w:rsid w:val="5DAD189A"/>
    <w:rsid w:val="5DAF73C1"/>
    <w:rsid w:val="5DB03139"/>
    <w:rsid w:val="5DB20C5F"/>
    <w:rsid w:val="5DBA7B13"/>
    <w:rsid w:val="5DBD3CB4"/>
    <w:rsid w:val="5DC310BE"/>
    <w:rsid w:val="5DCA1109"/>
    <w:rsid w:val="5DCF5109"/>
    <w:rsid w:val="5DCF7A63"/>
    <w:rsid w:val="5DD21301"/>
    <w:rsid w:val="5DD77F48"/>
    <w:rsid w:val="5DD813D8"/>
    <w:rsid w:val="5DDB3583"/>
    <w:rsid w:val="5DDD2180"/>
    <w:rsid w:val="5DDE7CA6"/>
    <w:rsid w:val="5DE057CC"/>
    <w:rsid w:val="5DE132F2"/>
    <w:rsid w:val="5DE22614"/>
    <w:rsid w:val="5DE27796"/>
    <w:rsid w:val="5DE84681"/>
    <w:rsid w:val="5DED2C36"/>
    <w:rsid w:val="5DF474C9"/>
    <w:rsid w:val="5DF64FF0"/>
    <w:rsid w:val="5E007C1C"/>
    <w:rsid w:val="5E0239AE"/>
    <w:rsid w:val="5E062D59"/>
    <w:rsid w:val="5E0F1F1E"/>
    <w:rsid w:val="5E1831B8"/>
    <w:rsid w:val="5E190CDE"/>
    <w:rsid w:val="5E2751A9"/>
    <w:rsid w:val="5E30575B"/>
    <w:rsid w:val="5E3174E0"/>
    <w:rsid w:val="5E391214"/>
    <w:rsid w:val="5E39312E"/>
    <w:rsid w:val="5E3C52C0"/>
    <w:rsid w:val="5E432F68"/>
    <w:rsid w:val="5E443FAD"/>
    <w:rsid w:val="5E4A6AF2"/>
    <w:rsid w:val="5E4A70E9"/>
    <w:rsid w:val="5E4C4C10"/>
    <w:rsid w:val="5E4E4E2C"/>
    <w:rsid w:val="5E521F28"/>
    <w:rsid w:val="5E5265C4"/>
    <w:rsid w:val="5E543AC4"/>
    <w:rsid w:val="5E5552DD"/>
    <w:rsid w:val="5E587A58"/>
    <w:rsid w:val="5E620AE3"/>
    <w:rsid w:val="5E624433"/>
    <w:rsid w:val="5E631355"/>
    <w:rsid w:val="5E6716FA"/>
    <w:rsid w:val="5E6E2DD8"/>
    <w:rsid w:val="5E6E38D7"/>
    <w:rsid w:val="5E6F4DA2"/>
    <w:rsid w:val="5E6F53FC"/>
    <w:rsid w:val="5E744166"/>
    <w:rsid w:val="5E7F3237"/>
    <w:rsid w:val="5E7F68C9"/>
    <w:rsid w:val="5E8063D9"/>
    <w:rsid w:val="5E826883"/>
    <w:rsid w:val="5E86320C"/>
    <w:rsid w:val="5E8C325E"/>
    <w:rsid w:val="5E8C5954"/>
    <w:rsid w:val="5E8E347A"/>
    <w:rsid w:val="5E916AC6"/>
    <w:rsid w:val="5E930A90"/>
    <w:rsid w:val="5E964DBA"/>
    <w:rsid w:val="5E9B5561"/>
    <w:rsid w:val="5E9B5562"/>
    <w:rsid w:val="5E9D190F"/>
    <w:rsid w:val="5E9F11E3"/>
    <w:rsid w:val="5EA06D09"/>
    <w:rsid w:val="5EA365CE"/>
    <w:rsid w:val="5EA42985"/>
    <w:rsid w:val="5EA73B72"/>
    <w:rsid w:val="5EB17168"/>
    <w:rsid w:val="5EB24A76"/>
    <w:rsid w:val="5EB32EE1"/>
    <w:rsid w:val="5EB34C8F"/>
    <w:rsid w:val="5EB36A3D"/>
    <w:rsid w:val="5EB439B7"/>
    <w:rsid w:val="5EB50A07"/>
    <w:rsid w:val="5EB804F7"/>
    <w:rsid w:val="5EBA2934"/>
    <w:rsid w:val="5EBD5B0D"/>
    <w:rsid w:val="5EBE53E1"/>
    <w:rsid w:val="5EBF1885"/>
    <w:rsid w:val="5EC549C2"/>
    <w:rsid w:val="5ECB35CA"/>
    <w:rsid w:val="5ECC5D50"/>
    <w:rsid w:val="5ECF168A"/>
    <w:rsid w:val="5ECF75EF"/>
    <w:rsid w:val="5ED03A93"/>
    <w:rsid w:val="5ED54C05"/>
    <w:rsid w:val="5ED66053"/>
    <w:rsid w:val="5ED83004"/>
    <w:rsid w:val="5EDB41E5"/>
    <w:rsid w:val="5EE000A3"/>
    <w:rsid w:val="5EEC01A1"/>
    <w:rsid w:val="5EED17F9"/>
    <w:rsid w:val="5EF37781"/>
    <w:rsid w:val="5EF86B45"/>
    <w:rsid w:val="5EF9172B"/>
    <w:rsid w:val="5F01129B"/>
    <w:rsid w:val="5F0153F2"/>
    <w:rsid w:val="5F024EB8"/>
    <w:rsid w:val="5F03403F"/>
    <w:rsid w:val="5F04373C"/>
    <w:rsid w:val="5F0454EA"/>
    <w:rsid w:val="5F053010"/>
    <w:rsid w:val="5F0E437F"/>
    <w:rsid w:val="5F1020E1"/>
    <w:rsid w:val="5F143405"/>
    <w:rsid w:val="5F164E84"/>
    <w:rsid w:val="5F180F96"/>
    <w:rsid w:val="5F1A3805"/>
    <w:rsid w:val="5F20741E"/>
    <w:rsid w:val="5F2502F1"/>
    <w:rsid w:val="5F2636B2"/>
    <w:rsid w:val="5F274BAB"/>
    <w:rsid w:val="5F2913F5"/>
    <w:rsid w:val="5F2D2C93"/>
    <w:rsid w:val="5F3062DF"/>
    <w:rsid w:val="5F335DCF"/>
    <w:rsid w:val="5F337B7D"/>
    <w:rsid w:val="5F36189D"/>
    <w:rsid w:val="5F37766E"/>
    <w:rsid w:val="5F3C4C84"/>
    <w:rsid w:val="5F3F4774"/>
    <w:rsid w:val="5F410263"/>
    <w:rsid w:val="5F426012"/>
    <w:rsid w:val="5F4973A1"/>
    <w:rsid w:val="5F4C6694"/>
    <w:rsid w:val="5F50072F"/>
    <w:rsid w:val="5F5226F9"/>
    <w:rsid w:val="5F530220"/>
    <w:rsid w:val="5F5521EA"/>
    <w:rsid w:val="5F5A15AE"/>
    <w:rsid w:val="5F5D1CEF"/>
    <w:rsid w:val="5F5D2E4C"/>
    <w:rsid w:val="5F602F3B"/>
    <w:rsid w:val="5F6441DB"/>
    <w:rsid w:val="5F661D01"/>
    <w:rsid w:val="5F6D308F"/>
    <w:rsid w:val="5F716F1F"/>
    <w:rsid w:val="5F731055"/>
    <w:rsid w:val="5F73751C"/>
    <w:rsid w:val="5F7741D1"/>
    <w:rsid w:val="5F782D2E"/>
    <w:rsid w:val="5F797C86"/>
    <w:rsid w:val="5F8507A1"/>
    <w:rsid w:val="5F8A1E93"/>
    <w:rsid w:val="5F8D3732"/>
    <w:rsid w:val="5F8F794A"/>
    <w:rsid w:val="5F904FD0"/>
    <w:rsid w:val="5F950838"/>
    <w:rsid w:val="5F954394"/>
    <w:rsid w:val="5F9C361C"/>
    <w:rsid w:val="5FA016B7"/>
    <w:rsid w:val="5FA36AB1"/>
    <w:rsid w:val="5FAD3EA6"/>
    <w:rsid w:val="5FB23198"/>
    <w:rsid w:val="5FB378F9"/>
    <w:rsid w:val="5FB52C88"/>
    <w:rsid w:val="5FB567E4"/>
    <w:rsid w:val="5FB707AE"/>
    <w:rsid w:val="5FB94527"/>
    <w:rsid w:val="5FB964F5"/>
    <w:rsid w:val="5FB96CD1"/>
    <w:rsid w:val="5FBE38EB"/>
    <w:rsid w:val="5FC058B5"/>
    <w:rsid w:val="5FC25BBF"/>
    <w:rsid w:val="5FC37153"/>
    <w:rsid w:val="5FC52ECB"/>
    <w:rsid w:val="5FC55CDC"/>
    <w:rsid w:val="5FD0361E"/>
    <w:rsid w:val="5FD17AC2"/>
    <w:rsid w:val="5FD21144"/>
    <w:rsid w:val="5FD41360"/>
    <w:rsid w:val="5FD50C35"/>
    <w:rsid w:val="5FD56457"/>
    <w:rsid w:val="5FD663D5"/>
    <w:rsid w:val="5FDA41F3"/>
    <w:rsid w:val="5FDC0215"/>
    <w:rsid w:val="5FDF6C2A"/>
    <w:rsid w:val="5FE07D05"/>
    <w:rsid w:val="5FE315A4"/>
    <w:rsid w:val="5FE570CA"/>
    <w:rsid w:val="5FE62E42"/>
    <w:rsid w:val="5FED2422"/>
    <w:rsid w:val="5FF11F12"/>
    <w:rsid w:val="5FF94923"/>
    <w:rsid w:val="5FFF5CB2"/>
    <w:rsid w:val="60107EBF"/>
    <w:rsid w:val="60114363"/>
    <w:rsid w:val="60133999"/>
    <w:rsid w:val="6014175D"/>
    <w:rsid w:val="60157FFC"/>
    <w:rsid w:val="60184133"/>
    <w:rsid w:val="601E438A"/>
    <w:rsid w:val="60244E15"/>
    <w:rsid w:val="602A2D2E"/>
    <w:rsid w:val="602B6524"/>
    <w:rsid w:val="602F2A3B"/>
    <w:rsid w:val="602F6597"/>
    <w:rsid w:val="60310561"/>
    <w:rsid w:val="60341DFF"/>
    <w:rsid w:val="603911C4"/>
    <w:rsid w:val="603C0CB4"/>
    <w:rsid w:val="60402552"/>
    <w:rsid w:val="6042276E"/>
    <w:rsid w:val="6052544F"/>
    <w:rsid w:val="60561D75"/>
    <w:rsid w:val="60591866"/>
    <w:rsid w:val="60593F9F"/>
    <w:rsid w:val="605E0C2A"/>
    <w:rsid w:val="60653E50"/>
    <w:rsid w:val="60654AFE"/>
    <w:rsid w:val="60700B70"/>
    <w:rsid w:val="60715D4A"/>
    <w:rsid w:val="60716DDB"/>
    <w:rsid w:val="6074044E"/>
    <w:rsid w:val="60765F74"/>
    <w:rsid w:val="60844B35"/>
    <w:rsid w:val="6085265B"/>
    <w:rsid w:val="608A3D9A"/>
    <w:rsid w:val="608A5EC3"/>
    <w:rsid w:val="608F7035"/>
    <w:rsid w:val="60932FCA"/>
    <w:rsid w:val="609603C4"/>
    <w:rsid w:val="6098413C"/>
    <w:rsid w:val="60A04AF7"/>
    <w:rsid w:val="60AA20C1"/>
    <w:rsid w:val="60AA3E6F"/>
    <w:rsid w:val="60AF592A"/>
    <w:rsid w:val="60B371C8"/>
    <w:rsid w:val="60BB08D0"/>
    <w:rsid w:val="60BD0047"/>
    <w:rsid w:val="60BF5B6D"/>
    <w:rsid w:val="60C07B37"/>
    <w:rsid w:val="60C2206A"/>
    <w:rsid w:val="60C57EDF"/>
    <w:rsid w:val="60C969EB"/>
    <w:rsid w:val="60D04B86"/>
    <w:rsid w:val="60D31618"/>
    <w:rsid w:val="60D4713E"/>
    <w:rsid w:val="60D84E80"/>
    <w:rsid w:val="60D918DE"/>
    <w:rsid w:val="60DF1D6B"/>
    <w:rsid w:val="60E05AE3"/>
    <w:rsid w:val="60E70C20"/>
    <w:rsid w:val="60E750C3"/>
    <w:rsid w:val="60E90E3C"/>
    <w:rsid w:val="60E92BEA"/>
    <w:rsid w:val="60EC092C"/>
    <w:rsid w:val="60F021CA"/>
    <w:rsid w:val="60F31CBA"/>
    <w:rsid w:val="60F63C99"/>
    <w:rsid w:val="60F82E2D"/>
    <w:rsid w:val="60FF1FCF"/>
    <w:rsid w:val="60FF41BB"/>
    <w:rsid w:val="610046C4"/>
    <w:rsid w:val="61045C75"/>
    <w:rsid w:val="6106379C"/>
    <w:rsid w:val="61066396"/>
    <w:rsid w:val="61072E68"/>
    <w:rsid w:val="610B7637"/>
    <w:rsid w:val="610C68D8"/>
    <w:rsid w:val="610D0751"/>
    <w:rsid w:val="610D5223"/>
    <w:rsid w:val="61121861"/>
    <w:rsid w:val="61124939"/>
    <w:rsid w:val="61147259"/>
    <w:rsid w:val="611834CF"/>
    <w:rsid w:val="611A2DA3"/>
    <w:rsid w:val="611B6B1B"/>
    <w:rsid w:val="61243248"/>
    <w:rsid w:val="6129748A"/>
    <w:rsid w:val="612E2CF2"/>
    <w:rsid w:val="612E55A2"/>
    <w:rsid w:val="61314591"/>
    <w:rsid w:val="61354081"/>
    <w:rsid w:val="6138147B"/>
    <w:rsid w:val="613F0A5C"/>
    <w:rsid w:val="61461DEA"/>
    <w:rsid w:val="614918DA"/>
    <w:rsid w:val="614B5652"/>
    <w:rsid w:val="614C4684"/>
    <w:rsid w:val="614C4F26"/>
    <w:rsid w:val="614D2730"/>
    <w:rsid w:val="61502C69"/>
    <w:rsid w:val="615458E4"/>
    <w:rsid w:val="6155027F"/>
    <w:rsid w:val="61554954"/>
    <w:rsid w:val="61564BE3"/>
    <w:rsid w:val="61565DA5"/>
    <w:rsid w:val="615A312F"/>
    <w:rsid w:val="615A7643"/>
    <w:rsid w:val="615B2E7E"/>
    <w:rsid w:val="6160569B"/>
    <w:rsid w:val="61614E76"/>
    <w:rsid w:val="61616C24"/>
    <w:rsid w:val="61622D95"/>
    <w:rsid w:val="616553D8"/>
    <w:rsid w:val="61693D2A"/>
    <w:rsid w:val="616B1851"/>
    <w:rsid w:val="616C2131"/>
    <w:rsid w:val="616E30EF"/>
    <w:rsid w:val="61720E31"/>
    <w:rsid w:val="61761FA3"/>
    <w:rsid w:val="617C0E38"/>
    <w:rsid w:val="61804119"/>
    <w:rsid w:val="61811074"/>
    <w:rsid w:val="61824E34"/>
    <w:rsid w:val="618359D3"/>
    <w:rsid w:val="61840B64"/>
    <w:rsid w:val="61842912"/>
    <w:rsid w:val="61860438"/>
    <w:rsid w:val="61891CD7"/>
    <w:rsid w:val="618943CD"/>
    <w:rsid w:val="6190329A"/>
    <w:rsid w:val="61912863"/>
    <w:rsid w:val="6192502F"/>
    <w:rsid w:val="619441F5"/>
    <w:rsid w:val="61957F79"/>
    <w:rsid w:val="61981990"/>
    <w:rsid w:val="619D1DAD"/>
    <w:rsid w:val="619F14FA"/>
    <w:rsid w:val="619F774C"/>
    <w:rsid w:val="61A15272"/>
    <w:rsid w:val="61A35486"/>
    <w:rsid w:val="61A46B11"/>
    <w:rsid w:val="61B72CE8"/>
    <w:rsid w:val="61B77C97"/>
    <w:rsid w:val="61BA6334"/>
    <w:rsid w:val="61BB146B"/>
    <w:rsid w:val="61BB7E6E"/>
    <w:rsid w:val="61BE27C6"/>
    <w:rsid w:val="61C0178A"/>
    <w:rsid w:val="61C325D8"/>
    <w:rsid w:val="61C62BDA"/>
    <w:rsid w:val="61C80A51"/>
    <w:rsid w:val="61C84EF5"/>
    <w:rsid w:val="61C96577"/>
    <w:rsid w:val="61CA2A1B"/>
    <w:rsid w:val="61CA3FFA"/>
    <w:rsid w:val="61CA6B5B"/>
    <w:rsid w:val="61CB22EF"/>
    <w:rsid w:val="61CF0031"/>
    <w:rsid w:val="61D218D0"/>
    <w:rsid w:val="61D373F6"/>
    <w:rsid w:val="61D54F1C"/>
    <w:rsid w:val="61D75138"/>
    <w:rsid w:val="61D873DC"/>
    <w:rsid w:val="61E0223F"/>
    <w:rsid w:val="61E15FB7"/>
    <w:rsid w:val="61E17D65"/>
    <w:rsid w:val="61E37639"/>
    <w:rsid w:val="61E433B1"/>
    <w:rsid w:val="61E57855"/>
    <w:rsid w:val="61E73B15"/>
    <w:rsid w:val="61EB473F"/>
    <w:rsid w:val="61EC6B7C"/>
    <w:rsid w:val="61F41846"/>
    <w:rsid w:val="61F730E4"/>
    <w:rsid w:val="61F82A63"/>
    <w:rsid w:val="61F93300"/>
    <w:rsid w:val="61FC694D"/>
    <w:rsid w:val="61FD304F"/>
    <w:rsid w:val="62016E6C"/>
    <w:rsid w:val="62031A89"/>
    <w:rsid w:val="6206432F"/>
    <w:rsid w:val="62065A1D"/>
    <w:rsid w:val="620677CB"/>
    <w:rsid w:val="620B6B90"/>
    <w:rsid w:val="620C3034"/>
    <w:rsid w:val="621023F8"/>
    <w:rsid w:val="621131CD"/>
    <w:rsid w:val="62173341"/>
    <w:rsid w:val="62173786"/>
    <w:rsid w:val="621748AF"/>
    <w:rsid w:val="621912AD"/>
    <w:rsid w:val="621C0D9D"/>
    <w:rsid w:val="621D108A"/>
    <w:rsid w:val="621E68C3"/>
    <w:rsid w:val="62214605"/>
    <w:rsid w:val="6223212B"/>
    <w:rsid w:val="622430DE"/>
    <w:rsid w:val="622602A8"/>
    <w:rsid w:val="62265778"/>
    <w:rsid w:val="622C3B9E"/>
    <w:rsid w:val="62326812"/>
    <w:rsid w:val="62344338"/>
    <w:rsid w:val="623E51B7"/>
    <w:rsid w:val="62456545"/>
    <w:rsid w:val="62457515"/>
    <w:rsid w:val="624B3430"/>
    <w:rsid w:val="624C1682"/>
    <w:rsid w:val="624C55E7"/>
    <w:rsid w:val="624D552C"/>
    <w:rsid w:val="624D71A8"/>
    <w:rsid w:val="624E53D8"/>
    <w:rsid w:val="62546789"/>
    <w:rsid w:val="625C73EB"/>
    <w:rsid w:val="62603B4C"/>
    <w:rsid w:val="6260512D"/>
    <w:rsid w:val="62612C54"/>
    <w:rsid w:val="62662018"/>
    <w:rsid w:val="626764BC"/>
    <w:rsid w:val="626A1B08"/>
    <w:rsid w:val="626B4F39"/>
    <w:rsid w:val="626D18C8"/>
    <w:rsid w:val="62721F2C"/>
    <w:rsid w:val="62743903"/>
    <w:rsid w:val="62782477"/>
    <w:rsid w:val="627E55B4"/>
    <w:rsid w:val="629421C8"/>
    <w:rsid w:val="62944EA3"/>
    <w:rsid w:val="62960B4F"/>
    <w:rsid w:val="62970423"/>
    <w:rsid w:val="629D1EDE"/>
    <w:rsid w:val="629E17B2"/>
    <w:rsid w:val="62A32E82"/>
    <w:rsid w:val="62A414BE"/>
    <w:rsid w:val="62A62AC1"/>
    <w:rsid w:val="62AF6C8D"/>
    <w:rsid w:val="62B17EBA"/>
    <w:rsid w:val="62B80AC5"/>
    <w:rsid w:val="62B871F3"/>
    <w:rsid w:val="62BF00A6"/>
    <w:rsid w:val="62C54F90"/>
    <w:rsid w:val="62C57C67"/>
    <w:rsid w:val="62D17DD9"/>
    <w:rsid w:val="62D3168C"/>
    <w:rsid w:val="62D33B51"/>
    <w:rsid w:val="62D376AD"/>
    <w:rsid w:val="62D77FFB"/>
    <w:rsid w:val="62D95649"/>
    <w:rsid w:val="62DA4EE0"/>
    <w:rsid w:val="62E0626E"/>
    <w:rsid w:val="62E93375"/>
    <w:rsid w:val="62E95123"/>
    <w:rsid w:val="62EC29D7"/>
    <w:rsid w:val="62EE7C38"/>
    <w:rsid w:val="62EF025F"/>
    <w:rsid w:val="62EF6ED7"/>
    <w:rsid w:val="62F3093F"/>
    <w:rsid w:val="62F330EE"/>
    <w:rsid w:val="62F37D50"/>
    <w:rsid w:val="62F53AC8"/>
    <w:rsid w:val="62F615EE"/>
    <w:rsid w:val="62FB30A8"/>
    <w:rsid w:val="62FE04A2"/>
    <w:rsid w:val="63052056"/>
    <w:rsid w:val="63057A83"/>
    <w:rsid w:val="630930CF"/>
    <w:rsid w:val="63100901"/>
    <w:rsid w:val="631120C6"/>
    <w:rsid w:val="63133F4E"/>
    <w:rsid w:val="631A352E"/>
    <w:rsid w:val="631A52DC"/>
    <w:rsid w:val="631B1054"/>
    <w:rsid w:val="631B72A6"/>
    <w:rsid w:val="63211CAF"/>
    <w:rsid w:val="632224A9"/>
    <w:rsid w:val="632435CE"/>
    <w:rsid w:val="632443AD"/>
    <w:rsid w:val="632717A7"/>
    <w:rsid w:val="632919C3"/>
    <w:rsid w:val="632945F8"/>
    <w:rsid w:val="632B74E9"/>
    <w:rsid w:val="63326548"/>
    <w:rsid w:val="63371D21"/>
    <w:rsid w:val="633B746C"/>
    <w:rsid w:val="633F4D43"/>
    <w:rsid w:val="63424833"/>
    <w:rsid w:val="6349119B"/>
    <w:rsid w:val="634917F3"/>
    <w:rsid w:val="63493E13"/>
    <w:rsid w:val="634A44F1"/>
    <w:rsid w:val="634E31D8"/>
    <w:rsid w:val="635051A2"/>
    <w:rsid w:val="635146E0"/>
    <w:rsid w:val="63556314"/>
    <w:rsid w:val="63585E05"/>
    <w:rsid w:val="635972A1"/>
    <w:rsid w:val="635A1B7D"/>
    <w:rsid w:val="635D166D"/>
    <w:rsid w:val="63627A9D"/>
    <w:rsid w:val="636429FB"/>
    <w:rsid w:val="63647CB4"/>
    <w:rsid w:val="63676048"/>
    <w:rsid w:val="636B3F9F"/>
    <w:rsid w:val="636C43F1"/>
    <w:rsid w:val="636E5628"/>
    <w:rsid w:val="637D1F2E"/>
    <w:rsid w:val="637D586B"/>
    <w:rsid w:val="637E4A58"/>
    <w:rsid w:val="637F3391"/>
    <w:rsid w:val="637F37A2"/>
    <w:rsid w:val="638210D3"/>
    <w:rsid w:val="6388493C"/>
    <w:rsid w:val="638B61DA"/>
    <w:rsid w:val="638C4E01"/>
    <w:rsid w:val="639026F6"/>
    <w:rsid w:val="63952BB5"/>
    <w:rsid w:val="6395573F"/>
    <w:rsid w:val="639C03E7"/>
    <w:rsid w:val="63A177AC"/>
    <w:rsid w:val="63A31776"/>
    <w:rsid w:val="63A6046B"/>
    <w:rsid w:val="63AE3C76"/>
    <w:rsid w:val="63AF0C1D"/>
    <w:rsid w:val="63B15515"/>
    <w:rsid w:val="63B45ED8"/>
    <w:rsid w:val="63B70D7D"/>
    <w:rsid w:val="63B76FCF"/>
    <w:rsid w:val="63BC45E5"/>
    <w:rsid w:val="63BC6393"/>
    <w:rsid w:val="63C11BFC"/>
    <w:rsid w:val="63C35974"/>
    <w:rsid w:val="63C4349A"/>
    <w:rsid w:val="63C60FC0"/>
    <w:rsid w:val="63C74D38"/>
    <w:rsid w:val="63CB65D6"/>
    <w:rsid w:val="63CD67F3"/>
    <w:rsid w:val="63D23E09"/>
    <w:rsid w:val="63D306C2"/>
    <w:rsid w:val="63D53785"/>
    <w:rsid w:val="63D74F7B"/>
    <w:rsid w:val="63D77671"/>
    <w:rsid w:val="63DA2CBD"/>
    <w:rsid w:val="63DC07E4"/>
    <w:rsid w:val="63DC251F"/>
    <w:rsid w:val="63DF6526"/>
    <w:rsid w:val="63E1404C"/>
    <w:rsid w:val="63E36B26"/>
    <w:rsid w:val="63E63410"/>
    <w:rsid w:val="63E678B4"/>
    <w:rsid w:val="63E94CAF"/>
    <w:rsid w:val="63E95064"/>
    <w:rsid w:val="63ED29F1"/>
    <w:rsid w:val="63EE6769"/>
    <w:rsid w:val="63F273E5"/>
    <w:rsid w:val="63F35EC1"/>
    <w:rsid w:val="63FA0DEA"/>
    <w:rsid w:val="63FC2C34"/>
    <w:rsid w:val="63FD1D3B"/>
    <w:rsid w:val="63FF0976"/>
    <w:rsid w:val="63FF220F"/>
    <w:rsid w:val="64004923"/>
    <w:rsid w:val="64030466"/>
    <w:rsid w:val="64055F8C"/>
    <w:rsid w:val="640970FF"/>
    <w:rsid w:val="640F5EB6"/>
    <w:rsid w:val="640F6E0B"/>
    <w:rsid w:val="6410048D"/>
    <w:rsid w:val="64104931"/>
    <w:rsid w:val="641066DF"/>
    <w:rsid w:val="64137F7D"/>
    <w:rsid w:val="6417181C"/>
    <w:rsid w:val="64175CC0"/>
    <w:rsid w:val="64182E0A"/>
    <w:rsid w:val="641A755E"/>
    <w:rsid w:val="641C32D6"/>
    <w:rsid w:val="641E0C4D"/>
    <w:rsid w:val="641F4B74"/>
    <w:rsid w:val="64292F48"/>
    <w:rsid w:val="642C3D00"/>
    <w:rsid w:val="642D6531"/>
    <w:rsid w:val="6431668F"/>
    <w:rsid w:val="64333354"/>
    <w:rsid w:val="64346872"/>
    <w:rsid w:val="64357C70"/>
    <w:rsid w:val="6436668B"/>
    <w:rsid w:val="64393E88"/>
    <w:rsid w:val="643F0951"/>
    <w:rsid w:val="64406915"/>
    <w:rsid w:val="64410F8F"/>
    <w:rsid w:val="64412D3D"/>
    <w:rsid w:val="64416899"/>
    <w:rsid w:val="64446389"/>
    <w:rsid w:val="64484BB5"/>
    <w:rsid w:val="64485E79"/>
    <w:rsid w:val="644A7E43"/>
    <w:rsid w:val="644B5969"/>
    <w:rsid w:val="644C6F25"/>
    <w:rsid w:val="644E49FD"/>
    <w:rsid w:val="644F48B8"/>
    <w:rsid w:val="64550596"/>
    <w:rsid w:val="645B3DFE"/>
    <w:rsid w:val="64632CB3"/>
    <w:rsid w:val="64634A61"/>
    <w:rsid w:val="646B5447"/>
    <w:rsid w:val="646D3B32"/>
    <w:rsid w:val="64721148"/>
    <w:rsid w:val="64737ACB"/>
    <w:rsid w:val="64744EC0"/>
    <w:rsid w:val="6477675E"/>
    <w:rsid w:val="647B6F42"/>
    <w:rsid w:val="648D1ADE"/>
    <w:rsid w:val="64923598"/>
    <w:rsid w:val="649317EA"/>
    <w:rsid w:val="649966D5"/>
    <w:rsid w:val="649E018F"/>
    <w:rsid w:val="64A05CB5"/>
    <w:rsid w:val="64A16B26"/>
    <w:rsid w:val="64A357A5"/>
    <w:rsid w:val="64A550BA"/>
    <w:rsid w:val="64A90948"/>
    <w:rsid w:val="64AC6AC4"/>
    <w:rsid w:val="64AD2180"/>
    <w:rsid w:val="64AF64BE"/>
    <w:rsid w:val="64B25785"/>
    <w:rsid w:val="64B27796"/>
    <w:rsid w:val="64B56C4A"/>
    <w:rsid w:val="64B61035"/>
    <w:rsid w:val="64B6348B"/>
    <w:rsid w:val="64B654D9"/>
    <w:rsid w:val="64B97399"/>
    <w:rsid w:val="64BB2CCB"/>
    <w:rsid w:val="64C5396E"/>
    <w:rsid w:val="64C9037A"/>
    <w:rsid w:val="64CA0F84"/>
    <w:rsid w:val="64CF3D12"/>
    <w:rsid w:val="64D4770D"/>
    <w:rsid w:val="64D616D7"/>
    <w:rsid w:val="64D70FAB"/>
    <w:rsid w:val="64D74E58"/>
    <w:rsid w:val="64D83614"/>
    <w:rsid w:val="64D836A1"/>
    <w:rsid w:val="64DB6CED"/>
    <w:rsid w:val="64DE0430"/>
    <w:rsid w:val="64E076E5"/>
    <w:rsid w:val="64E33DF4"/>
    <w:rsid w:val="64E91095"/>
    <w:rsid w:val="64E9765C"/>
    <w:rsid w:val="64EA7169"/>
    <w:rsid w:val="64ED07CF"/>
    <w:rsid w:val="64EF09EB"/>
    <w:rsid w:val="64F46D8F"/>
    <w:rsid w:val="64F80D81"/>
    <w:rsid w:val="64F81377"/>
    <w:rsid w:val="65013A71"/>
    <w:rsid w:val="6501408E"/>
    <w:rsid w:val="65030AD7"/>
    <w:rsid w:val="650A5824"/>
    <w:rsid w:val="650C334B"/>
    <w:rsid w:val="65105903"/>
    <w:rsid w:val="65150451"/>
    <w:rsid w:val="65167D25"/>
    <w:rsid w:val="651D10B4"/>
    <w:rsid w:val="65202952"/>
    <w:rsid w:val="65206DF6"/>
    <w:rsid w:val="652109E8"/>
    <w:rsid w:val="65270184"/>
    <w:rsid w:val="65271F32"/>
    <w:rsid w:val="652936CC"/>
    <w:rsid w:val="65297FE9"/>
    <w:rsid w:val="652F0533"/>
    <w:rsid w:val="65336B29"/>
    <w:rsid w:val="65366619"/>
    <w:rsid w:val="654301AA"/>
    <w:rsid w:val="65442779"/>
    <w:rsid w:val="65442AE4"/>
    <w:rsid w:val="6545060B"/>
    <w:rsid w:val="654725D5"/>
    <w:rsid w:val="654900FB"/>
    <w:rsid w:val="65494F78"/>
    <w:rsid w:val="654F3237"/>
    <w:rsid w:val="65547158"/>
    <w:rsid w:val="65556AA0"/>
    <w:rsid w:val="655820EC"/>
    <w:rsid w:val="655A669E"/>
    <w:rsid w:val="655B1BDC"/>
    <w:rsid w:val="655F791E"/>
    <w:rsid w:val="65646CE3"/>
    <w:rsid w:val="656B0071"/>
    <w:rsid w:val="656E14DE"/>
    <w:rsid w:val="656E2D6F"/>
    <w:rsid w:val="656F1A19"/>
    <w:rsid w:val="657038D9"/>
    <w:rsid w:val="65717652"/>
    <w:rsid w:val="65750352"/>
    <w:rsid w:val="65766A16"/>
    <w:rsid w:val="65770E52"/>
    <w:rsid w:val="6578278E"/>
    <w:rsid w:val="657F3B1C"/>
    <w:rsid w:val="65843B3E"/>
    <w:rsid w:val="65875F85"/>
    <w:rsid w:val="658D448B"/>
    <w:rsid w:val="658E5B0E"/>
    <w:rsid w:val="658F2F2B"/>
    <w:rsid w:val="6593581A"/>
    <w:rsid w:val="659375C8"/>
    <w:rsid w:val="65982E30"/>
    <w:rsid w:val="659C38E1"/>
    <w:rsid w:val="659D1ED5"/>
    <w:rsid w:val="659E3DC3"/>
    <w:rsid w:val="65A05841"/>
    <w:rsid w:val="65A11CE5"/>
    <w:rsid w:val="65A2780B"/>
    <w:rsid w:val="65A735E8"/>
    <w:rsid w:val="65AB2B63"/>
    <w:rsid w:val="65AC068A"/>
    <w:rsid w:val="65AD56FF"/>
    <w:rsid w:val="65AE61B0"/>
    <w:rsid w:val="65AE7F5E"/>
    <w:rsid w:val="65AF1C1C"/>
    <w:rsid w:val="65AF4E9D"/>
    <w:rsid w:val="65B5753E"/>
    <w:rsid w:val="65BA2DA7"/>
    <w:rsid w:val="65BC08CD"/>
    <w:rsid w:val="65BD64C9"/>
    <w:rsid w:val="65BF6897"/>
    <w:rsid w:val="65C62288"/>
    <w:rsid w:val="65D025CA"/>
    <w:rsid w:val="65D04378"/>
    <w:rsid w:val="65D11E92"/>
    <w:rsid w:val="65D21007"/>
    <w:rsid w:val="65D24D0D"/>
    <w:rsid w:val="65D57BE0"/>
    <w:rsid w:val="65D761E7"/>
    <w:rsid w:val="65D8322D"/>
    <w:rsid w:val="65DA51F7"/>
    <w:rsid w:val="65DE200E"/>
    <w:rsid w:val="65E044C8"/>
    <w:rsid w:val="65E120E1"/>
    <w:rsid w:val="65E45BA6"/>
    <w:rsid w:val="65E6594A"/>
    <w:rsid w:val="65E86F33"/>
    <w:rsid w:val="65E9368C"/>
    <w:rsid w:val="65E9543A"/>
    <w:rsid w:val="65EE2A50"/>
    <w:rsid w:val="65F22540"/>
    <w:rsid w:val="65F242EE"/>
    <w:rsid w:val="65F52031"/>
    <w:rsid w:val="65F71905"/>
    <w:rsid w:val="65FA31A3"/>
    <w:rsid w:val="65FC516D"/>
    <w:rsid w:val="65FF6A0B"/>
    <w:rsid w:val="660404C6"/>
    <w:rsid w:val="660A541B"/>
    <w:rsid w:val="660B1854"/>
    <w:rsid w:val="661532EB"/>
    <w:rsid w:val="661701F9"/>
    <w:rsid w:val="66214BD4"/>
    <w:rsid w:val="662270C4"/>
    <w:rsid w:val="662C0FE9"/>
    <w:rsid w:val="662E7893"/>
    <w:rsid w:val="662F5A11"/>
    <w:rsid w:val="6630127F"/>
    <w:rsid w:val="66311417"/>
    <w:rsid w:val="66320B8F"/>
    <w:rsid w:val="66326DE1"/>
    <w:rsid w:val="66346675"/>
    <w:rsid w:val="66377F53"/>
    <w:rsid w:val="663C37BC"/>
    <w:rsid w:val="66415276"/>
    <w:rsid w:val="66430FEE"/>
    <w:rsid w:val="664803B2"/>
    <w:rsid w:val="66486604"/>
    <w:rsid w:val="664A659D"/>
    <w:rsid w:val="665054B9"/>
    <w:rsid w:val="66522FDF"/>
    <w:rsid w:val="6655487D"/>
    <w:rsid w:val="665E3732"/>
    <w:rsid w:val="66644AC0"/>
    <w:rsid w:val="66651FD6"/>
    <w:rsid w:val="666D606B"/>
    <w:rsid w:val="6672784E"/>
    <w:rsid w:val="66742F55"/>
    <w:rsid w:val="6677058E"/>
    <w:rsid w:val="667B0788"/>
    <w:rsid w:val="667B7960"/>
    <w:rsid w:val="6684584E"/>
    <w:rsid w:val="66866E3C"/>
    <w:rsid w:val="668A09CB"/>
    <w:rsid w:val="668A3E99"/>
    <w:rsid w:val="668A5BEE"/>
    <w:rsid w:val="668F4233"/>
    <w:rsid w:val="6690502B"/>
    <w:rsid w:val="6691080B"/>
    <w:rsid w:val="66910D2B"/>
    <w:rsid w:val="66911A1A"/>
    <w:rsid w:val="6692787F"/>
    <w:rsid w:val="66954305"/>
    <w:rsid w:val="66974E96"/>
    <w:rsid w:val="669C06FE"/>
    <w:rsid w:val="669E42B5"/>
    <w:rsid w:val="669E6224"/>
    <w:rsid w:val="66A11AEE"/>
    <w:rsid w:val="66A51361"/>
    <w:rsid w:val="66A80E51"/>
    <w:rsid w:val="66A979FF"/>
    <w:rsid w:val="66AA18D5"/>
    <w:rsid w:val="66AC6B93"/>
    <w:rsid w:val="66AD6467"/>
    <w:rsid w:val="66B00FD3"/>
    <w:rsid w:val="66B05D23"/>
    <w:rsid w:val="66BC66AA"/>
    <w:rsid w:val="66C13CC1"/>
    <w:rsid w:val="66C17B04"/>
    <w:rsid w:val="66C33EDD"/>
    <w:rsid w:val="66C37A39"/>
    <w:rsid w:val="66C832A1"/>
    <w:rsid w:val="66C8504F"/>
    <w:rsid w:val="66C93C02"/>
    <w:rsid w:val="66CA526B"/>
    <w:rsid w:val="66CC3515"/>
    <w:rsid w:val="66CD2666"/>
    <w:rsid w:val="66CD4D5B"/>
    <w:rsid w:val="66CF63DE"/>
    <w:rsid w:val="66D24120"/>
    <w:rsid w:val="66D6776C"/>
    <w:rsid w:val="66DA3A36"/>
    <w:rsid w:val="66E361A7"/>
    <w:rsid w:val="66E63727"/>
    <w:rsid w:val="66E660BB"/>
    <w:rsid w:val="66EA2866"/>
    <w:rsid w:val="66EF082E"/>
    <w:rsid w:val="66F10A4A"/>
    <w:rsid w:val="66F26570"/>
    <w:rsid w:val="66F26971"/>
    <w:rsid w:val="66F347C2"/>
    <w:rsid w:val="66F422E8"/>
    <w:rsid w:val="66F67E0E"/>
    <w:rsid w:val="66FF0AC5"/>
    <w:rsid w:val="67002A3B"/>
    <w:rsid w:val="67010C0E"/>
    <w:rsid w:val="6703077D"/>
    <w:rsid w:val="6703252B"/>
    <w:rsid w:val="670342D9"/>
    <w:rsid w:val="67044000"/>
    <w:rsid w:val="6707201B"/>
    <w:rsid w:val="67077D69"/>
    <w:rsid w:val="670822F0"/>
    <w:rsid w:val="670C6867"/>
    <w:rsid w:val="670D6F06"/>
    <w:rsid w:val="67136C12"/>
    <w:rsid w:val="6714599D"/>
    <w:rsid w:val="6718068C"/>
    <w:rsid w:val="67194E0C"/>
    <w:rsid w:val="671A443C"/>
    <w:rsid w:val="672901E4"/>
    <w:rsid w:val="672B4730"/>
    <w:rsid w:val="67310E46"/>
    <w:rsid w:val="673152EA"/>
    <w:rsid w:val="67317098"/>
    <w:rsid w:val="673707DD"/>
    <w:rsid w:val="67377D3B"/>
    <w:rsid w:val="673821D5"/>
    <w:rsid w:val="67397CFB"/>
    <w:rsid w:val="673F17B5"/>
    <w:rsid w:val="67424E02"/>
    <w:rsid w:val="67452B44"/>
    <w:rsid w:val="67454E12"/>
    <w:rsid w:val="674566A0"/>
    <w:rsid w:val="67470FBF"/>
    <w:rsid w:val="674768BC"/>
    <w:rsid w:val="674A5FB2"/>
    <w:rsid w:val="674A64E0"/>
    <w:rsid w:val="6751773B"/>
    <w:rsid w:val="67535261"/>
    <w:rsid w:val="675A043F"/>
    <w:rsid w:val="675D1C3B"/>
    <w:rsid w:val="67641E15"/>
    <w:rsid w:val="67654F94"/>
    <w:rsid w:val="676B6329"/>
    <w:rsid w:val="676E3E49"/>
    <w:rsid w:val="677376B1"/>
    <w:rsid w:val="677B0314"/>
    <w:rsid w:val="677B47B7"/>
    <w:rsid w:val="6780592A"/>
    <w:rsid w:val="67825B46"/>
    <w:rsid w:val="678371C8"/>
    <w:rsid w:val="67874F0A"/>
    <w:rsid w:val="67876CB8"/>
    <w:rsid w:val="678B5434"/>
    <w:rsid w:val="67910FC7"/>
    <w:rsid w:val="67911004"/>
    <w:rsid w:val="67980EC5"/>
    <w:rsid w:val="679B09B6"/>
    <w:rsid w:val="679D4253"/>
    <w:rsid w:val="67A27F96"/>
    <w:rsid w:val="67A3297F"/>
    <w:rsid w:val="67A555B6"/>
    <w:rsid w:val="67A91325"/>
    <w:rsid w:val="67AA29A7"/>
    <w:rsid w:val="67AF7FBD"/>
    <w:rsid w:val="67B5623D"/>
    <w:rsid w:val="67B7797C"/>
    <w:rsid w:val="67B80E5B"/>
    <w:rsid w:val="67B83316"/>
    <w:rsid w:val="67B850C4"/>
    <w:rsid w:val="67BD6B7E"/>
    <w:rsid w:val="67BF28F6"/>
    <w:rsid w:val="67BF2B88"/>
    <w:rsid w:val="67C10A7D"/>
    <w:rsid w:val="67C22E22"/>
    <w:rsid w:val="67C779FD"/>
    <w:rsid w:val="67D5211A"/>
    <w:rsid w:val="67D839B8"/>
    <w:rsid w:val="67DB7EBF"/>
    <w:rsid w:val="67E22141"/>
    <w:rsid w:val="67E66902"/>
    <w:rsid w:val="67E73BFB"/>
    <w:rsid w:val="67E83ECF"/>
    <w:rsid w:val="67EC1211"/>
    <w:rsid w:val="67EE0AE5"/>
    <w:rsid w:val="67EE31DB"/>
    <w:rsid w:val="67F0660F"/>
    <w:rsid w:val="67F3434E"/>
    <w:rsid w:val="67F85C34"/>
    <w:rsid w:val="68000819"/>
    <w:rsid w:val="680234A2"/>
    <w:rsid w:val="680622D3"/>
    <w:rsid w:val="68083FAD"/>
    <w:rsid w:val="68095B31"/>
    <w:rsid w:val="680B78E9"/>
    <w:rsid w:val="680E73DA"/>
    <w:rsid w:val="68103152"/>
    <w:rsid w:val="68126ECA"/>
    <w:rsid w:val="681413E6"/>
    <w:rsid w:val="681F6331"/>
    <w:rsid w:val="68213F33"/>
    <w:rsid w:val="68262975"/>
    <w:rsid w:val="68264723"/>
    <w:rsid w:val="682E5386"/>
    <w:rsid w:val="682F64A8"/>
    <w:rsid w:val="683010FE"/>
    <w:rsid w:val="6832790E"/>
    <w:rsid w:val="68330BEE"/>
    <w:rsid w:val="68342656"/>
    <w:rsid w:val="68354966"/>
    <w:rsid w:val="683706DE"/>
    <w:rsid w:val="683828A4"/>
    <w:rsid w:val="6839519B"/>
    <w:rsid w:val="683B72E1"/>
    <w:rsid w:val="683C5CF5"/>
    <w:rsid w:val="683F57E5"/>
    <w:rsid w:val="6841155D"/>
    <w:rsid w:val="68427403"/>
    <w:rsid w:val="684828EC"/>
    <w:rsid w:val="684B23DC"/>
    <w:rsid w:val="684F3C7A"/>
    <w:rsid w:val="68525518"/>
    <w:rsid w:val="68550B65"/>
    <w:rsid w:val="68580655"/>
    <w:rsid w:val="685B6B1A"/>
    <w:rsid w:val="685C0145"/>
    <w:rsid w:val="686414AA"/>
    <w:rsid w:val="6864524C"/>
    <w:rsid w:val="686F60CA"/>
    <w:rsid w:val="687234C5"/>
    <w:rsid w:val="687436E1"/>
    <w:rsid w:val="68751207"/>
    <w:rsid w:val="68774F7F"/>
    <w:rsid w:val="68790CF7"/>
    <w:rsid w:val="687967D3"/>
    <w:rsid w:val="687C07E7"/>
    <w:rsid w:val="687C4343"/>
    <w:rsid w:val="687D72E3"/>
    <w:rsid w:val="687E00BB"/>
    <w:rsid w:val="68802085"/>
    <w:rsid w:val="688431F8"/>
    <w:rsid w:val="688A7AA4"/>
    <w:rsid w:val="688D47A2"/>
    <w:rsid w:val="688E7107"/>
    <w:rsid w:val="688F6BC5"/>
    <w:rsid w:val="68921DB9"/>
    <w:rsid w:val="689324A5"/>
    <w:rsid w:val="689618A9"/>
    <w:rsid w:val="689720E1"/>
    <w:rsid w:val="68975621"/>
    <w:rsid w:val="68985664"/>
    <w:rsid w:val="68986ABC"/>
    <w:rsid w:val="689E250C"/>
    <w:rsid w:val="689F102B"/>
    <w:rsid w:val="68A613C0"/>
    <w:rsid w:val="68A65864"/>
    <w:rsid w:val="68A8338A"/>
    <w:rsid w:val="68B32A6E"/>
    <w:rsid w:val="68B52BFE"/>
    <w:rsid w:val="68C2756A"/>
    <w:rsid w:val="68C83A2C"/>
    <w:rsid w:val="68C877E1"/>
    <w:rsid w:val="68CA0D5A"/>
    <w:rsid w:val="68CD2A73"/>
    <w:rsid w:val="68CD4B9F"/>
    <w:rsid w:val="68D67EF7"/>
    <w:rsid w:val="68DC1286"/>
    <w:rsid w:val="68DF14EF"/>
    <w:rsid w:val="68E5022E"/>
    <w:rsid w:val="68EA5751"/>
    <w:rsid w:val="68F91E38"/>
    <w:rsid w:val="68F9610C"/>
    <w:rsid w:val="68FD1C09"/>
    <w:rsid w:val="68FE2FAA"/>
    <w:rsid w:val="69012A9A"/>
    <w:rsid w:val="690245F7"/>
    <w:rsid w:val="690802CD"/>
    <w:rsid w:val="69083EFC"/>
    <w:rsid w:val="69085BD7"/>
    <w:rsid w:val="690E43C7"/>
    <w:rsid w:val="690F3409"/>
    <w:rsid w:val="691B0000"/>
    <w:rsid w:val="691B1DAE"/>
    <w:rsid w:val="691B3B5C"/>
    <w:rsid w:val="691D5B26"/>
    <w:rsid w:val="69205616"/>
    <w:rsid w:val="692769A5"/>
    <w:rsid w:val="692844CB"/>
    <w:rsid w:val="692A45F1"/>
    <w:rsid w:val="69320EA6"/>
    <w:rsid w:val="69333419"/>
    <w:rsid w:val="693410C2"/>
    <w:rsid w:val="6934718B"/>
    <w:rsid w:val="69353973"/>
    <w:rsid w:val="69390486"/>
    <w:rsid w:val="693A17B3"/>
    <w:rsid w:val="693C06CE"/>
    <w:rsid w:val="693E5CE8"/>
    <w:rsid w:val="69447902"/>
    <w:rsid w:val="695020D0"/>
    <w:rsid w:val="695D2ADD"/>
    <w:rsid w:val="695F3A47"/>
    <w:rsid w:val="695F613F"/>
    <w:rsid w:val="69600663"/>
    <w:rsid w:val="6962178B"/>
    <w:rsid w:val="69676DA1"/>
    <w:rsid w:val="696A4AE4"/>
    <w:rsid w:val="69711A64"/>
    <w:rsid w:val="69723467"/>
    <w:rsid w:val="697B45FB"/>
    <w:rsid w:val="69827C8F"/>
    <w:rsid w:val="69831701"/>
    <w:rsid w:val="69855479"/>
    <w:rsid w:val="698956A2"/>
    <w:rsid w:val="6990454A"/>
    <w:rsid w:val="69912070"/>
    <w:rsid w:val="6994390F"/>
    <w:rsid w:val="699878C3"/>
    <w:rsid w:val="69990F25"/>
    <w:rsid w:val="69A55B1C"/>
    <w:rsid w:val="69AE49D0"/>
    <w:rsid w:val="69BF6BDD"/>
    <w:rsid w:val="69C064B2"/>
    <w:rsid w:val="69C42446"/>
    <w:rsid w:val="69C500A1"/>
    <w:rsid w:val="69C50153"/>
    <w:rsid w:val="69C51D1A"/>
    <w:rsid w:val="69CA7330"/>
    <w:rsid w:val="69CB37D4"/>
    <w:rsid w:val="69CD5DCF"/>
    <w:rsid w:val="69D1246D"/>
    <w:rsid w:val="69D34437"/>
    <w:rsid w:val="69D567BB"/>
    <w:rsid w:val="69D81A4D"/>
    <w:rsid w:val="69DA7573"/>
    <w:rsid w:val="69DD0FBC"/>
    <w:rsid w:val="69E00902"/>
    <w:rsid w:val="69E93C5A"/>
    <w:rsid w:val="69EA4DEB"/>
    <w:rsid w:val="69EC541D"/>
    <w:rsid w:val="69EC54F9"/>
    <w:rsid w:val="69EF7487"/>
    <w:rsid w:val="69F148BD"/>
    <w:rsid w:val="69F83E9D"/>
    <w:rsid w:val="69FA5E67"/>
    <w:rsid w:val="69FC1BE0"/>
    <w:rsid w:val="6A0171F6"/>
    <w:rsid w:val="6A044667"/>
    <w:rsid w:val="6A0555E6"/>
    <w:rsid w:val="6A06480C"/>
    <w:rsid w:val="6A0665BA"/>
    <w:rsid w:val="6A083266"/>
    <w:rsid w:val="6A0960AB"/>
    <w:rsid w:val="6A0B4BDE"/>
    <w:rsid w:val="6A0F2895"/>
    <w:rsid w:val="6A10568B"/>
    <w:rsid w:val="6A113B89"/>
    <w:rsid w:val="6A114F5F"/>
    <w:rsid w:val="6A154A4F"/>
    <w:rsid w:val="6A191D9D"/>
    <w:rsid w:val="6A1A3E14"/>
    <w:rsid w:val="6A1D1F7E"/>
    <w:rsid w:val="6A1D3BF5"/>
    <w:rsid w:val="6A2070D7"/>
    <w:rsid w:val="6A213464"/>
    <w:rsid w:val="6A2151A2"/>
    <w:rsid w:val="6A220F1A"/>
    <w:rsid w:val="6A243D9B"/>
    <w:rsid w:val="6A2525B6"/>
    <w:rsid w:val="6A27580E"/>
    <w:rsid w:val="6A277BE1"/>
    <w:rsid w:val="6A2922A9"/>
    <w:rsid w:val="6A2E1048"/>
    <w:rsid w:val="6A325601"/>
    <w:rsid w:val="6A3273AF"/>
    <w:rsid w:val="6A346FCB"/>
    <w:rsid w:val="6A38073E"/>
    <w:rsid w:val="6A386A4B"/>
    <w:rsid w:val="6A401B02"/>
    <w:rsid w:val="6A41474B"/>
    <w:rsid w:val="6A42760C"/>
    <w:rsid w:val="6A4378D2"/>
    <w:rsid w:val="6A453A85"/>
    <w:rsid w:val="6A4610AD"/>
    <w:rsid w:val="6A470981"/>
    <w:rsid w:val="6A486EA7"/>
    <w:rsid w:val="6A49294B"/>
    <w:rsid w:val="6A4946F9"/>
    <w:rsid w:val="6A4B0471"/>
    <w:rsid w:val="6A4D41E9"/>
    <w:rsid w:val="6A4E1D0F"/>
    <w:rsid w:val="6A535578"/>
    <w:rsid w:val="6A537326"/>
    <w:rsid w:val="6A5512F0"/>
    <w:rsid w:val="6A575068"/>
    <w:rsid w:val="6A5A06B4"/>
    <w:rsid w:val="6A5F6012"/>
    <w:rsid w:val="6A62486A"/>
    <w:rsid w:val="6A644A1B"/>
    <w:rsid w:val="6A660536"/>
    <w:rsid w:val="6A681023"/>
    <w:rsid w:val="6A682B6D"/>
    <w:rsid w:val="6A6A3846"/>
    <w:rsid w:val="6A6B0B13"/>
    <w:rsid w:val="6A6D03E7"/>
    <w:rsid w:val="6A6D6639"/>
    <w:rsid w:val="6A6E3115"/>
    <w:rsid w:val="6A7124CC"/>
    <w:rsid w:val="6A763EA4"/>
    <w:rsid w:val="6A771266"/>
    <w:rsid w:val="6A772D37"/>
    <w:rsid w:val="6A7B723E"/>
    <w:rsid w:val="6A7C1691"/>
    <w:rsid w:val="6A7F011B"/>
    <w:rsid w:val="6A846E2F"/>
    <w:rsid w:val="6A864D50"/>
    <w:rsid w:val="6A86594D"/>
    <w:rsid w:val="6A8D6CDC"/>
    <w:rsid w:val="6A933BC6"/>
    <w:rsid w:val="6A94006A"/>
    <w:rsid w:val="6A975CB1"/>
    <w:rsid w:val="6A9F07BD"/>
    <w:rsid w:val="6AA40BD1"/>
    <w:rsid w:val="6AA62461"/>
    <w:rsid w:val="6AA67D9D"/>
    <w:rsid w:val="6AA71074"/>
    <w:rsid w:val="6AAA11F3"/>
    <w:rsid w:val="6AAA1211"/>
    <w:rsid w:val="6AAD4C88"/>
    <w:rsid w:val="6AAE143F"/>
    <w:rsid w:val="6AAF2E61"/>
    <w:rsid w:val="6AAF6C52"/>
    <w:rsid w:val="6ABA1153"/>
    <w:rsid w:val="6ABB660F"/>
    <w:rsid w:val="6AC04348"/>
    <w:rsid w:val="6AC13863"/>
    <w:rsid w:val="6AC326FD"/>
    <w:rsid w:val="6AD27519"/>
    <w:rsid w:val="6AD60C55"/>
    <w:rsid w:val="6AD9782B"/>
    <w:rsid w:val="6ADF3A12"/>
    <w:rsid w:val="6AE15F64"/>
    <w:rsid w:val="6AE461D0"/>
    <w:rsid w:val="6AE663EC"/>
    <w:rsid w:val="6AEB3A02"/>
    <w:rsid w:val="6AED1DA4"/>
    <w:rsid w:val="6AED32D6"/>
    <w:rsid w:val="6AF061ED"/>
    <w:rsid w:val="6AF14816"/>
    <w:rsid w:val="6AF15EF2"/>
    <w:rsid w:val="6AF428B7"/>
    <w:rsid w:val="6AF44665"/>
    <w:rsid w:val="6AF732E3"/>
    <w:rsid w:val="6AFB1E97"/>
    <w:rsid w:val="6AFC79BD"/>
    <w:rsid w:val="6AFF300A"/>
    <w:rsid w:val="6B055A80"/>
    <w:rsid w:val="6B06493F"/>
    <w:rsid w:val="6B0B1936"/>
    <w:rsid w:val="6B0D1BCA"/>
    <w:rsid w:val="6B0D3978"/>
    <w:rsid w:val="6B0F149F"/>
    <w:rsid w:val="6B1116BB"/>
    <w:rsid w:val="6B122D3D"/>
    <w:rsid w:val="6B125415"/>
    <w:rsid w:val="6B125E79"/>
    <w:rsid w:val="6B146AB5"/>
    <w:rsid w:val="6B150BE5"/>
    <w:rsid w:val="6B1747F7"/>
    <w:rsid w:val="6B1C244B"/>
    <w:rsid w:val="6B1C3BBC"/>
    <w:rsid w:val="6B1D25C0"/>
    <w:rsid w:val="6B1F72A2"/>
    <w:rsid w:val="6B2036AC"/>
    <w:rsid w:val="6B2B3DFF"/>
    <w:rsid w:val="6B2D401B"/>
    <w:rsid w:val="6B36484F"/>
    <w:rsid w:val="6B377A31"/>
    <w:rsid w:val="6B3929BF"/>
    <w:rsid w:val="6B3B4041"/>
    <w:rsid w:val="6B3C54D1"/>
    <w:rsid w:val="6B3C600C"/>
    <w:rsid w:val="6B421EDF"/>
    <w:rsid w:val="6B475596"/>
    <w:rsid w:val="6B476E8A"/>
    <w:rsid w:val="6B4849B1"/>
    <w:rsid w:val="6B5275DD"/>
    <w:rsid w:val="6B533758"/>
    <w:rsid w:val="6B572E46"/>
    <w:rsid w:val="6B59096C"/>
    <w:rsid w:val="6B636B32"/>
    <w:rsid w:val="6B6704AB"/>
    <w:rsid w:val="6B6A03B6"/>
    <w:rsid w:val="6B6A2B79"/>
    <w:rsid w:val="6B6A7665"/>
    <w:rsid w:val="6B7439F8"/>
    <w:rsid w:val="6B777044"/>
    <w:rsid w:val="6B7832E1"/>
    <w:rsid w:val="6B786C2E"/>
    <w:rsid w:val="6B7E4876"/>
    <w:rsid w:val="6B800D4E"/>
    <w:rsid w:val="6B8208FC"/>
    <w:rsid w:val="6B84284F"/>
    <w:rsid w:val="6B87372B"/>
    <w:rsid w:val="6B8A321B"/>
    <w:rsid w:val="6B8A4FC9"/>
    <w:rsid w:val="6B8B7B05"/>
    <w:rsid w:val="6B904FCA"/>
    <w:rsid w:val="6B945E48"/>
    <w:rsid w:val="6B9876E6"/>
    <w:rsid w:val="6B99520C"/>
    <w:rsid w:val="6B9B2D32"/>
    <w:rsid w:val="6B9C0341"/>
    <w:rsid w:val="6B9D2F4E"/>
    <w:rsid w:val="6B9F6CC6"/>
    <w:rsid w:val="6BA35F1E"/>
    <w:rsid w:val="6BA633A5"/>
    <w:rsid w:val="6BA95681"/>
    <w:rsid w:val="6BAA11C7"/>
    <w:rsid w:val="6BB65DBE"/>
    <w:rsid w:val="6BB97CAF"/>
    <w:rsid w:val="6BBF2EC5"/>
    <w:rsid w:val="6BC06C3D"/>
    <w:rsid w:val="6BC11F60"/>
    <w:rsid w:val="6BCA4579"/>
    <w:rsid w:val="6BCF57FB"/>
    <w:rsid w:val="6BD9385B"/>
    <w:rsid w:val="6BE51F5F"/>
    <w:rsid w:val="6BE75F78"/>
    <w:rsid w:val="6BE82E3C"/>
    <w:rsid w:val="6BE97F42"/>
    <w:rsid w:val="6BEB1F0C"/>
    <w:rsid w:val="6BF12222"/>
    <w:rsid w:val="6BF62C01"/>
    <w:rsid w:val="6BF769A3"/>
    <w:rsid w:val="6BF95CAB"/>
    <w:rsid w:val="6BF979B4"/>
    <w:rsid w:val="6BFB1A23"/>
    <w:rsid w:val="6BFB3CC4"/>
    <w:rsid w:val="6BFD4667"/>
    <w:rsid w:val="6BFF59B7"/>
    <w:rsid w:val="6C044D7B"/>
    <w:rsid w:val="6C045E87"/>
    <w:rsid w:val="6C060AF4"/>
    <w:rsid w:val="6C0703C8"/>
    <w:rsid w:val="6C08348F"/>
    <w:rsid w:val="6C09788E"/>
    <w:rsid w:val="6C0E5BFA"/>
    <w:rsid w:val="6C133210"/>
    <w:rsid w:val="6C136D6D"/>
    <w:rsid w:val="6C156F89"/>
    <w:rsid w:val="6C16685D"/>
    <w:rsid w:val="6C1C04B4"/>
    <w:rsid w:val="6C1F3963"/>
    <w:rsid w:val="6C256AA0"/>
    <w:rsid w:val="6C264CF2"/>
    <w:rsid w:val="6C2A627A"/>
    <w:rsid w:val="6C307743"/>
    <w:rsid w:val="6C30791F"/>
    <w:rsid w:val="6C311952"/>
    <w:rsid w:val="6C32752C"/>
    <w:rsid w:val="6C376397"/>
    <w:rsid w:val="6C382C77"/>
    <w:rsid w:val="6C3A69EF"/>
    <w:rsid w:val="6C3B62C3"/>
    <w:rsid w:val="6C3D028D"/>
    <w:rsid w:val="6C427652"/>
    <w:rsid w:val="6C427DE8"/>
    <w:rsid w:val="6C445178"/>
    <w:rsid w:val="6C474C68"/>
    <w:rsid w:val="6C4849F5"/>
    <w:rsid w:val="6C4B4758"/>
    <w:rsid w:val="6C4C04D0"/>
    <w:rsid w:val="6C523D39"/>
    <w:rsid w:val="6C524942"/>
    <w:rsid w:val="6C586E75"/>
    <w:rsid w:val="6C596EED"/>
    <w:rsid w:val="6C5C6966"/>
    <w:rsid w:val="6C5D26DE"/>
    <w:rsid w:val="6C5F0A30"/>
    <w:rsid w:val="6C615234"/>
    <w:rsid w:val="6C627CF4"/>
    <w:rsid w:val="6C663340"/>
    <w:rsid w:val="6C664248"/>
    <w:rsid w:val="6C6972D4"/>
    <w:rsid w:val="6C726189"/>
    <w:rsid w:val="6C731F01"/>
    <w:rsid w:val="6C783074"/>
    <w:rsid w:val="6C78665D"/>
    <w:rsid w:val="6C7B1BAF"/>
    <w:rsid w:val="6C7C2B64"/>
    <w:rsid w:val="6C7F2654"/>
    <w:rsid w:val="6C8163CC"/>
    <w:rsid w:val="6C88794C"/>
    <w:rsid w:val="6C920694"/>
    <w:rsid w:val="6C923F15"/>
    <w:rsid w:val="6C944351"/>
    <w:rsid w:val="6C983716"/>
    <w:rsid w:val="6C9863C0"/>
    <w:rsid w:val="6C9D0D2C"/>
    <w:rsid w:val="6C9F6852"/>
    <w:rsid w:val="6CA95923"/>
    <w:rsid w:val="6CB17005"/>
    <w:rsid w:val="6CB30550"/>
    <w:rsid w:val="6CB33AC0"/>
    <w:rsid w:val="6CB347D0"/>
    <w:rsid w:val="6CBE00C2"/>
    <w:rsid w:val="6CBE13CE"/>
    <w:rsid w:val="6CBE48F7"/>
    <w:rsid w:val="6CC4275D"/>
    <w:rsid w:val="6CCD0482"/>
    <w:rsid w:val="6CD25B27"/>
    <w:rsid w:val="6CD429A0"/>
    <w:rsid w:val="6CD7423E"/>
    <w:rsid w:val="6CD8748D"/>
    <w:rsid w:val="6CD946F4"/>
    <w:rsid w:val="6CD96208"/>
    <w:rsid w:val="6CDA3D2E"/>
    <w:rsid w:val="6CDB7153"/>
    <w:rsid w:val="6CDC3602"/>
    <w:rsid w:val="6CDF30F3"/>
    <w:rsid w:val="6CE1330F"/>
    <w:rsid w:val="6CE32BE3"/>
    <w:rsid w:val="6CE81FA7"/>
    <w:rsid w:val="6CE90709"/>
    <w:rsid w:val="6CED1CB3"/>
    <w:rsid w:val="6CEF1588"/>
    <w:rsid w:val="6CF43C26"/>
    <w:rsid w:val="6CF462D3"/>
    <w:rsid w:val="6CFA69E3"/>
    <w:rsid w:val="6CFD5F76"/>
    <w:rsid w:val="6D064188"/>
    <w:rsid w:val="6D0668D1"/>
    <w:rsid w:val="6D0715D4"/>
    <w:rsid w:val="6D093DD5"/>
    <w:rsid w:val="6D1527EE"/>
    <w:rsid w:val="6D154D66"/>
    <w:rsid w:val="6D193595"/>
    <w:rsid w:val="6D1A518F"/>
    <w:rsid w:val="6D1E1E6D"/>
    <w:rsid w:val="6D21370B"/>
    <w:rsid w:val="6D2356D5"/>
    <w:rsid w:val="6D24088E"/>
    <w:rsid w:val="6D282CEC"/>
    <w:rsid w:val="6D287521"/>
    <w:rsid w:val="6D2A001C"/>
    <w:rsid w:val="6D2B458A"/>
    <w:rsid w:val="6D2E5C79"/>
    <w:rsid w:val="6D32277E"/>
    <w:rsid w:val="6D3276C6"/>
    <w:rsid w:val="6D3662D1"/>
    <w:rsid w:val="6D3E250F"/>
    <w:rsid w:val="6D3E7A54"/>
    <w:rsid w:val="6D443CCF"/>
    <w:rsid w:val="6D463172"/>
    <w:rsid w:val="6D4713C4"/>
    <w:rsid w:val="6D4B10B0"/>
    <w:rsid w:val="6D4F64CA"/>
    <w:rsid w:val="6D513FF0"/>
    <w:rsid w:val="6D5546C4"/>
    <w:rsid w:val="6D56201D"/>
    <w:rsid w:val="6D57319D"/>
    <w:rsid w:val="6D57537F"/>
    <w:rsid w:val="6D5835D1"/>
    <w:rsid w:val="6D5B5F34"/>
    <w:rsid w:val="6D5C2995"/>
    <w:rsid w:val="6D633D24"/>
    <w:rsid w:val="6D664DAC"/>
    <w:rsid w:val="6D68133A"/>
    <w:rsid w:val="6D702504"/>
    <w:rsid w:val="6D725D15"/>
    <w:rsid w:val="6D7657DE"/>
    <w:rsid w:val="6D7825A4"/>
    <w:rsid w:val="6D835018"/>
    <w:rsid w:val="6D835DEB"/>
    <w:rsid w:val="6D885F03"/>
    <w:rsid w:val="6D896A6D"/>
    <w:rsid w:val="6D8C026B"/>
    <w:rsid w:val="6D8D0DA1"/>
    <w:rsid w:val="6D9223A4"/>
    <w:rsid w:val="6D934609"/>
    <w:rsid w:val="6D981C1F"/>
    <w:rsid w:val="6D9A70EB"/>
    <w:rsid w:val="6D9C15C5"/>
    <w:rsid w:val="6D9E55C4"/>
    <w:rsid w:val="6DA06D26"/>
    <w:rsid w:val="6DA14866"/>
    <w:rsid w:val="6DA22A9E"/>
    <w:rsid w:val="6DAA3B67"/>
    <w:rsid w:val="6DAE1443"/>
    <w:rsid w:val="6DB8318D"/>
    <w:rsid w:val="6DB8406F"/>
    <w:rsid w:val="6DC76341"/>
    <w:rsid w:val="6DCD668A"/>
    <w:rsid w:val="6DCD73EF"/>
    <w:rsid w:val="6DCE0A5C"/>
    <w:rsid w:val="6DD54C21"/>
    <w:rsid w:val="6DD95D94"/>
    <w:rsid w:val="6DDB56A0"/>
    <w:rsid w:val="6DDC464C"/>
    <w:rsid w:val="6DDD3AD6"/>
    <w:rsid w:val="6DE44506"/>
    <w:rsid w:val="6DE85FD7"/>
    <w:rsid w:val="6DF36E56"/>
    <w:rsid w:val="6DF64B98"/>
    <w:rsid w:val="6DFB21AE"/>
    <w:rsid w:val="6E056B89"/>
    <w:rsid w:val="6E070B53"/>
    <w:rsid w:val="6E09457C"/>
    <w:rsid w:val="6E0C6169"/>
    <w:rsid w:val="6E0E5A3E"/>
    <w:rsid w:val="6E0F17B6"/>
    <w:rsid w:val="6E1549AA"/>
    <w:rsid w:val="6E245261"/>
    <w:rsid w:val="6E26547D"/>
    <w:rsid w:val="6E2711F5"/>
    <w:rsid w:val="6E292877"/>
    <w:rsid w:val="6E2A65EF"/>
    <w:rsid w:val="6E2D090E"/>
    <w:rsid w:val="6E2E4A0F"/>
    <w:rsid w:val="6E301E58"/>
    <w:rsid w:val="6E3336F6"/>
    <w:rsid w:val="6E3419E3"/>
    <w:rsid w:val="6E3A2CD6"/>
    <w:rsid w:val="6E4C0C5C"/>
    <w:rsid w:val="6E4C50A6"/>
    <w:rsid w:val="6E4F6056"/>
    <w:rsid w:val="6E5A6ED5"/>
    <w:rsid w:val="6E5B58C2"/>
    <w:rsid w:val="6E5F098F"/>
    <w:rsid w:val="6E647D53"/>
    <w:rsid w:val="6E653D3B"/>
    <w:rsid w:val="6E6D71A2"/>
    <w:rsid w:val="6E6E472E"/>
    <w:rsid w:val="6E7066A6"/>
    <w:rsid w:val="6E712470"/>
    <w:rsid w:val="6E7220C5"/>
    <w:rsid w:val="6E737E20"/>
    <w:rsid w:val="6E744EFA"/>
    <w:rsid w:val="6E7461C9"/>
    <w:rsid w:val="6E751F61"/>
    <w:rsid w:val="6E7855AD"/>
    <w:rsid w:val="6E786F7C"/>
    <w:rsid w:val="6E7C32EF"/>
    <w:rsid w:val="6E7E1982"/>
    <w:rsid w:val="6E8151DA"/>
    <w:rsid w:val="6E820D34"/>
    <w:rsid w:val="6E86625C"/>
    <w:rsid w:val="6E867CCA"/>
    <w:rsid w:val="6E873A42"/>
    <w:rsid w:val="6E895A0C"/>
    <w:rsid w:val="6E8B3532"/>
    <w:rsid w:val="6E922B12"/>
    <w:rsid w:val="6E927F5C"/>
    <w:rsid w:val="6E9543B1"/>
    <w:rsid w:val="6E9817AB"/>
    <w:rsid w:val="6E9F2B3A"/>
    <w:rsid w:val="6E9F6FDD"/>
    <w:rsid w:val="6EA05EDB"/>
    <w:rsid w:val="6EA6036C"/>
    <w:rsid w:val="6EAB3BD4"/>
    <w:rsid w:val="6EB26381"/>
    <w:rsid w:val="6EB365E5"/>
    <w:rsid w:val="6EB74327"/>
    <w:rsid w:val="6EB93246"/>
    <w:rsid w:val="6EBD1212"/>
    <w:rsid w:val="6EBE3907"/>
    <w:rsid w:val="6EC35B23"/>
    <w:rsid w:val="6ECB00EB"/>
    <w:rsid w:val="6ECB610F"/>
    <w:rsid w:val="6ECD414C"/>
    <w:rsid w:val="6ECD58F9"/>
    <w:rsid w:val="6ED53EAF"/>
    <w:rsid w:val="6ED749C9"/>
    <w:rsid w:val="6EDC3D8E"/>
    <w:rsid w:val="6EDF42EF"/>
    <w:rsid w:val="6EE3511C"/>
    <w:rsid w:val="6EE467EF"/>
    <w:rsid w:val="6EE573DC"/>
    <w:rsid w:val="6EE80984"/>
    <w:rsid w:val="6EEB5D7F"/>
    <w:rsid w:val="6EF00976"/>
    <w:rsid w:val="6EF70BC7"/>
    <w:rsid w:val="6EF74724"/>
    <w:rsid w:val="6EF84B64"/>
    <w:rsid w:val="6EFC1D3A"/>
    <w:rsid w:val="6EFC4430"/>
    <w:rsid w:val="6F0A2C5E"/>
    <w:rsid w:val="6F0B1998"/>
    <w:rsid w:val="6F0C6443"/>
    <w:rsid w:val="6F137C43"/>
    <w:rsid w:val="6F1524C0"/>
    <w:rsid w:val="6F152DFC"/>
    <w:rsid w:val="6F1654F2"/>
    <w:rsid w:val="6F1A48B6"/>
    <w:rsid w:val="6F1B0E78"/>
    <w:rsid w:val="6F215C44"/>
    <w:rsid w:val="6F2319BD"/>
    <w:rsid w:val="6F2861E7"/>
    <w:rsid w:val="6F2B7686"/>
    <w:rsid w:val="6F2F0361"/>
    <w:rsid w:val="6F327E52"/>
    <w:rsid w:val="6F35524C"/>
    <w:rsid w:val="6F386628"/>
    <w:rsid w:val="6F3B4F58"/>
    <w:rsid w:val="6F3C65DA"/>
    <w:rsid w:val="6F40431D"/>
    <w:rsid w:val="6F4120FC"/>
    <w:rsid w:val="6F43140B"/>
    <w:rsid w:val="6F45570E"/>
    <w:rsid w:val="6F457B85"/>
    <w:rsid w:val="6F4831D1"/>
    <w:rsid w:val="6F4A6F49"/>
    <w:rsid w:val="6F4B0F13"/>
    <w:rsid w:val="6F4F3F62"/>
    <w:rsid w:val="6F4F7C8F"/>
    <w:rsid w:val="6F525DFE"/>
    <w:rsid w:val="6F547DC8"/>
    <w:rsid w:val="6F5726D3"/>
    <w:rsid w:val="6F5A2D4F"/>
    <w:rsid w:val="6F5A4CB2"/>
    <w:rsid w:val="6F5B73A8"/>
    <w:rsid w:val="6F5C6772"/>
    <w:rsid w:val="6F5E0A50"/>
    <w:rsid w:val="6F5E0C47"/>
    <w:rsid w:val="6F614293"/>
    <w:rsid w:val="6F616041"/>
    <w:rsid w:val="6F655B31"/>
    <w:rsid w:val="6F657105"/>
    <w:rsid w:val="6F683873"/>
    <w:rsid w:val="6F6B5112"/>
    <w:rsid w:val="6F775864"/>
    <w:rsid w:val="6F7A769A"/>
    <w:rsid w:val="6F7E3097"/>
    <w:rsid w:val="6F800BBD"/>
    <w:rsid w:val="6F80296B"/>
    <w:rsid w:val="6F865AA7"/>
    <w:rsid w:val="6F88533A"/>
    <w:rsid w:val="6F8B0B99"/>
    <w:rsid w:val="6F8C7562"/>
    <w:rsid w:val="6F8E2F5C"/>
    <w:rsid w:val="6F9957DB"/>
    <w:rsid w:val="6F9B59F7"/>
    <w:rsid w:val="6FA01307"/>
    <w:rsid w:val="6FA50A4A"/>
    <w:rsid w:val="6FA56875"/>
    <w:rsid w:val="6FAA4485"/>
    <w:rsid w:val="6FAD2C9D"/>
    <w:rsid w:val="6FAE5C2D"/>
    <w:rsid w:val="6FAF4FFE"/>
    <w:rsid w:val="6FAF5E0E"/>
    <w:rsid w:val="6FB26B2E"/>
    <w:rsid w:val="6FB6638D"/>
    <w:rsid w:val="6FB6774A"/>
    <w:rsid w:val="6FBA2BB6"/>
    <w:rsid w:val="6FBB0A5D"/>
    <w:rsid w:val="6FBB1BF5"/>
    <w:rsid w:val="6FBE3493"/>
    <w:rsid w:val="6FBE59E4"/>
    <w:rsid w:val="6FC0545D"/>
    <w:rsid w:val="6FC14D32"/>
    <w:rsid w:val="6FC36517"/>
    <w:rsid w:val="6FC43175"/>
    <w:rsid w:val="6FC43257"/>
    <w:rsid w:val="6FC600CC"/>
    <w:rsid w:val="6FC7059A"/>
    <w:rsid w:val="6FCA008A"/>
    <w:rsid w:val="6FCA62DC"/>
    <w:rsid w:val="6FCC7DF6"/>
    <w:rsid w:val="6FCF56A0"/>
    <w:rsid w:val="6FD159D2"/>
    <w:rsid w:val="6FD15B87"/>
    <w:rsid w:val="6FD20CED"/>
    <w:rsid w:val="6FD2305C"/>
    <w:rsid w:val="6FD827A7"/>
    <w:rsid w:val="6FE3114C"/>
    <w:rsid w:val="6FE50A20"/>
    <w:rsid w:val="6FED5B27"/>
    <w:rsid w:val="6FEE1832"/>
    <w:rsid w:val="6FF173C5"/>
    <w:rsid w:val="6FF62C2D"/>
    <w:rsid w:val="6FF670D1"/>
    <w:rsid w:val="6FF944CB"/>
    <w:rsid w:val="6FFB0243"/>
    <w:rsid w:val="6FFD220E"/>
    <w:rsid w:val="6FFE5F86"/>
    <w:rsid w:val="700B5BEF"/>
    <w:rsid w:val="700C06A3"/>
    <w:rsid w:val="700C41FF"/>
    <w:rsid w:val="700D7F77"/>
    <w:rsid w:val="70130F5B"/>
    <w:rsid w:val="701557A9"/>
    <w:rsid w:val="70161521"/>
    <w:rsid w:val="701A07AF"/>
    <w:rsid w:val="701D28B0"/>
    <w:rsid w:val="701F03D6"/>
    <w:rsid w:val="70205EFC"/>
    <w:rsid w:val="70221C74"/>
    <w:rsid w:val="70223A22"/>
    <w:rsid w:val="70273DFF"/>
    <w:rsid w:val="702A6D7B"/>
    <w:rsid w:val="702A738A"/>
    <w:rsid w:val="702C748F"/>
    <w:rsid w:val="702F613F"/>
    <w:rsid w:val="70300012"/>
    <w:rsid w:val="703025E3"/>
    <w:rsid w:val="70333E81"/>
    <w:rsid w:val="7036127C"/>
    <w:rsid w:val="7036571F"/>
    <w:rsid w:val="70384FF4"/>
    <w:rsid w:val="703A3875"/>
    <w:rsid w:val="703B23DF"/>
    <w:rsid w:val="703B2D36"/>
    <w:rsid w:val="70473489"/>
    <w:rsid w:val="70531E2E"/>
    <w:rsid w:val="705A7660"/>
    <w:rsid w:val="705B2397"/>
    <w:rsid w:val="705D0EFE"/>
    <w:rsid w:val="70622071"/>
    <w:rsid w:val="70626515"/>
    <w:rsid w:val="7064403B"/>
    <w:rsid w:val="70666005"/>
    <w:rsid w:val="70671D7D"/>
    <w:rsid w:val="706C4C6E"/>
    <w:rsid w:val="706E0A96"/>
    <w:rsid w:val="706E6C67"/>
    <w:rsid w:val="70700C31"/>
    <w:rsid w:val="707029DF"/>
    <w:rsid w:val="70730722"/>
    <w:rsid w:val="70734B57"/>
    <w:rsid w:val="70761FC0"/>
    <w:rsid w:val="707D334E"/>
    <w:rsid w:val="707F2C23"/>
    <w:rsid w:val="70812E3F"/>
    <w:rsid w:val="70840239"/>
    <w:rsid w:val="708446DD"/>
    <w:rsid w:val="708C3591"/>
    <w:rsid w:val="708E2E66"/>
    <w:rsid w:val="70916390"/>
    <w:rsid w:val="70930CB0"/>
    <w:rsid w:val="709514FB"/>
    <w:rsid w:val="709C35FC"/>
    <w:rsid w:val="70A24B63"/>
    <w:rsid w:val="70A81773"/>
    <w:rsid w:val="70A94143"/>
    <w:rsid w:val="70AD3C34"/>
    <w:rsid w:val="70B314A2"/>
    <w:rsid w:val="70B56644"/>
    <w:rsid w:val="70B717EC"/>
    <w:rsid w:val="70BD626C"/>
    <w:rsid w:val="70C005EF"/>
    <w:rsid w:val="70C04A87"/>
    <w:rsid w:val="70C46D83"/>
    <w:rsid w:val="70CB4B3B"/>
    <w:rsid w:val="70CC2146"/>
    <w:rsid w:val="70D2369A"/>
    <w:rsid w:val="70D27426"/>
    <w:rsid w:val="70D32F6E"/>
    <w:rsid w:val="70D661B5"/>
    <w:rsid w:val="70D85CFC"/>
    <w:rsid w:val="70D93E5D"/>
    <w:rsid w:val="70DA07A5"/>
    <w:rsid w:val="70DD19F4"/>
    <w:rsid w:val="70DF79FA"/>
    <w:rsid w:val="70E138DD"/>
    <w:rsid w:val="70E157DA"/>
    <w:rsid w:val="70E62CA2"/>
    <w:rsid w:val="70E77189"/>
    <w:rsid w:val="70EB1475"/>
    <w:rsid w:val="70EB475C"/>
    <w:rsid w:val="70EB6FDC"/>
    <w:rsid w:val="70F25AEA"/>
    <w:rsid w:val="70F84783"/>
    <w:rsid w:val="70F97E5D"/>
    <w:rsid w:val="70FF1FB5"/>
    <w:rsid w:val="70FF5B11"/>
    <w:rsid w:val="7101188A"/>
    <w:rsid w:val="71033AE0"/>
    <w:rsid w:val="7104137A"/>
    <w:rsid w:val="710A57D6"/>
    <w:rsid w:val="710B095A"/>
    <w:rsid w:val="710C022E"/>
    <w:rsid w:val="710F1523"/>
    <w:rsid w:val="71125845"/>
    <w:rsid w:val="711A6DEF"/>
    <w:rsid w:val="711D41EA"/>
    <w:rsid w:val="711E01B8"/>
    <w:rsid w:val="712068AA"/>
    <w:rsid w:val="71207682"/>
    <w:rsid w:val="71232C2B"/>
    <w:rsid w:val="7125606D"/>
    <w:rsid w:val="71265794"/>
    <w:rsid w:val="71277B50"/>
    <w:rsid w:val="71285068"/>
    <w:rsid w:val="71290C33"/>
    <w:rsid w:val="71290DE0"/>
    <w:rsid w:val="712E4649"/>
    <w:rsid w:val="713003C1"/>
    <w:rsid w:val="7130216F"/>
    <w:rsid w:val="71312019"/>
    <w:rsid w:val="71325EE7"/>
    <w:rsid w:val="71341C5F"/>
    <w:rsid w:val="71347EB1"/>
    <w:rsid w:val="713A2FED"/>
    <w:rsid w:val="713A605B"/>
    <w:rsid w:val="713F0604"/>
    <w:rsid w:val="71475FF9"/>
    <w:rsid w:val="714B0D57"/>
    <w:rsid w:val="71573B9F"/>
    <w:rsid w:val="715A71EC"/>
    <w:rsid w:val="715E4F2E"/>
    <w:rsid w:val="715F2A54"/>
    <w:rsid w:val="7161307A"/>
    <w:rsid w:val="716562BC"/>
    <w:rsid w:val="7168001D"/>
    <w:rsid w:val="716B13F9"/>
    <w:rsid w:val="71706A0F"/>
    <w:rsid w:val="7171051E"/>
    <w:rsid w:val="717377C5"/>
    <w:rsid w:val="71773CEE"/>
    <w:rsid w:val="717958C4"/>
    <w:rsid w:val="71834994"/>
    <w:rsid w:val="71866233"/>
    <w:rsid w:val="718A5AF2"/>
    <w:rsid w:val="718D136F"/>
    <w:rsid w:val="718F57A7"/>
    <w:rsid w:val="718F6E95"/>
    <w:rsid w:val="71924626"/>
    <w:rsid w:val="71924BD7"/>
    <w:rsid w:val="719C7804"/>
    <w:rsid w:val="71A843FB"/>
    <w:rsid w:val="71AA1F21"/>
    <w:rsid w:val="71AD1A11"/>
    <w:rsid w:val="71AD7A8B"/>
    <w:rsid w:val="71AF3F93"/>
    <w:rsid w:val="71AF50DD"/>
    <w:rsid w:val="71B52674"/>
    <w:rsid w:val="71BF242C"/>
    <w:rsid w:val="71C11019"/>
    <w:rsid w:val="71C37948"/>
    <w:rsid w:val="71C8684B"/>
    <w:rsid w:val="71CC1E85"/>
    <w:rsid w:val="71CE727E"/>
    <w:rsid w:val="71CF5FA5"/>
    <w:rsid w:val="71D40D4C"/>
    <w:rsid w:val="71D46F9E"/>
    <w:rsid w:val="71D62D16"/>
    <w:rsid w:val="71DA3138"/>
    <w:rsid w:val="71DB032D"/>
    <w:rsid w:val="71DB4857"/>
    <w:rsid w:val="71DC49E3"/>
    <w:rsid w:val="71DE3571"/>
    <w:rsid w:val="71E03B95"/>
    <w:rsid w:val="71E13469"/>
    <w:rsid w:val="71E31742"/>
    <w:rsid w:val="71E83933"/>
    <w:rsid w:val="71E84D8B"/>
    <w:rsid w:val="71EB6912"/>
    <w:rsid w:val="71F118FE"/>
    <w:rsid w:val="71F24A07"/>
    <w:rsid w:val="71F36EB1"/>
    <w:rsid w:val="71F61A19"/>
    <w:rsid w:val="71F72C8D"/>
    <w:rsid w:val="71F907B3"/>
    <w:rsid w:val="71FD4747"/>
    <w:rsid w:val="72054D36"/>
    <w:rsid w:val="72095145"/>
    <w:rsid w:val="720C2BDC"/>
    <w:rsid w:val="720F1711"/>
    <w:rsid w:val="721101F2"/>
    <w:rsid w:val="7218026D"/>
    <w:rsid w:val="72181581"/>
    <w:rsid w:val="72192C03"/>
    <w:rsid w:val="721B2E1F"/>
    <w:rsid w:val="721B4BCD"/>
    <w:rsid w:val="721F290F"/>
    <w:rsid w:val="722912F6"/>
    <w:rsid w:val="72294C83"/>
    <w:rsid w:val="722D0A37"/>
    <w:rsid w:val="722F68CA"/>
    <w:rsid w:val="72326885"/>
    <w:rsid w:val="723839D1"/>
    <w:rsid w:val="723914F7"/>
    <w:rsid w:val="7240783D"/>
    <w:rsid w:val="72444124"/>
    <w:rsid w:val="72473C14"/>
    <w:rsid w:val="72492284"/>
    <w:rsid w:val="724C4D86"/>
    <w:rsid w:val="724C6F73"/>
    <w:rsid w:val="724F0D1A"/>
    <w:rsid w:val="72516576"/>
    <w:rsid w:val="72524823"/>
    <w:rsid w:val="72541E8D"/>
    <w:rsid w:val="72575AC4"/>
    <w:rsid w:val="7258372B"/>
    <w:rsid w:val="72586F54"/>
    <w:rsid w:val="72604CD6"/>
    <w:rsid w:val="726067F7"/>
    <w:rsid w:val="72620758"/>
    <w:rsid w:val="72620A4E"/>
    <w:rsid w:val="726227FC"/>
    <w:rsid w:val="726245AA"/>
    <w:rsid w:val="72655E48"/>
    <w:rsid w:val="726573DE"/>
    <w:rsid w:val="72691DDC"/>
    <w:rsid w:val="72693B8A"/>
    <w:rsid w:val="726B5B54"/>
    <w:rsid w:val="726E73F3"/>
    <w:rsid w:val="72712A3F"/>
    <w:rsid w:val="72782824"/>
    <w:rsid w:val="727B4BEB"/>
    <w:rsid w:val="72822E9E"/>
    <w:rsid w:val="728E539F"/>
    <w:rsid w:val="728F13F9"/>
    <w:rsid w:val="729624A5"/>
    <w:rsid w:val="72976515"/>
    <w:rsid w:val="72987FCC"/>
    <w:rsid w:val="729A7419"/>
    <w:rsid w:val="729D1A86"/>
    <w:rsid w:val="729D3834"/>
    <w:rsid w:val="729D55E2"/>
    <w:rsid w:val="72A050D2"/>
    <w:rsid w:val="72A11576"/>
    <w:rsid w:val="72A577D6"/>
    <w:rsid w:val="72A93F87"/>
    <w:rsid w:val="72A9667D"/>
    <w:rsid w:val="72AB41A3"/>
    <w:rsid w:val="72AB5F51"/>
    <w:rsid w:val="72AE5A41"/>
    <w:rsid w:val="72B62FB6"/>
    <w:rsid w:val="72B648F6"/>
    <w:rsid w:val="72B8241C"/>
    <w:rsid w:val="72BD7A32"/>
    <w:rsid w:val="72CE7E91"/>
    <w:rsid w:val="72E41463"/>
    <w:rsid w:val="72E6129A"/>
    <w:rsid w:val="72E773AA"/>
    <w:rsid w:val="72E92186"/>
    <w:rsid w:val="72EE38CD"/>
    <w:rsid w:val="72F13B80"/>
    <w:rsid w:val="72F338B1"/>
    <w:rsid w:val="72F378F8"/>
    <w:rsid w:val="72F45275"/>
    <w:rsid w:val="72F61328"/>
    <w:rsid w:val="72F71196"/>
    <w:rsid w:val="72F744F3"/>
    <w:rsid w:val="72F90648"/>
    <w:rsid w:val="72FF028E"/>
    <w:rsid w:val="730E028E"/>
    <w:rsid w:val="730F15F2"/>
    <w:rsid w:val="73131D48"/>
    <w:rsid w:val="731358A4"/>
    <w:rsid w:val="731846B4"/>
    <w:rsid w:val="731A4052"/>
    <w:rsid w:val="731D4C37"/>
    <w:rsid w:val="73241A62"/>
    <w:rsid w:val="732478EE"/>
    <w:rsid w:val="73281624"/>
    <w:rsid w:val="7329331A"/>
    <w:rsid w:val="732A3D34"/>
    <w:rsid w:val="732B617E"/>
    <w:rsid w:val="732E4873"/>
    <w:rsid w:val="732F02BC"/>
    <w:rsid w:val="733339FA"/>
    <w:rsid w:val="73337CF4"/>
    <w:rsid w:val="733817AF"/>
    <w:rsid w:val="733A06B3"/>
    <w:rsid w:val="733A5527"/>
    <w:rsid w:val="733B77AF"/>
    <w:rsid w:val="733C716D"/>
    <w:rsid w:val="733F1EB8"/>
    <w:rsid w:val="73463ECB"/>
    <w:rsid w:val="7352461E"/>
    <w:rsid w:val="73591E51"/>
    <w:rsid w:val="735C4C5C"/>
    <w:rsid w:val="735C549D"/>
    <w:rsid w:val="735E7467"/>
    <w:rsid w:val="73614861"/>
    <w:rsid w:val="73673D05"/>
    <w:rsid w:val="7368184F"/>
    <w:rsid w:val="736B1B84"/>
    <w:rsid w:val="736B3932"/>
    <w:rsid w:val="737D73CC"/>
    <w:rsid w:val="737F118B"/>
    <w:rsid w:val="73800D4B"/>
    <w:rsid w:val="73830C7C"/>
    <w:rsid w:val="73834058"/>
    <w:rsid w:val="73852C46"/>
    <w:rsid w:val="7386076C"/>
    <w:rsid w:val="73886ABE"/>
    <w:rsid w:val="738D5D37"/>
    <w:rsid w:val="739221E4"/>
    <w:rsid w:val="73970283"/>
    <w:rsid w:val="73974727"/>
    <w:rsid w:val="73983609"/>
    <w:rsid w:val="739C3AEB"/>
    <w:rsid w:val="73A11102"/>
    <w:rsid w:val="73A1518F"/>
    <w:rsid w:val="73A17354"/>
    <w:rsid w:val="73A62BBC"/>
    <w:rsid w:val="73A806E2"/>
    <w:rsid w:val="73A979E7"/>
    <w:rsid w:val="73AA445A"/>
    <w:rsid w:val="73AB7D4A"/>
    <w:rsid w:val="73B40E35"/>
    <w:rsid w:val="73B54BAD"/>
    <w:rsid w:val="73B70925"/>
    <w:rsid w:val="73B94FF1"/>
    <w:rsid w:val="73C80D84"/>
    <w:rsid w:val="73C93553"/>
    <w:rsid w:val="73CA18F0"/>
    <w:rsid w:val="73CF1A98"/>
    <w:rsid w:val="73CF2113"/>
    <w:rsid w:val="73CF3EC1"/>
    <w:rsid w:val="73D03795"/>
    <w:rsid w:val="73D073A9"/>
    <w:rsid w:val="73D31D47"/>
    <w:rsid w:val="73DB2866"/>
    <w:rsid w:val="73DC680B"/>
    <w:rsid w:val="73DF08A5"/>
    <w:rsid w:val="73E21E46"/>
    <w:rsid w:val="73E74F2C"/>
    <w:rsid w:val="73E86D31"/>
    <w:rsid w:val="73ED07EB"/>
    <w:rsid w:val="73F2195D"/>
    <w:rsid w:val="73F3465D"/>
    <w:rsid w:val="73F531FC"/>
    <w:rsid w:val="73F5341C"/>
    <w:rsid w:val="73F676A0"/>
    <w:rsid w:val="73F97190"/>
    <w:rsid w:val="73FC458A"/>
    <w:rsid w:val="740022CC"/>
    <w:rsid w:val="740578E3"/>
    <w:rsid w:val="74072172"/>
    <w:rsid w:val="7407298F"/>
    <w:rsid w:val="740A7B07"/>
    <w:rsid w:val="740C6EC3"/>
    <w:rsid w:val="7416389E"/>
    <w:rsid w:val="741713C4"/>
    <w:rsid w:val="741915E0"/>
    <w:rsid w:val="741C4C2C"/>
    <w:rsid w:val="7420471D"/>
    <w:rsid w:val="74244DD1"/>
    <w:rsid w:val="74273CFD"/>
    <w:rsid w:val="742852CC"/>
    <w:rsid w:val="742A7C83"/>
    <w:rsid w:val="742D2D63"/>
    <w:rsid w:val="742F1D57"/>
    <w:rsid w:val="742F7AD3"/>
    <w:rsid w:val="74300ACF"/>
    <w:rsid w:val="743106D8"/>
    <w:rsid w:val="74341F76"/>
    <w:rsid w:val="743A3AF6"/>
    <w:rsid w:val="743B50B2"/>
    <w:rsid w:val="7440091B"/>
    <w:rsid w:val="744068E6"/>
    <w:rsid w:val="74424693"/>
    <w:rsid w:val="7443040B"/>
    <w:rsid w:val="74463A57"/>
    <w:rsid w:val="74477EFB"/>
    <w:rsid w:val="744A0CAD"/>
    <w:rsid w:val="744B5A17"/>
    <w:rsid w:val="744E17E0"/>
    <w:rsid w:val="744F4C3F"/>
    <w:rsid w:val="74590B06"/>
    <w:rsid w:val="745B7503"/>
    <w:rsid w:val="7463600F"/>
    <w:rsid w:val="74675EA7"/>
    <w:rsid w:val="74695916"/>
    <w:rsid w:val="746960C4"/>
    <w:rsid w:val="746A5998"/>
    <w:rsid w:val="746C0C97"/>
    <w:rsid w:val="746E36DA"/>
    <w:rsid w:val="746E5488"/>
    <w:rsid w:val="746F2FAE"/>
    <w:rsid w:val="7479207F"/>
    <w:rsid w:val="747C0CE1"/>
    <w:rsid w:val="747D1B6F"/>
    <w:rsid w:val="74806F69"/>
    <w:rsid w:val="748E1870"/>
    <w:rsid w:val="74901183"/>
    <w:rsid w:val="74920388"/>
    <w:rsid w:val="74934EEE"/>
    <w:rsid w:val="74980876"/>
    <w:rsid w:val="749869A9"/>
    <w:rsid w:val="7499627D"/>
    <w:rsid w:val="749C25CA"/>
    <w:rsid w:val="749D3FBF"/>
    <w:rsid w:val="749E13BD"/>
    <w:rsid w:val="74A23383"/>
    <w:rsid w:val="74A72748"/>
    <w:rsid w:val="74A76BEC"/>
    <w:rsid w:val="74AC7D5E"/>
    <w:rsid w:val="74AF784E"/>
    <w:rsid w:val="74B65081"/>
    <w:rsid w:val="74B80DF9"/>
    <w:rsid w:val="74C23A26"/>
    <w:rsid w:val="74C51031"/>
    <w:rsid w:val="74C85CCB"/>
    <w:rsid w:val="74CB28DA"/>
    <w:rsid w:val="74CE4179"/>
    <w:rsid w:val="74D20D36"/>
    <w:rsid w:val="74D37C52"/>
    <w:rsid w:val="74D43450"/>
    <w:rsid w:val="74D53759"/>
    <w:rsid w:val="74D6127F"/>
    <w:rsid w:val="74DA0D6F"/>
    <w:rsid w:val="74DB2EA9"/>
    <w:rsid w:val="74DB6895"/>
    <w:rsid w:val="74DD260E"/>
    <w:rsid w:val="74DD43BC"/>
    <w:rsid w:val="74DF1EE2"/>
    <w:rsid w:val="74E03EAC"/>
    <w:rsid w:val="74E051F7"/>
    <w:rsid w:val="74E22F93"/>
    <w:rsid w:val="74E25E76"/>
    <w:rsid w:val="74E41BEE"/>
    <w:rsid w:val="74E4399C"/>
    <w:rsid w:val="74E5003D"/>
    <w:rsid w:val="74E60043"/>
    <w:rsid w:val="74EA605A"/>
    <w:rsid w:val="74EB4D2A"/>
    <w:rsid w:val="74EC71A0"/>
    <w:rsid w:val="74F016AA"/>
    <w:rsid w:val="74F33BDF"/>
    <w:rsid w:val="74F632B7"/>
    <w:rsid w:val="74F6547D"/>
    <w:rsid w:val="75063912"/>
    <w:rsid w:val="75096F5F"/>
    <w:rsid w:val="750D68BA"/>
    <w:rsid w:val="75114065"/>
    <w:rsid w:val="75153B55"/>
    <w:rsid w:val="75157FF9"/>
    <w:rsid w:val="751A73BE"/>
    <w:rsid w:val="751D2A0A"/>
    <w:rsid w:val="751E0A9E"/>
    <w:rsid w:val="7524023C"/>
    <w:rsid w:val="75271ADB"/>
    <w:rsid w:val="75273889"/>
    <w:rsid w:val="752A2E3F"/>
    <w:rsid w:val="752B611D"/>
    <w:rsid w:val="75324707"/>
    <w:rsid w:val="75330480"/>
    <w:rsid w:val="75371D1E"/>
    <w:rsid w:val="75380C14"/>
    <w:rsid w:val="753D4E5A"/>
    <w:rsid w:val="754206C3"/>
    <w:rsid w:val="75452911"/>
    <w:rsid w:val="75454A9D"/>
    <w:rsid w:val="754601B3"/>
    <w:rsid w:val="75466405"/>
    <w:rsid w:val="75483F2B"/>
    <w:rsid w:val="754B7577"/>
    <w:rsid w:val="754E350B"/>
    <w:rsid w:val="754E52B9"/>
    <w:rsid w:val="754F1272"/>
    <w:rsid w:val="75556648"/>
    <w:rsid w:val="755A234A"/>
    <w:rsid w:val="755E0A9B"/>
    <w:rsid w:val="755E374E"/>
    <w:rsid w:val="75622B13"/>
    <w:rsid w:val="75681D19"/>
    <w:rsid w:val="756920F3"/>
    <w:rsid w:val="756A12C2"/>
    <w:rsid w:val="756D3991"/>
    <w:rsid w:val="756E770A"/>
    <w:rsid w:val="75705230"/>
    <w:rsid w:val="757A1C0A"/>
    <w:rsid w:val="757A60AE"/>
    <w:rsid w:val="757E5B9F"/>
    <w:rsid w:val="757F1917"/>
    <w:rsid w:val="75826D11"/>
    <w:rsid w:val="7583050B"/>
    <w:rsid w:val="75834F63"/>
    <w:rsid w:val="75846F2D"/>
    <w:rsid w:val="75864A53"/>
    <w:rsid w:val="758807CB"/>
    <w:rsid w:val="7589009F"/>
    <w:rsid w:val="758D5054"/>
    <w:rsid w:val="758D744F"/>
    <w:rsid w:val="758E3908"/>
    <w:rsid w:val="758F1B5A"/>
    <w:rsid w:val="75911D04"/>
    <w:rsid w:val="75917B29"/>
    <w:rsid w:val="75947170"/>
    <w:rsid w:val="75952EE8"/>
    <w:rsid w:val="75954C96"/>
    <w:rsid w:val="759B6AD9"/>
    <w:rsid w:val="759C7DD3"/>
    <w:rsid w:val="759E1D9D"/>
    <w:rsid w:val="759E5189"/>
    <w:rsid w:val="75A60C51"/>
    <w:rsid w:val="75AB6268"/>
    <w:rsid w:val="75AD3D8E"/>
    <w:rsid w:val="75AD5FDF"/>
    <w:rsid w:val="75AE7B06"/>
    <w:rsid w:val="75B01AD0"/>
    <w:rsid w:val="75B07D22"/>
    <w:rsid w:val="75B415C0"/>
    <w:rsid w:val="75BC0E17"/>
    <w:rsid w:val="75BF7F65"/>
    <w:rsid w:val="75C537CD"/>
    <w:rsid w:val="75C80BC8"/>
    <w:rsid w:val="75CB4B5C"/>
    <w:rsid w:val="75CD33F5"/>
    <w:rsid w:val="75CD4430"/>
    <w:rsid w:val="75CE1F56"/>
    <w:rsid w:val="75CE7B37"/>
    <w:rsid w:val="75CF516A"/>
    <w:rsid w:val="75D03F20"/>
    <w:rsid w:val="75D27C98"/>
    <w:rsid w:val="75D401A5"/>
    <w:rsid w:val="75D7227C"/>
    <w:rsid w:val="75D729B2"/>
    <w:rsid w:val="75D7705D"/>
    <w:rsid w:val="75D83866"/>
    <w:rsid w:val="75DB4D9F"/>
    <w:rsid w:val="75DC4673"/>
    <w:rsid w:val="75E31EA6"/>
    <w:rsid w:val="75E42565"/>
    <w:rsid w:val="75E43528"/>
    <w:rsid w:val="75E55C1E"/>
    <w:rsid w:val="75EA6326"/>
    <w:rsid w:val="75EA7A3D"/>
    <w:rsid w:val="75EB48B6"/>
    <w:rsid w:val="75ED3979"/>
    <w:rsid w:val="75EF43A6"/>
    <w:rsid w:val="75F145C2"/>
    <w:rsid w:val="75F23E97"/>
    <w:rsid w:val="75F332A9"/>
    <w:rsid w:val="75F44D29"/>
    <w:rsid w:val="75F93588"/>
    <w:rsid w:val="76004806"/>
    <w:rsid w:val="760C26B8"/>
    <w:rsid w:val="760D2A7F"/>
    <w:rsid w:val="76116A13"/>
    <w:rsid w:val="76121BAF"/>
    <w:rsid w:val="761756AB"/>
    <w:rsid w:val="761C0F14"/>
    <w:rsid w:val="761C7166"/>
    <w:rsid w:val="76200BC8"/>
    <w:rsid w:val="76206C56"/>
    <w:rsid w:val="762328EA"/>
    <w:rsid w:val="76247B54"/>
    <w:rsid w:val="76257DC8"/>
    <w:rsid w:val="76263B40"/>
    <w:rsid w:val="76273D70"/>
    <w:rsid w:val="762A5C33"/>
    <w:rsid w:val="762A7AD4"/>
    <w:rsid w:val="762C55FB"/>
    <w:rsid w:val="7632537A"/>
    <w:rsid w:val="76334899"/>
    <w:rsid w:val="76391AC6"/>
    <w:rsid w:val="763D7808"/>
    <w:rsid w:val="763E0E8A"/>
    <w:rsid w:val="763E532E"/>
    <w:rsid w:val="76420C12"/>
    <w:rsid w:val="76481D09"/>
    <w:rsid w:val="764B0603"/>
    <w:rsid w:val="764D0FCD"/>
    <w:rsid w:val="764F753B"/>
    <w:rsid w:val="76532402"/>
    <w:rsid w:val="76592141"/>
    <w:rsid w:val="765D1F94"/>
    <w:rsid w:val="766052A4"/>
    <w:rsid w:val="76607052"/>
    <w:rsid w:val="7662101C"/>
    <w:rsid w:val="76624505"/>
    <w:rsid w:val="76636B42"/>
    <w:rsid w:val="766528BB"/>
    <w:rsid w:val="7666297E"/>
    <w:rsid w:val="766672BA"/>
    <w:rsid w:val="766823AB"/>
    <w:rsid w:val="766905FD"/>
    <w:rsid w:val="76724FD8"/>
    <w:rsid w:val="76727F0E"/>
    <w:rsid w:val="76733229"/>
    <w:rsid w:val="76760624"/>
    <w:rsid w:val="76780840"/>
    <w:rsid w:val="76856AB9"/>
    <w:rsid w:val="768A40CF"/>
    <w:rsid w:val="768C6417"/>
    <w:rsid w:val="768D0D88"/>
    <w:rsid w:val="768E0063"/>
    <w:rsid w:val="76942021"/>
    <w:rsid w:val="76950FC5"/>
    <w:rsid w:val="769A024B"/>
    <w:rsid w:val="769B0F95"/>
    <w:rsid w:val="76A24635"/>
    <w:rsid w:val="76A25AB4"/>
    <w:rsid w:val="76A41B5A"/>
    <w:rsid w:val="76A50F09"/>
    <w:rsid w:val="76B0553A"/>
    <w:rsid w:val="76B14119"/>
    <w:rsid w:val="76B26C42"/>
    <w:rsid w:val="76B77DE9"/>
    <w:rsid w:val="76BB33E2"/>
    <w:rsid w:val="76BB3673"/>
    <w:rsid w:val="76BD6253"/>
    <w:rsid w:val="76C375E1"/>
    <w:rsid w:val="76C84BF7"/>
    <w:rsid w:val="76CA0970"/>
    <w:rsid w:val="76CD220E"/>
    <w:rsid w:val="76CE1249"/>
    <w:rsid w:val="76D50072"/>
    <w:rsid w:val="76D87530"/>
    <w:rsid w:val="76DB31D0"/>
    <w:rsid w:val="76DD06A3"/>
    <w:rsid w:val="76DD5674"/>
    <w:rsid w:val="76DF08BF"/>
    <w:rsid w:val="76E21980"/>
    <w:rsid w:val="76E23F0B"/>
    <w:rsid w:val="76E557A9"/>
    <w:rsid w:val="76F14D3C"/>
    <w:rsid w:val="76F36118"/>
    <w:rsid w:val="76F53C3E"/>
    <w:rsid w:val="77016020"/>
    <w:rsid w:val="77020109"/>
    <w:rsid w:val="77037DA5"/>
    <w:rsid w:val="77062109"/>
    <w:rsid w:val="7709593C"/>
    <w:rsid w:val="770B1E2E"/>
    <w:rsid w:val="770B211B"/>
    <w:rsid w:val="770F2826"/>
    <w:rsid w:val="770F36A5"/>
    <w:rsid w:val="770F7470"/>
    <w:rsid w:val="77100709"/>
    <w:rsid w:val="7711659E"/>
    <w:rsid w:val="77124AC5"/>
    <w:rsid w:val="77132317"/>
    <w:rsid w:val="7715396A"/>
    <w:rsid w:val="77163BB5"/>
    <w:rsid w:val="771645E2"/>
    <w:rsid w:val="771A18F7"/>
    <w:rsid w:val="771B3B06"/>
    <w:rsid w:val="771D4F43"/>
    <w:rsid w:val="771F0CBB"/>
    <w:rsid w:val="77244524"/>
    <w:rsid w:val="772956DC"/>
    <w:rsid w:val="772C579E"/>
    <w:rsid w:val="772E53A2"/>
    <w:rsid w:val="77324E93"/>
    <w:rsid w:val="77333282"/>
    <w:rsid w:val="77343E4D"/>
    <w:rsid w:val="773917D0"/>
    <w:rsid w:val="77400C32"/>
    <w:rsid w:val="77416534"/>
    <w:rsid w:val="77436BAC"/>
    <w:rsid w:val="774B5945"/>
    <w:rsid w:val="775070C7"/>
    <w:rsid w:val="77534E09"/>
    <w:rsid w:val="775721EB"/>
    <w:rsid w:val="775A7F45"/>
    <w:rsid w:val="77610F13"/>
    <w:rsid w:val="77626DFA"/>
    <w:rsid w:val="77672662"/>
    <w:rsid w:val="776C1A27"/>
    <w:rsid w:val="777234E1"/>
    <w:rsid w:val="77770873"/>
    <w:rsid w:val="777C610E"/>
    <w:rsid w:val="777D3BB6"/>
    <w:rsid w:val="778356EE"/>
    <w:rsid w:val="77860D3A"/>
    <w:rsid w:val="7789082B"/>
    <w:rsid w:val="778C6004"/>
    <w:rsid w:val="778D20C9"/>
    <w:rsid w:val="778D78FD"/>
    <w:rsid w:val="77926E25"/>
    <w:rsid w:val="77975BED"/>
    <w:rsid w:val="779C40BA"/>
    <w:rsid w:val="77A13731"/>
    <w:rsid w:val="77A411C1"/>
    <w:rsid w:val="77A516AE"/>
    <w:rsid w:val="77A639D1"/>
    <w:rsid w:val="77A967D7"/>
    <w:rsid w:val="77AD276B"/>
    <w:rsid w:val="77B5517C"/>
    <w:rsid w:val="77B75398"/>
    <w:rsid w:val="77BC29AE"/>
    <w:rsid w:val="77C805A4"/>
    <w:rsid w:val="77CB0E43"/>
    <w:rsid w:val="77CE74E2"/>
    <w:rsid w:val="77D27D16"/>
    <w:rsid w:val="77D40115"/>
    <w:rsid w:val="77DC0848"/>
    <w:rsid w:val="77DC38C2"/>
    <w:rsid w:val="77DE6E09"/>
    <w:rsid w:val="77DF4340"/>
    <w:rsid w:val="77E12415"/>
    <w:rsid w:val="77E65C7D"/>
    <w:rsid w:val="77EA6A1D"/>
    <w:rsid w:val="77EB5E3E"/>
    <w:rsid w:val="77F22050"/>
    <w:rsid w:val="77F57C6E"/>
    <w:rsid w:val="77F71C38"/>
    <w:rsid w:val="77FC247B"/>
    <w:rsid w:val="77FE6B23"/>
    <w:rsid w:val="780305DD"/>
    <w:rsid w:val="78034139"/>
    <w:rsid w:val="780954C8"/>
    <w:rsid w:val="78146346"/>
    <w:rsid w:val="781F4CEB"/>
    <w:rsid w:val="7820118F"/>
    <w:rsid w:val="782347DB"/>
    <w:rsid w:val="78324A1E"/>
    <w:rsid w:val="783A4DB0"/>
    <w:rsid w:val="78442190"/>
    <w:rsid w:val="784471B4"/>
    <w:rsid w:val="78454752"/>
    <w:rsid w:val="784853ED"/>
    <w:rsid w:val="784C3AC7"/>
    <w:rsid w:val="78511348"/>
    <w:rsid w:val="78515A11"/>
    <w:rsid w:val="78520C1D"/>
    <w:rsid w:val="78574485"/>
    <w:rsid w:val="785B21C7"/>
    <w:rsid w:val="785B5D23"/>
    <w:rsid w:val="785C142D"/>
    <w:rsid w:val="785C79F0"/>
    <w:rsid w:val="785D5F3F"/>
    <w:rsid w:val="786003E4"/>
    <w:rsid w:val="7860333A"/>
    <w:rsid w:val="786541B6"/>
    <w:rsid w:val="78670B6C"/>
    <w:rsid w:val="786848E4"/>
    <w:rsid w:val="78686692"/>
    <w:rsid w:val="786C7F30"/>
    <w:rsid w:val="786D3CA8"/>
    <w:rsid w:val="786F17CF"/>
    <w:rsid w:val="78715547"/>
    <w:rsid w:val="7874327C"/>
    <w:rsid w:val="78760DAF"/>
    <w:rsid w:val="787A29CF"/>
    <w:rsid w:val="78801C2E"/>
    <w:rsid w:val="788075B7"/>
    <w:rsid w:val="78832A30"/>
    <w:rsid w:val="78852DA0"/>
    <w:rsid w:val="788567F8"/>
    <w:rsid w:val="78866B18"/>
    <w:rsid w:val="788778D1"/>
    <w:rsid w:val="78882890"/>
    <w:rsid w:val="788B5829"/>
    <w:rsid w:val="788C2C6F"/>
    <w:rsid w:val="78902592"/>
    <w:rsid w:val="78915BE9"/>
    <w:rsid w:val="78941235"/>
    <w:rsid w:val="78947487"/>
    <w:rsid w:val="78954206"/>
    <w:rsid w:val="789631FF"/>
    <w:rsid w:val="78972AD3"/>
    <w:rsid w:val="789746CB"/>
    <w:rsid w:val="78995758"/>
    <w:rsid w:val="789D27E0"/>
    <w:rsid w:val="78A07BDA"/>
    <w:rsid w:val="78A668C1"/>
    <w:rsid w:val="78AB1B2C"/>
    <w:rsid w:val="78AC657F"/>
    <w:rsid w:val="78B14583"/>
    <w:rsid w:val="78B2790D"/>
    <w:rsid w:val="78B43685"/>
    <w:rsid w:val="78BB2C66"/>
    <w:rsid w:val="78BB7662"/>
    <w:rsid w:val="78BD69DE"/>
    <w:rsid w:val="78C0202A"/>
    <w:rsid w:val="78C74851"/>
    <w:rsid w:val="78C837D4"/>
    <w:rsid w:val="78C95383"/>
    <w:rsid w:val="78CC09CF"/>
    <w:rsid w:val="78CE2F07"/>
    <w:rsid w:val="78D233A7"/>
    <w:rsid w:val="78D6184E"/>
    <w:rsid w:val="78DD2BDC"/>
    <w:rsid w:val="78DE54C0"/>
    <w:rsid w:val="78E07D11"/>
    <w:rsid w:val="78E21FA1"/>
    <w:rsid w:val="78E421BD"/>
    <w:rsid w:val="78EA52F9"/>
    <w:rsid w:val="78EA70A7"/>
    <w:rsid w:val="78EC72C3"/>
    <w:rsid w:val="78EE303B"/>
    <w:rsid w:val="78EF0B61"/>
    <w:rsid w:val="78EF290F"/>
    <w:rsid w:val="78F10436"/>
    <w:rsid w:val="78F910A8"/>
    <w:rsid w:val="78F915C9"/>
    <w:rsid w:val="78FD327E"/>
    <w:rsid w:val="78FF6FF6"/>
    <w:rsid w:val="79002D6F"/>
    <w:rsid w:val="79080105"/>
    <w:rsid w:val="7908577F"/>
    <w:rsid w:val="790B0128"/>
    <w:rsid w:val="79134850"/>
    <w:rsid w:val="791800B8"/>
    <w:rsid w:val="792070BB"/>
    <w:rsid w:val="79237F98"/>
    <w:rsid w:val="79255191"/>
    <w:rsid w:val="792702FB"/>
    <w:rsid w:val="792A1B99"/>
    <w:rsid w:val="792B7DEB"/>
    <w:rsid w:val="792C3B64"/>
    <w:rsid w:val="792C3D10"/>
    <w:rsid w:val="792E2F05"/>
    <w:rsid w:val="79314CD6"/>
    <w:rsid w:val="79330A4E"/>
    <w:rsid w:val="793420B5"/>
    <w:rsid w:val="793622EC"/>
    <w:rsid w:val="793A1DDD"/>
    <w:rsid w:val="793A4C56"/>
    <w:rsid w:val="793D7B1F"/>
    <w:rsid w:val="79442C5B"/>
    <w:rsid w:val="79477991"/>
    <w:rsid w:val="794964C4"/>
    <w:rsid w:val="794B1BA1"/>
    <w:rsid w:val="794B3FEA"/>
    <w:rsid w:val="794B73BB"/>
    <w:rsid w:val="794C090D"/>
    <w:rsid w:val="794C17CC"/>
    <w:rsid w:val="794C5FB4"/>
    <w:rsid w:val="79515378"/>
    <w:rsid w:val="795175C9"/>
    <w:rsid w:val="79532E9E"/>
    <w:rsid w:val="795445DD"/>
    <w:rsid w:val="7956473D"/>
    <w:rsid w:val="79570BE0"/>
    <w:rsid w:val="795853F6"/>
    <w:rsid w:val="795F1843"/>
    <w:rsid w:val="796055BB"/>
    <w:rsid w:val="7961380D"/>
    <w:rsid w:val="79627585"/>
    <w:rsid w:val="79634B6D"/>
    <w:rsid w:val="796365C3"/>
    <w:rsid w:val="796450AB"/>
    <w:rsid w:val="79646E59"/>
    <w:rsid w:val="7968355D"/>
    <w:rsid w:val="79694470"/>
    <w:rsid w:val="796E7CD8"/>
    <w:rsid w:val="79717627"/>
    <w:rsid w:val="797D3A11"/>
    <w:rsid w:val="797F25DF"/>
    <w:rsid w:val="797F65C3"/>
    <w:rsid w:val="798017B9"/>
    <w:rsid w:val="7984574E"/>
    <w:rsid w:val="798968C0"/>
    <w:rsid w:val="798B088A"/>
    <w:rsid w:val="79915775"/>
    <w:rsid w:val="79931F91"/>
    <w:rsid w:val="799325F8"/>
    <w:rsid w:val="79951709"/>
    <w:rsid w:val="79974A93"/>
    <w:rsid w:val="799B3E33"/>
    <w:rsid w:val="79A13C0A"/>
    <w:rsid w:val="79A63DB1"/>
    <w:rsid w:val="79A74F98"/>
    <w:rsid w:val="79A870B5"/>
    <w:rsid w:val="79A96F62"/>
    <w:rsid w:val="79AC25AE"/>
    <w:rsid w:val="79B5004F"/>
    <w:rsid w:val="79B80F53"/>
    <w:rsid w:val="79B871A5"/>
    <w:rsid w:val="79BA116F"/>
    <w:rsid w:val="79BA3C45"/>
    <w:rsid w:val="79C1605A"/>
    <w:rsid w:val="79C30024"/>
    <w:rsid w:val="79C43D9C"/>
    <w:rsid w:val="79C45B4A"/>
    <w:rsid w:val="79C478F8"/>
    <w:rsid w:val="79C60E93"/>
    <w:rsid w:val="79CB17D1"/>
    <w:rsid w:val="79CB3EBE"/>
    <w:rsid w:val="79CD2C51"/>
    <w:rsid w:val="79D51B05"/>
    <w:rsid w:val="79D81204"/>
    <w:rsid w:val="79DA35C0"/>
    <w:rsid w:val="79DC7338"/>
    <w:rsid w:val="79DD09BA"/>
    <w:rsid w:val="79E61F64"/>
    <w:rsid w:val="79EB30D7"/>
    <w:rsid w:val="79EF706B"/>
    <w:rsid w:val="79F04B91"/>
    <w:rsid w:val="79F53F55"/>
    <w:rsid w:val="79F744A6"/>
    <w:rsid w:val="79FC1788"/>
    <w:rsid w:val="79FF6B82"/>
    <w:rsid w:val="7A044199"/>
    <w:rsid w:val="7A055B3E"/>
    <w:rsid w:val="7A083C89"/>
    <w:rsid w:val="7A0D129F"/>
    <w:rsid w:val="7A0F14BB"/>
    <w:rsid w:val="7A140880"/>
    <w:rsid w:val="7A145971"/>
    <w:rsid w:val="7A1545F8"/>
    <w:rsid w:val="7A170AD6"/>
    <w:rsid w:val="7A215F20"/>
    <w:rsid w:val="7A252A8D"/>
    <w:rsid w:val="7A28257D"/>
    <w:rsid w:val="7A2844B3"/>
    <w:rsid w:val="7A291E51"/>
    <w:rsid w:val="7A2B3E1B"/>
    <w:rsid w:val="7A2B7977"/>
    <w:rsid w:val="7A322091"/>
    <w:rsid w:val="7A340F22"/>
    <w:rsid w:val="7A347300"/>
    <w:rsid w:val="7A3727C0"/>
    <w:rsid w:val="7A3A405E"/>
    <w:rsid w:val="7A3E58FC"/>
    <w:rsid w:val="7A3F3423"/>
    <w:rsid w:val="7A410F49"/>
    <w:rsid w:val="7A4822D7"/>
    <w:rsid w:val="7A4A42A1"/>
    <w:rsid w:val="7A4D3D91"/>
    <w:rsid w:val="7A4E0A82"/>
    <w:rsid w:val="7A4E3666"/>
    <w:rsid w:val="7A4F18B8"/>
    <w:rsid w:val="7A4F7B0A"/>
    <w:rsid w:val="7A505630"/>
    <w:rsid w:val="7A523156"/>
    <w:rsid w:val="7A560FD9"/>
    <w:rsid w:val="7A5944E4"/>
    <w:rsid w:val="7A6510DB"/>
    <w:rsid w:val="7A652E89"/>
    <w:rsid w:val="7A681168"/>
    <w:rsid w:val="7A684727"/>
    <w:rsid w:val="7A6F1F5A"/>
    <w:rsid w:val="7A703A37"/>
    <w:rsid w:val="7A70796D"/>
    <w:rsid w:val="7A7278A0"/>
    <w:rsid w:val="7A792DD8"/>
    <w:rsid w:val="7A79605C"/>
    <w:rsid w:val="7A7A445B"/>
    <w:rsid w:val="7A7F1A71"/>
    <w:rsid w:val="7A81642D"/>
    <w:rsid w:val="7A8772A3"/>
    <w:rsid w:val="7A8D23E0"/>
    <w:rsid w:val="7A8D418E"/>
    <w:rsid w:val="7A8E52EC"/>
    <w:rsid w:val="7A8E7F0B"/>
    <w:rsid w:val="7A9009E0"/>
    <w:rsid w:val="7A925C48"/>
    <w:rsid w:val="7A9B2D4F"/>
    <w:rsid w:val="7A9B4AFD"/>
    <w:rsid w:val="7A9E639B"/>
    <w:rsid w:val="7AA5772A"/>
    <w:rsid w:val="7AA80FC8"/>
    <w:rsid w:val="7AA86C05"/>
    <w:rsid w:val="7AAA2F92"/>
    <w:rsid w:val="7AAB2866"/>
    <w:rsid w:val="7AB14320"/>
    <w:rsid w:val="7AB20098"/>
    <w:rsid w:val="7AB636E5"/>
    <w:rsid w:val="7AB94F83"/>
    <w:rsid w:val="7ABD0F17"/>
    <w:rsid w:val="7AC73B44"/>
    <w:rsid w:val="7ACA53E2"/>
    <w:rsid w:val="7ACB4CB6"/>
    <w:rsid w:val="7ACD6C80"/>
    <w:rsid w:val="7ACD72E8"/>
    <w:rsid w:val="7ACE4F08"/>
    <w:rsid w:val="7AD16771"/>
    <w:rsid w:val="7AD24297"/>
    <w:rsid w:val="7AD26045"/>
    <w:rsid w:val="7AD56A3F"/>
    <w:rsid w:val="7AD718AD"/>
    <w:rsid w:val="7AD7365B"/>
    <w:rsid w:val="7ADA3A00"/>
    <w:rsid w:val="7ADC6861"/>
    <w:rsid w:val="7ADE2B8D"/>
    <w:rsid w:val="7AE10E80"/>
    <w:rsid w:val="7AE21778"/>
    <w:rsid w:val="7AE71AF0"/>
    <w:rsid w:val="7AEB22B9"/>
    <w:rsid w:val="7AEC1544"/>
    <w:rsid w:val="7AEC35AA"/>
    <w:rsid w:val="7AF34939"/>
    <w:rsid w:val="7AF4420D"/>
    <w:rsid w:val="7AF67F85"/>
    <w:rsid w:val="7AFD1314"/>
    <w:rsid w:val="7B0209A9"/>
    <w:rsid w:val="7B0216BD"/>
    <w:rsid w:val="7B0501C8"/>
    <w:rsid w:val="7B0703E4"/>
    <w:rsid w:val="7B087CB8"/>
    <w:rsid w:val="7B095F0A"/>
    <w:rsid w:val="7B0E3521"/>
    <w:rsid w:val="7B0F7299"/>
    <w:rsid w:val="7B114DBF"/>
    <w:rsid w:val="7B116B6D"/>
    <w:rsid w:val="7B116F75"/>
    <w:rsid w:val="7B136D89"/>
    <w:rsid w:val="7B157A36"/>
    <w:rsid w:val="7B1B5C3E"/>
    <w:rsid w:val="7B1D25DB"/>
    <w:rsid w:val="7B1E5807"/>
    <w:rsid w:val="7B2274F0"/>
    <w:rsid w:val="7B2346F3"/>
    <w:rsid w:val="7B252618"/>
    <w:rsid w:val="7B263E7A"/>
    <w:rsid w:val="7B2A5840"/>
    <w:rsid w:val="7B2A5E81"/>
    <w:rsid w:val="7B2B13B4"/>
    <w:rsid w:val="7B3005EE"/>
    <w:rsid w:val="7B322887"/>
    <w:rsid w:val="7B35555C"/>
    <w:rsid w:val="7B38059E"/>
    <w:rsid w:val="7B4231CA"/>
    <w:rsid w:val="7B430CF1"/>
    <w:rsid w:val="7B445194"/>
    <w:rsid w:val="7B454A69"/>
    <w:rsid w:val="7B477A51"/>
    <w:rsid w:val="7B4B6523"/>
    <w:rsid w:val="7B4C4049"/>
    <w:rsid w:val="7B5178B1"/>
    <w:rsid w:val="7B5C2DC5"/>
    <w:rsid w:val="7B5D0004"/>
    <w:rsid w:val="7B6273C9"/>
    <w:rsid w:val="7B643141"/>
    <w:rsid w:val="7B697FC1"/>
    <w:rsid w:val="7B6B0973"/>
    <w:rsid w:val="7B6F1AE6"/>
    <w:rsid w:val="7B6F2C8A"/>
    <w:rsid w:val="7B6F3239"/>
    <w:rsid w:val="7B71585E"/>
    <w:rsid w:val="7B783090"/>
    <w:rsid w:val="7B7B048A"/>
    <w:rsid w:val="7B845591"/>
    <w:rsid w:val="7B8732D3"/>
    <w:rsid w:val="7B933A26"/>
    <w:rsid w:val="7B937ECA"/>
    <w:rsid w:val="7B954C24"/>
    <w:rsid w:val="7B9638E8"/>
    <w:rsid w:val="7B9652C4"/>
    <w:rsid w:val="7B992269"/>
    <w:rsid w:val="7B9B0B2D"/>
    <w:rsid w:val="7B9B707B"/>
    <w:rsid w:val="7B9C7786"/>
    <w:rsid w:val="7BA2010D"/>
    <w:rsid w:val="7BA619AB"/>
    <w:rsid w:val="7BA94FF8"/>
    <w:rsid w:val="7BAC4AE8"/>
    <w:rsid w:val="7BB340C8"/>
    <w:rsid w:val="7BB51BEE"/>
    <w:rsid w:val="7BB8028F"/>
    <w:rsid w:val="7BBA0FB3"/>
    <w:rsid w:val="7BBC11CF"/>
    <w:rsid w:val="7BC10593"/>
    <w:rsid w:val="7BC1650F"/>
    <w:rsid w:val="7BC260B9"/>
    <w:rsid w:val="7BC35DD0"/>
    <w:rsid w:val="7BC77B74"/>
    <w:rsid w:val="7BCB7664"/>
    <w:rsid w:val="7BD8369B"/>
    <w:rsid w:val="7BD965DC"/>
    <w:rsid w:val="7BDE004E"/>
    <w:rsid w:val="7BE30E62"/>
    <w:rsid w:val="7BE40725"/>
    <w:rsid w:val="7BE91898"/>
    <w:rsid w:val="7BEC3136"/>
    <w:rsid w:val="7BF02C26"/>
    <w:rsid w:val="7BF32717"/>
    <w:rsid w:val="7BF5648F"/>
    <w:rsid w:val="7BF85F7F"/>
    <w:rsid w:val="7C000D2F"/>
    <w:rsid w:val="7C013085"/>
    <w:rsid w:val="7C034094"/>
    <w:rsid w:val="7C0740E6"/>
    <w:rsid w:val="7C076A3C"/>
    <w:rsid w:val="7C077F70"/>
    <w:rsid w:val="7C090879"/>
    <w:rsid w:val="7C0B5CB2"/>
    <w:rsid w:val="7C0D1A2A"/>
    <w:rsid w:val="7C0E57A2"/>
    <w:rsid w:val="7C127041"/>
    <w:rsid w:val="7C142DB9"/>
    <w:rsid w:val="7C147B4E"/>
    <w:rsid w:val="7C1B600F"/>
    <w:rsid w:val="7C1D143B"/>
    <w:rsid w:val="7C232FFC"/>
    <w:rsid w:val="7C243A38"/>
    <w:rsid w:val="7C266648"/>
    <w:rsid w:val="7C2E19A1"/>
    <w:rsid w:val="7C31261E"/>
    <w:rsid w:val="7C336FB7"/>
    <w:rsid w:val="7C3664B7"/>
    <w:rsid w:val="7C376AA7"/>
    <w:rsid w:val="7C39020C"/>
    <w:rsid w:val="7C3B4472"/>
    <w:rsid w:val="7C3F770A"/>
    <w:rsid w:val="7C451EBA"/>
    <w:rsid w:val="7C480C03"/>
    <w:rsid w:val="7C482A62"/>
    <w:rsid w:val="7C4A219A"/>
    <w:rsid w:val="7C4B4301"/>
    <w:rsid w:val="7C4F37CE"/>
    <w:rsid w:val="7C507B69"/>
    <w:rsid w:val="7C52743D"/>
    <w:rsid w:val="7C5A2796"/>
    <w:rsid w:val="7C5F1B5A"/>
    <w:rsid w:val="7C60168E"/>
    <w:rsid w:val="7C645BF6"/>
    <w:rsid w:val="7C6574D9"/>
    <w:rsid w:val="7C6A37BF"/>
    <w:rsid w:val="7C705B15"/>
    <w:rsid w:val="7C7324B0"/>
    <w:rsid w:val="7C761A94"/>
    <w:rsid w:val="7C765821"/>
    <w:rsid w:val="7C794503"/>
    <w:rsid w:val="7C7A4BE6"/>
    <w:rsid w:val="7C7C095E"/>
    <w:rsid w:val="7C7C232A"/>
    <w:rsid w:val="7C7E49A7"/>
    <w:rsid w:val="7C833A9B"/>
    <w:rsid w:val="7C835849"/>
    <w:rsid w:val="7C857813"/>
    <w:rsid w:val="7C8617DD"/>
    <w:rsid w:val="7C8C7339"/>
    <w:rsid w:val="7C967184"/>
    <w:rsid w:val="7C970ABF"/>
    <w:rsid w:val="7C9841F0"/>
    <w:rsid w:val="7C9A00E3"/>
    <w:rsid w:val="7C9B7036"/>
    <w:rsid w:val="7C9C2DAE"/>
    <w:rsid w:val="7C9E3DBD"/>
    <w:rsid w:val="7CA06605"/>
    <w:rsid w:val="7CA852AF"/>
    <w:rsid w:val="7CAD4E75"/>
    <w:rsid w:val="7CB2612E"/>
    <w:rsid w:val="7CB41EA6"/>
    <w:rsid w:val="7CB756B9"/>
    <w:rsid w:val="7CB8672B"/>
    <w:rsid w:val="7CBB3234"/>
    <w:rsid w:val="7CBC0D5A"/>
    <w:rsid w:val="7CBC51FE"/>
    <w:rsid w:val="7CC04CEF"/>
    <w:rsid w:val="7CC9724F"/>
    <w:rsid w:val="7CCC3693"/>
    <w:rsid w:val="7CD56640"/>
    <w:rsid w:val="7CD6006E"/>
    <w:rsid w:val="7CD60D99"/>
    <w:rsid w:val="7CDC31AB"/>
    <w:rsid w:val="7CDD764F"/>
    <w:rsid w:val="7CDE0CEE"/>
    <w:rsid w:val="7CE331FC"/>
    <w:rsid w:val="7CE33457"/>
    <w:rsid w:val="7CE34539"/>
    <w:rsid w:val="7CE41DCB"/>
    <w:rsid w:val="7CE44C19"/>
    <w:rsid w:val="7CE54755"/>
    <w:rsid w:val="7CE64029"/>
    <w:rsid w:val="7CED5C14"/>
    <w:rsid w:val="7CF20C20"/>
    <w:rsid w:val="7CF229CE"/>
    <w:rsid w:val="7CF44998"/>
    <w:rsid w:val="7CFD26BD"/>
    <w:rsid w:val="7D0050EB"/>
    <w:rsid w:val="7D010F82"/>
    <w:rsid w:val="7D026A45"/>
    <w:rsid w:val="7D056BA5"/>
    <w:rsid w:val="7D067652"/>
    <w:rsid w:val="7D0746CC"/>
    <w:rsid w:val="7D07647A"/>
    <w:rsid w:val="7D135393"/>
    <w:rsid w:val="7D144827"/>
    <w:rsid w:val="7D16490F"/>
    <w:rsid w:val="7D184EB5"/>
    <w:rsid w:val="7D1943FF"/>
    <w:rsid w:val="7D197F5B"/>
    <w:rsid w:val="7D1B0177"/>
    <w:rsid w:val="7D1D69A5"/>
    <w:rsid w:val="7D1E37C3"/>
    <w:rsid w:val="7D1F7C67"/>
    <w:rsid w:val="7D225061"/>
    <w:rsid w:val="7D241885"/>
    <w:rsid w:val="7D2E5C2E"/>
    <w:rsid w:val="7D31799A"/>
    <w:rsid w:val="7D330A2B"/>
    <w:rsid w:val="7D342FE7"/>
    <w:rsid w:val="7D344AC0"/>
    <w:rsid w:val="7D376633"/>
    <w:rsid w:val="7D40198C"/>
    <w:rsid w:val="7D423956"/>
    <w:rsid w:val="7D451BF0"/>
    <w:rsid w:val="7D513B99"/>
    <w:rsid w:val="7D5316BF"/>
    <w:rsid w:val="7D545B98"/>
    <w:rsid w:val="7D5471E5"/>
    <w:rsid w:val="7D553689"/>
    <w:rsid w:val="7D5D42EC"/>
    <w:rsid w:val="7D62266C"/>
    <w:rsid w:val="7D6257F6"/>
    <w:rsid w:val="7D6438CC"/>
    <w:rsid w:val="7D690EE2"/>
    <w:rsid w:val="7D697134"/>
    <w:rsid w:val="7D6A4C5A"/>
    <w:rsid w:val="7D6B2EAC"/>
    <w:rsid w:val="7D6C2781"/>
    <w:rsid w:val="7D6D756E"/>
    <w:rsid w:val="7D6F3A58"/>
    <w:rsid w:val="7D6F401F"/>
    <w:rsid w:val="7D7358BD"/>
    <w:rsid w:val="7D7810B5"/>
    <w:rsid w:val="7D7A4E9D"/>
    <w:rsid w:val="7D7F24B4"/>
    <w:rsid w:val="7D80447E"/>
    <w:rsid w:val="7D8172FD"/>
    <w:rsid w:val="7D8555F0"/>
    <w:rsid w:val="7D860421"/>
    <w:rsid w:val="7D8950E1"/>
    <w:rsid w:val="7D8A0E59"/>
    <w:rsid w:val="7D941DC7"/>
    <w:rsid w:val="7D965A4F"/>
    <w:rsid w:val="7D985324"/>
    <w:rsid w:val="7D9C1C9B"/>
    <w:rsid w:val="7DA71A0B"/>
    <w:rsid w:val="7DA912DF"/>
    <w:rsid w:val="7DA91539"/>
    <w:rsid w:val="7DB008BF"/>
    <w:rsid w:val="7DB12889"/>
    <w:rsid w:val="7DB26379"/>
    <w:rsid w:val="7DB61C4E"/>
    <w:rsid w:val="7DBD4D8A"/>
    <w:rsid w:val="7DBF4FA6"/>
    <w:rsid w:val="7DC67197"/>
    <w:rsid w:val="7DC92CC8"/>
    <w:rsid w:val="7DCA74A7"/>
    <w:rsid w:val="7DCE51E9"/>
    <w:rsid w:val="7DCF7A7F"/>
    <w:rsid w:val="7DD9788C"/>
    <w:rsid w:val="7DDD367E"/>
    <w:rsid w:val="7DDD71DA"/>
    <w:rsid w:val="7DE20C95"/>
    <w:rsid w:val="7DE92023"/>
    <w:rsid w:val="7DEC3EF2"/>
    <w:rsid w:val="7DF24600"/>
    <w:rsid w:val="7DF438B1"/>
    <w:rsid w:val="7DFB29AD"/>
    <w:rsid w:val="7DFC4599"/>
    <w:rsid w:val="7DFD787D"/>
    <w:rsid w:val="7DFF53A3"/>
    <w:rsid w:val="7E046E5D"/>
    <w:rsid w:val="7E0557AD"/>
    <w:rsid w:val="7E094473"/>
    <w:rsid w:val="7E0B3D48"/>
    <w:rsid w:val="7E0F602A"/>
    <w:rsid w:val="7E0F7DC7"/>
    <w:rsid w:val="7E100DFE"/>
    <w:rsid w:val="7E105802"/>
    <w:rsid w:val="7E1075B0"/>
    <w:rsid w:val="7E133614"/>
    <w:rsid w:val="7E140702"/>
    <w:rsid w:val="7E176B90"/>
    <w:rsid w:val="7E1C7D03"/>
    <w:rsid w:val="7E1D0EDA"/>
    <w:rsid w:val="7E1F289D"/>
    <w:rsid w:val="7E1F3FC7"/>
    <w:rsid w:val="7E226085"/>
    <w:rsid w:val="7E240BD3"/>
    <w:rsid w:val="7E241386"/>
    <w:rsid w:val="7E26259C"/>
    <w:rsid w:val="7E272B13"/>
    <w:rsid w:val="7E2B43EA"/>
    <w:rsid w:val="7E2D63B4"/>
    <w:rsid w:val="7E311026"/>
    <w:rsid w:val="7E317112"/>
    <w:rsid w:val="7E342CC7"/>
    <w:rsid w:val="7E355268"/>
    <w:rsid w:val="7E3845D0"/>
    <w:rsid w:val="7E3B658C"/>
    <w:rsid w:val="7E3F1C43"/>
    <w:rsid w:val="7E3F60E7"/>
    <w:rsid w:val="7E486D4A"/>
    <w:rsid w:val="7E492AC2"/>
    <w:rsid w:val="7E4A3514"/>
    <w:rsid w:val="7E4E1E86"/>
    <w:rsid w:val="7E505BFE"/>
    <w:rsid w:val="7E551467"/>
    <w:rsid w:val="7E5661AC"/>
    <w:rsid w:val="7E5A6A7D"/>
    <w:rsid w:val="7E5F4093"/>
    <w:rsid w:val="7E611BB9"/>
    <w:rsid w:val="7E62504B"/>
    <w:rsid w:val="7E6478FC"/>
    <w:rsid w:val="7E6671D0"/>
    <w:rsid w:val="7E682F48"/>
    <w:rsid w:val="7E6A4C20"/>
    <w:rsid w:val="7E6B0C8A"/>
    <w:rsid w:val="7E747B3F"/>
    <w:rsid w:val="7E775881"/>
    <w:rsid w:val="7E7F024C"/>
    <w:rsid w:val="7E823FFB"/>
    <w:rsid w:val="7E8458A8"/>
    <w:rsid w:val="7E865AC4"/>
    <w:rsid w:val="7E896AD1"/>
    <w:rsid w:val="7E8B64B4"/>
    <w:rsid w:val="7E8D29AE"/>
    <w:rsid w:val="7E906943"/>
    <w:rsid w:val="7E971A7F"/>
    <w:rsid w:val="7E977CD1"/>
    <w:rsid w:val="7E9C0E44"/>
    <w:rsid w:val="7E9E2E0E"/>
    <w:rsid w:val="7EA06B86"/>
    <w:rsid w:val="7EA07E56"/>
    <w:rsid w:val="7EAD3051"/>
    <w:rsid w:val="7EAE4458"/>
    <w:rsid w:val="7EB3006D"/>
    <w:rsid w:val="7EB443DF"/>
    <w:rsid w:val="7EB62184"/>
    <w:rsid w:val="7EBC3294"/>
    <w:rsid w:val="7EC65EC0"/>
    <w:rsid w:val="7EC670C8"/>
    <w:rsid w:val="7EC87E8B"/>
    <w:rsid w:val="7ECF245A"/>
    <w:rsid w:val="7ECF746B"/>
    <w:rsid w:val="7ED06D3F"/>
    <w:rsid w:val="7EDE320A"/>
    <w:rsid w:val="7EE10F4C"/>
    <w:rsid w:val="7EE307DF"/>
    <w:rsid w:val="7EE527EB"/>
    <w:rsid w:val="7EE66563"/>
    <w:rsid w:val="7EE8052D"/>
    <w:rsid w:val="7EE84089"/>
    <w:rsid w:val="7EED78D6"/>
    <w:rsid w:val="7EEF5417"/>
    <w:rsid w:val="7EF25CA2"/>
    <w:rsid w:val="7EF70770"/>
    <w:rsid w:val="7EFD2246"/>
    <w:rsid w:val="7F0709B3"/>
    <w:rsid w:val="7F0A2251"/>
    <w:rsid w:val="7F0A3FFF"/>
    <w:rsid w:val="7F0D5113"/>
    <w:rsid w:val="7F1468BC"/>
    <w:rsid w:val="7F160582"/>
    <w:rsid w:val="7F160BF6"/>
    <w:rsid w:val="7F1725CE"/>
    <w:rsid w:val="7F17671C"/>
    <w:rsid w:val="7F186EB2"/>
    <w:rsid w:val="7F1B445E"/>
    <w:rsid w:val="7F1C3D32"/>
    <w:rsid w:val="7F1D01D6"/>
    <w:rsid w:val="7F210F90"/>
    <w:rsid w:val="7F250E39"/>
    <w:rsid w:val="7F270E22"/>
    <w:rsid w:val="7F280937"/>
    <w:rsid w:val="7F284842"/>
    <w:rsid w:val="7F2A72D7"/>
    <w:rsid w:val="7F2C0C33"/>
    <w:rsid w:val="7F2F7F0A"/>
    <w:rsid w:val="7F364DF4"/>
    <w:rsid w:val="7F386C49"/>
    <w:rsid w:val="7F3B065C"/>
    <w:rsid w:val="7F3D2627"/>
    <w:rsid w:val="7F3D5DC3"/>
    <w:rsid w:val="7F484B27"/>
    <w:rsid w:val="7F496C95"/>
    <w:rsid w:val="7F517E80"/>
    <w:rsid w:val="7F593CB3"/>
    <w:rsid w:val="7F5B0CFF"/>
    <w:rsid w:val="7F617B4A"/>
    <w:rsid w:val="7F6556D9"/>
    <w:rsid w:val="7F69341C"/>
    <w:rsid w:val="7F6C0C97"/>
    <w:rsid w:val="7F6C4CBA"/>
    <w:rsid w:val="7F6D27E0"/>
    <w:rsid w:val="7F6F0306"/>
    <w:rsid w:val="7F6F386A"/>
    <w:rsid w:val="7F71407E"/>
    <w:rsid w:val="7F731AA8"/>
    <w:rsid w:val="7F761695"/>
    <w:rsid w:val="7F7678E7"/>
    <w:rsid w:val="7F78365F"/>
    <w:rsid w:val="7F7917BB"/>
    <w:rsid w:val="7F792F33"/>
    <w:rsid w:val="7F7C550F"/>
    <w:rsid w:val="7F820039"/>
    <w:rsid w:val="7F833DB1"/>
    <w:rsid w:val="7F857B2A"/>
    <w:rsid w:val="7F8B5005"/>
    <w:rsid w:val="7F8E4C30"/>
    <w:rsid w:val="7F8F0A74"/>
    <w:rsid w:val="7F914720"/>
    <w:rsid w:val="7F92212D"/>
    <w:rsid w:val="7F933E41"/>
    <w:rsid w:val="7F950788"/>
    <w:rsid w:val="7F9678E9"/>
    <w:rsid w:val="7F9B10FB"/>
    <w:rsid w:val="7F9C3A4F"/>
    <w:rsid w:val="7F9D5736"/>
    <w:rsid w:val="7F9E0BEB"/>
    <w:rsid w:val="7F9F3680"/>
    <w:rsid w:val="7FA06711"/>
    <w:rsid w:val="7FA2248A"/>
    <w:rsid w:val="7FA6781D"/>
    <w:rsid w:val="7FA77AA0"/>
    <w:rsid w:val="7FA85856"/>
    <w:rsid w:val="7FAA57E2"/>
    <w:rsid w:val="7FAC50B6"/>
    <w:rsid w:val="7FB03369"/>
    <w:rsid w:val="7FB11F72"/>
    <w:rsid w:val="7FB27943"/>
    <w:rsid w:val="7FB81CAD"/>
    <w:rsid w:val="7FB87EFF"/>
    <w:rsid w:val="7FBB179D"/>
    <w:rsid w:val="7FBB4C46"/>
    <w:rsid w:val="7FBB79EF"/>
    <w:rsid w:val="7FBE4DEA"/>
    <w:rsid w:val="7FC20D7E"/>
    <w:rsid w:val="7FC34B98"/>
    <w:rsid w:val="7FDB58C3"/>
    <w:rsid w:val="7FDD0FAA"/>
    <w:rsid w:val="7FE147C9"/>
    <w:rsid w:val="7FE707E4"/>
    <w:rsid w:val="7FEA5BDF"/>
    <w:rsid w:val="7FF007FC"/>
    <w:rsid w:val="7FF37189"/>
    <w:rsid w:val="7FF52F01"/>
    <w:rsid w:val="7FF625B7"/>
    <w:rsid w:val="7FF72DF7"/>
    <w:rsid w:val="7FF802FC"/>
    <w:rsid w:val="7FFD0EBC"/>
    <w:rsid w:val="7FFD7A3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unhideWhenUsed="0" w:uiPriority="0" w:semiHidden="0"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qFormat="1" w:unhideWhenUsed="0" w:uiPriority="0" w:semiHidden="0" w:name="List 4"/>
    <w:lsdException w:unhideWhenUsed="0" w:uiPriority="0" w:semiHidden="0" w:name="List 5"/>
    <w:lsdException w:qFormat="1"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qFormat="1"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unhideWhenUsed="0" w:uiPriority="0" w:semiHidden="0" w:name="List Continue 2"/>
    <w:lsdException w:unhideWhenUsed="0" w:uiPriority="0" w:semiHidden="0" w:name="List Continue 3"/>
    <w:lsdException w:qFormat="1"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left="480" w:leftChars="200"/>
      <w:jc w:val="both"/>
    </w:pPr>
    <w:rPr>
      <w:rFonts w:ascii="Times New Roman" w:hAnsi="Times New Roman" w:eastAsia="仿宋_GB2312" w:cs="Times New Roman"/>
      <w:sz w:val="28"/>
      <w:lang w:val="en-US" w:eastAsia="zh-CN"/>
    </w:rPr>
  </w:style>
  <w:style w:type="paragraph" w:styleId="3">
    <w:name w:val="heading 1"/>
    <w:basedOn w:val="1"/>
    <w:next w:val="1"/>
    <w:link w:val="96"/>
    <w:qFormat/>
    <w:uiPriority w:val="0"/>
    <w:pPr>
      <w:keepNext/>
      <w:keepLines/>
      <w:spacing w:beforeLines="0" w:beforeAutospacing="0" w:afterLines="0" w:afterAutospacing="0" w:line="360" w:lineRule="auto"/>
      <w:outlineLvl w:val="0"/>
    </w:pPr>
    <w:rPr>
      <w:rFonts w:ascii="Times New Roman" w:hAnsi="Times New Roman" w:eastAsia="宋体"/>
      <w:b/>
      <w:kern w:val="44"/>
      <w:sz w:val="32"/>
    </w:rPr>
  </w:style>
  <w:style w:type="paragraph" w:styleId="4">
    <w:name w:val="heading 2"/>
    <w:basedOn w:val="5"/>
    <w:next w:val="5"/>
    <w:link w:val="95"/>
    <w:qFormat/>
    <w:uiPriority w:val="0"/>
    <w:pPr>
      <w:keepNext/>
      <w:keepLines/>
      <w:spacing w:beforeLines="0" w:beforeAutospacing="0" w:afterLines="0" w:afterAutospacing="0" w:line="360" w:lineRule="auto"/>
      <w:ind w:left="0" w:leftChars="0"/>
      <w:outlineLvl w:val="1"/>
    </w:pPr>
    <w:rPr>
      <w:rFonts w:ascii="宋体" w:hAnsi="宋体" w:eastAsia="宋体"/>
      <w:b/>
      <w:kern w:val="2"/>
      <w:sz w:val="30"/>
      <w:szCs w:val="30"/>
    </w:rPr>
  </w:style>
  <w:style w:type="paragraph" w:styleId="11">
    <w:name w:val="heading 3"/>
    <w:basedOn w:val="1"/>
    <w:next w:val="1"/>
    <w:link w:val="97"/>
    <w:qFormat/>
    <w:uiPriority w:val="0"/>
    <w:pPr>
      <w:keepNext/>
      <w:keepLines/>
      <w:spacing w:beforeLines="0" w:beforeAutospacing="0" w:afterLines="0" w:afterAutospacing="0" w:line="360" w:lineRule="auto"/>
      <w:ind w:left="0" w:leftChars="0"/>
      <w:outlineLvl w:val="2"/>
    </w:pPr>
    <w:rPr>
      <w:b/>
      <w:kern w:val="2"/>
      <w:sz w:val="28"/>
    </w:rPr>
  </w:style>
  <w:style w:type="paragraph" w:styleId="12">
    <w:name w:val="heading 4"/>
    <w:basedOn w:val="1"/>
    <w:next w:val="1"/>
    <w:link w:val="106"/>
    <w:qFormat/>
    <w:uiPriority w:val="0"/>
    <w:pPr>
      <w:keepNext/>
      <w:keepLines/>
      <w:spacing w:before="280" w:beforeLines="0" w:beforeAutospacing="0" w:after="290" w:afterLines="0" w:afterAutospacing="0" w:line="374" w:lineRule="auto"/>
      <w:outlineLvl w:val="3"/>
    </w:pPr>
    <w:rPr>
      <w:rFonts w:ascii="Cambria" w:hAnsi="Cambria" w:eastAsia="宋体"/>
      <w:b/>
      <w:kern w:val="2"/>
      <w:sz w:val="28"/>
    </w:rPr>
  </w:style>
  <w:style w:type="paragraph" w:styleId="13">
    <w:name w:val="heading 5"/>
    <w:basedOn w:val="1"/>
    <w:next w:val="1"/>
    <w:link w:val="107"/>
    <w:qFormat/>
    <w:uiPriority w:val="0"/>
    <w:pPr>
      <w:keepNext/>
      <w:keepLines/>
      <w:spacing w:before="280" w:beforeLines="0" w:beforeAutospacing="0" w:after="290" w:afterLines="0" w:afterAutospacing="0" w:line="374" w:lineRule="auto"/>
      <w:outlineLvl w:val="4"/>
    </w:pPr>
    <w:rPr>
      <w:b/>
      <w:kern w:val="2"/>
      <w:sz w:val="28"/>
    </w:rPr>
  </w:style>
  <w:style w:type="paragraph" w:styleId="14">
    <w:name w:val="heading 6"/>
    <w:basedOn w:val="1"/>
    <w:next w:val="1"/>
    <w:link w:val="108"/>
    <w:qFormat/>
    <w:uiPriority w:val="0"/>
    <w:pPr>
      <w:keepNext/>
      <w:keepLines/>
      <w:spacing w:before="240" w:beforeLines="0" w:beforeAutospacing="0" w:after="64" w:afterLines="0" w:afterAutospacing="0" w:line="319" w:lineRule="auto"/>
      <w:outlineLvl w:val="5"/>
    </w:pPr>
    <w:rPr>
      <w:rFonts w:ascii="Cambria" w:hAnsi="Cambria" w:eastAsia="宋体"/>
      <w:b/>
      <w:kern w:val="2"/>
      <w:sz w:val="24"/>
    </w:rPr>
  </w:style>
  <w:style w:type="paragraph" w:styleId="15">
    <w:name w:val="heading 7"/>
    <w:basedOn w:val="1"/>
    <w:next w:val="1"/>
    <w:link w:val="109"/>
    <w:qFormat/>
    <w:uiPriority w:val="0"/>
    <w:pPr>
      <w:keepNext/>
      <w:keepLines/>
      <w:spacing w:before="240" w:beforeLines="0" w:beforeAutospacing="0" w:after="64" w:afterLines="0" w:afterAutospacing="0" w:line="319" w:lineRule="auto"/>
      <w:outlineLvl w:val="6"/>
    </w:pPr>
    <w:rPr>
      <w:b/>
      <w:kern w:val="2"/>
      <w:sz w:val="24"/>
    </w:rPr>
  </w:style>
  <w:style w:type="paragraph" w:styleId="16">
    <w:name w:val="heading 8"/>
    <w:basedOn w:val="1"/>
    <w:next w:val="1"/>
    <w:link w:val="110"/>
    <w:qFormat/>
    <w:uiPriority w:val="0"/>
    <w:pPr>
      <w:keepNext/>
      <w:keepLines/>
      <w:tabs>
        <w:tab w:val="left" w:pos="1440"/>
      </w:tabs>
      <w:adjustRightInd w:val="0"/>
      <w:snapToGrid w:val="0"/>
      <w:spacing w:before="240" w:beforeLines="0" w:beforeAutospacing="0" w:after="64" w:afterLines="0" w:afterAutospacing="0" w:line="319" w:lineRule="auto"/>
      <w:ind w:left="1440" w:hanging="1440"/>
      <w:outlineLvl w:val="7"/>
    </w:pPr>
    <w:rPr>
      <w:rFonts w:ascii="Arial" w:hAnsi="Arial" w:eastAsia="黑体"/>
      <w:kern w:val="2"/>
      <w:sz w:val="24"/>
    </w:rPr>
  </w:style>
  <w:style w:type="paragraph" w:styleId="17">
    <w:name w:val="heading 9"/>
    <w:basedOn w:val="1"/>
    <w:next w:val="1"/>
    <w:link w:val="111"/>
    <w:qFormat/>
    <w:uiPriority w:val="0"/>
    <w:pPr>
      <w:keepNext/>
      <w:keepLines/>
      <w:tabs>
        <w:tab w:val="left" w:pos="1584"/>
      </w:tabs>
      <w:adjustRightInd w:val="0"/>
      <w:snapToGrid w:val="0"/>
      <w:spacing w:before="240" w:beforeLines="0" w:beforeAutospacing="0" w:after="64" w:afterLines="0" w:afterAutospacing="0" w:line="319" w:lineRule="auto"/>
      <w:ind w:left="1584" w:hanging="1584"/>
      <w:outlineLvl w:val="8"/>
    </w:pPr>
    <w:rPr>
      <w:rFonts w:ascii="Arial" w:hAnsi="Arial" w:eastAsia="黑体"/>
      <w:kern w:val="2"/>
      <w:sz w:val="24"/>
    </w:rPr>
  </w:style>
  <w:style w:type="character" w:default="1" w:styleId="77">
    <w:name w:val="Default Paragraph Font"/>
    <w:qFormat/>
    <w:uiPriority w:val="0"/>
  </w:style>
  <w:style w:type="table" w:default="1" w:styleId="75">
    <w:name w:val="Normal Table"/>
    <w:semiHidden/>
    <w:qFormat/>
    <w:uiPriority w:val="0"/>
    <w:tblPr>
      <w:tblCellMar>
        <w:top w:w="0" w:type="dxa"/>
        <w:left w:w="108" w:type="dxa"/>
        <w:bottom w:w="0" w:type="dxa"/>
        <w:right w:w="108" w:type="dxa"/>
      </w:tblCellMar>
    </w:tblPr>
  </w:style>
  <w:style w:type="paragraph" w:styleId="2">
    <w:name w:val="macro"/>
    <w:link w:val="105"/>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Times New Roman"/>
      <w:kern w:val="2"/>
      <w:sz w:val="24"/>
      <w:lang w:val="en-US" w:eastAsia="zh-CN"/>
    </w:rPr>
  </w:style>
  <w:style w:type="paragraph" w:customStyle="1" w:styleId="5">
    <w:name w:val="正文格式"/>
    <w:basedOn w:val="6"/>
    <w:next w:val="10"/>
    <w:qFormat/>
    <w:uiPriority w:val="0"/>
    <w:pPr>
      <w:widowControl w:val="0"/>
      <w:ind w:firstLine="200" w:firstLineChars="200"/>
    </w:pPr>
    <w:rPr>
      <w:rFonts w:hAnsi="Times New Roman" w:cs="Times New Roman"/>
      <w:kern w:val="2"/>
    </w:rPr>
  </w:style>
  <w:style w:type="paragraph" w:styleId="6">
    <w:name w:val="Body Text First Indent"/>
    <w:basedOn w:val="7"/>
    <w:next w:val="8"/>
    <w:link w:val="102"/>
    <w:qFormat/>
    <w:uiPriority w:val="0"/>
    <w:pPr>
      <w:ind w:firstLine="420" w:firstLineChars="100"/>
    </w:pPr>
  </w:style>
  <w:style w:type="paragraph" w:styleId="7">
    <w:name w:val="Body Text"/>
    <w:basedOn w:val="1"/>
    <w:next w:val="6"/>
    <w:link w:val="101"/>
    <w:qFormat/>
    <w:uiPriority w:val="0"/>
    <w:pPr>
      <w:spacing w:after="120" w:afterLines="0" w:afterAutospacing="0"/>
    </w:pPr>
    <w:rPr>
      <w:kern w:val="2"/>
      <w:sz w:val="21"/>
    </w:rPr>
  </w:style>
  <w:style w:type="paragraph" w:styleId="8">
    <w:name w:val="Body Text First Indent 2"/>
    <w:basedOn w:val="1"/>
    <w:next w:val="9"/>
    <w:link w:val="103"/>
    <w:qFormat/>
    <w:uiPriority w:val="0"/>
    <w:pPr>
      <w:adjustRightInd/>
      <w:spacing w:line="240" w:lineRule="auto"/>
      <w:ind w:firstLine="420" w:firstLineChars="200"/>
      <w:jc w:val="both"/>
      <w:textAlignment w:val="auto"/>
    </w:pPr>
    <w:rPr>
      <w:kern w:val="2"/>
      <w:sz w:val="21"/>
    </w:rPr>
  </w:style>
  <w:style w:type="paragraph" w:styleId="9">
    <w:name w:val="List Continue 4"/>
    <w:basedOn w:val="1"/>
    <w:next w:val="1"/>
    <w:qFormat/>
    <w:uiPriority w:val="0"/>
    <w:pPr>
      <w:spacing w:after="120"/>
      <w:ind w:left="1680" w:firstLine="480"/>
    </w:pPr>
    <w:rPr>
      <w:rFonts w:ascii="宋体"/>
    </w:rPr>
  </w:style>
  <w:style w:type="paragraph" w:customStyle="1" w:styleId="10">
    <w:name w:val="_Style 5"/>
    <w:basedOn w:val="1"/>
    <w:qFormat/>
    <w:uiPriority w:val="0"/>
    <w:pPr>
      <w:ind w:firstLine="420"/>
    </w:pPr>
    <w:rPr>
      <w:rFonts w:ascii="Calibri" w:hAnsi="Calibri"/>
      <w:szCs w:val="22"/>
    </w:rPr>
  </w:style>
  <w:style w:type="paragraph" w:styleId="18">
    <w:name w:val="toc 7"/>
    <w:basedOn w:val="1"/>
    <w:next w:val="1"/>
    <w:qFormat/>
    <w:uiPriority w:val="0"/>
    <w:pPr>
      <w:ind w:left="1260"/>
      <w:jc w:val="left"/>
    </w:pPr>
    <w:rPr>
      <w:rFonts w:ascii="Calibri" w:hAnsi="Calibri"/>
      <w:sz w:val="18"/>
    </w:rPr>
  </w:style>
  <w:style w:type="paragraph" w:styleId="19">
    <w:name w:val="table of authorities"/>
    <w:basedOn w:val="1"/>
    <w:next w:val="1"/>
    <w:qFormat/>
    <w:uiPriority w:val="0"/>
    <w:pPr>
      <w:ind w:left="420" w:leftChars="200"/>
    </w:pPr>
    <w:rPr>
      <w:rFonts w:ascii="Times New Roman" w:hAnsi="Times New Roman"/>
    </w:rPr>
  </w:style>
  <w:style w:type="paragraph" w:styleId="20">
    <w:name w:val="Note Heading"/>
    <w:basedOn w:val="1"/>
    <w:next w:val="1"/>
    <w:link w:val="112"/>
    <w:qFormat/>
    <w:uiPriority w:val="0"/>
    <w:pPr>
      <w:jc w:val="center"/>
    </w:pPr>
    <w:rPr>
      <w:rFonts w:ascii="Times New Roman" w:hAnsi="Times New Roman"/>
      <w:kern w:val="2"/>
      <w:sz w:val="21"/>
    </w:rPr>
  </w:style>
  <w:style w:type="paragraph" w:styleId="21">
    <w:name w:val="index 8"/>
    <w:basedOn w:val="1"/>
    <w:next w:val="1"/>
    <w:qFormat/>
    <w:uiPriority w:val="0"/>
    <w:pPr>
      <w:adjustRightInd w:val="0"/>
      <w:snapToGrid w:val="0"/>
      <w:spacing w:line="360" w:lineRule="auto"/>
      <w:ind w:left="2940" w:firstLine="480"/>
    </w:pPr>
    <w:rPr>
      <w:rFonts w:ascii="Times New Roman" w:hAnsi="Times New Roman"/>
      <w:sz w:val="24"/>
    </w:rPr>
  </w:style>
  <w:style w:type="paragraph" w:styleId="22">
    <w:name w:val="E-mail Signature"/>
    <w:basedOn w:val="1"/>
    <w:link w:val="113"/>
    <w:qFormat/>
    <w:uiPriority w:val="0"/>
    <w:pPr>
      <w:spacing w:line="520" w:lineRule="exact"/>
      <w:ind w:firstLine="200" w:firstLineChars="200"/>
    </w:pPr>
    <w:rPr>
      <w:rFonts w:ascii="仿宋_GB2312" w:hAnsi="Times New Roman" w:eastAsia="仿宋_GB2312"/>
      <w:kern w:val="2"/>
      <w:sz w:val="28"/>
    </w:rPr>
  </w:style>
  <w:style w:type="paragraph" w:styleId="23">
    <w:name w:val="List Number"/>
    <w:basedOn w:val="1"/>
    <w:qFormat/>
    <w:uiPriority w:val="0"/>
    <w:pPr>
      <w:tabs>
        <w:tab w:val="left" w:pos="360"/>
      </w:tabs>
      <w:spacing w:line="520" w:lineRule="exact"/>
      <w:ind w:left="360" w:hanging="360" w:hangingChars="200"/>
    </w:pPr>
    <w:rPr>
      <w:rFonts w:ascii="仿宋_GB2312" w:hAnsi="Times New Roman" w:eastAsia="仿宋_GB2312"/>
      <w:sz w:val="28"/>
    </w:rPr>
  </w:style>
  <w:style w:type="paragraph" w:styleId="24">
    <w:name w:val="Normal Indent"/>
    <w:basedOn w:val="1"/>
    <w:next w:val="1"/>
    <w:link w:val="114"/>
    <w:qFormat/>
    <w:uiPriority w:val="0"/>
    <w:pPr>
      <w:ind w:firstLine="420" w:firstLineChars="200"/>
    </w:pPr>
    <w:rPr>
      <w:kern w:val="2"/>
      <w:sz w:val="21"/>
    </w:rPr>
  </w:style>
  <w:style w:type="paragraph" w:styleId="25">
    <w:name w:val="caption"/>
    <w:basedOn w:val="1"/>
    <w:next w:val="26"/>
    <w:link w:val="115"/>
    <w:qFormat/>
    <w:uiPriority w:val="0"/>
    <w:pPr>
      <w:pageBreakBefore/>
      <w:adjustRightInd w:val="0"/>
      <w:snapToGrid w:val="0"/>
      <w:spacing w:line="360" w:lineRule="auto"/>
      <w:ind w:firstLine="440" w:firstLineChars="200"/>
      <w:jc w:val="center"/>
    </w:pPr>
    <w:rPr>
      <w:rFonts w:ascii="Times New Roman" w:hAnsi="Times New Roman" w:eastAsia="黑体"/>
      <w:sz w:val="22"/>
    </w:rPr>
  </w:style>
  <w:style w:type="paragraph" w:customStyle="1" w:styleId="26">
    <w:name w:val="zw"/>
    <w:basedOn w:val="27"/>
    <w:qFormat/>
    <w:uiPriority w:val="0"/>
    <w:pPr>
      <w:shd w:val="clear" w:color="auto" w:fill="FFFFFF"/>
      <w:tabs>
        <w:tab w:val="left" w:pos="420"/>
        <w:tab w:val="left" w:pos="675"/>
      </w:tabs>
      <w:adjustRightInd w:val="0"/>
      <w:snapToGrid w:val="0"/>
      <w:spacing w:line="360" w:lineRule="auto"/>
      <w:ind w:firstLine="200" w:firstLineChars="200"/>
    </w:pPr>
    <w:rPr>
      <w:rFonts w:ascii="Times New Roman" w:hAnsi="Times New Roman"/>
      <w:color w:val="000000"/>
      <w:kern w:val="0"/>
      <w:sz w:val="24"/>
    </w:rPr>
  </w:style>
  <w:style w:type="paragraph" w:styleId="27">
    <w:name w:val="Plain Text"/>
    <w:basedOn w:val="1"/>
    <w:next w:val="28"/>
    <w:link w:val="116"/>
    <w:qFormat/>
    <w:uiPriority w:val="0"/>
    <w:pPr>
      <w:tabs>
        <w:tab w:val="left" w:pos="420"/>
        <w:tab w:val="left" w:pos="675"/>
      </w:tabs>
      <w:spacing w:line="460" w:lineRule="atLeast"/>
      <w:textAlignment w:val="center"/>
    </w:pPr>
    <w:rPr>
      <w:rFonts w:ascii="宋体" w:hAnsi="Courier New"/>
      <w:kern w:val="2"/>
      <w:sz w:val="21"/>
    </w:rPr>
  </w:style>
  <w:style w:type="paragraph" w:styleId="28">
    <w:name w:val="toc 1"/>
    <w:basedOn w:val="1"/>
    <w:next w:val="1"/>
    <w:qFormat/>
    <w:uiPriority w:val="0"/>
  </w:style>
  <w:style w:type="paragraph" w:styleId="29">
    <w:name w:val="index 5"/>
    <w:basedOn w:val="1"/>
    <w:next w:val="1"/>
    <w:qFormat/>
    <w:uiPriority w:val="0"/>
    <w:pPr>
      <w:adjustRightInd w:val="0"/>
      <w:snapToGrid w:val="0"/>
      <w:spacing w:line="360" w:lineRule="auto"/>
      <w:ind w:left="1680" w:firstLine="480"/>
    </w:pPr>
    <w:rPr>
      <w:rFonts w:ascii="Times New Roman" w:hAnsi="Times New Roman"/>
      <w:sz w:val="24"/>
    </w:rPr>
  </w:style>
  <w:style w:type="paragraph" w:styleId="30">
    <w:name w:val="List Bullet"/>
    <w:basedOn w:val="1"/>
    <w:qFormat/>
    <w:uiPriority w:val="0"/>
    <w:pPr>
      <w:tabs>
        <w:tab w:val="left" w:pos="432"/>
      </w:tabs>
      <w:spacing w:line="490" w:lineRule="exact"/>
      <w:ind w:left="432" w:hanging="432"/>
    </w:pPr>
    <w:rPr>
      <w:rFonts w:ascii="Times New Roman" w:hAnsi="Times New Roman" w:eastAsia="仿宋_GB2312"/>
      <w:sz w:val="28"/>
    </w:rPr>
  </w:style>
  <w:style w:type="paragraph" w:styleId="31">
    <w:name w:val="Document Map"/>
    <w:basedOn w:val="1"/>
    <w:link w:val="117"/>
    <w:qFormat/>
    <w:uiPriority w:val="0"/>
    <w:rPr>
      <w:rFonts w:ascii="宋体"/>
      <w:kern w:val="2"/>
      <w:sz w:val="18"/>
    </w:rPr>
  </w:style>
  <w:style w:type="paragraph" w:styleId="32">
    <w:name w:val="toa heading"/>
    <w:basedOn w:val="1"/>
    <w:next w:val="1"/>
    <w:qFormat/>
    <w:uiPriority w:val="0"/>
    <w:pPr>
      <w:spacing w:before="120" w:beforeLines="0" w:beforeAutospacing="0"/>
    </w:pPr>
    <w:rPr>
      <w:rFonts w:ascii="Arial" w:hAnsi="Arial"/>
      <w:sz w:val="24"/>
    </w:rPr>
  </w:style>
  <w:style w:type="paragraph" w:styleId="33">
    <w:name w:val="annotation text"/>
    <w:basedOn w:val="1"/>
    <w:link w:val="118"/>
    <w:qFormat/>
    <w:uiPriority w:val="0"/>
    <w:pPr>
      <w:jc w:val="left"/>
    </w:pPr>
    <w:rPr>
      <w:rFonts w:ascii="Times New Roman" w:hAnsi="Times New Roman"/>
      <w:kern w:val="2"/>
      <w:sz w:val="21"/>
    </w:rPr>
  </w:style>
  <w:style w:type="paragraph" w:styleId="34">
    <w:name w:val="index 6"/>
    <w:basedOn w:val="1"/>
    <w:next w:val="1"/>
    <w:qFormat/>
    <w:uiPriority w:val="0"/>
    <w:pPr>
      <w:adjustRightInd w:val="0"/>
      <w:snapToGrid w:val="0"/>
      <w:spacing w:line="360" w:lineRule="auto"/>
      <w:ind w:left="2100" w:firstLine="480"/>
    </w:pPr>
    <w:rPr>
      <w:rFonts w:ascii="Times New Roman" w:hAnsi="Times New Roman"/>
      <w:sz w:val="24"/>
    </w:rPr>
  </w:style>
  <w:style w:type="paragraph" w:styleId="35">
    <w:name w:val="Salutation"/>
    <w:basedOn w:val="1"/>
    <w:next w:val="1"/>
    <w:link w:val="119"/>
    <w:qFormat/>
    <w:uiPriority w:val="0"/>
    <w:pPr>
      <w:adjustRightInd w:val="0"/>
      <w:spacing w:line="360" w:lineRule="atLeast"/>
      <w:jc w:val="left"/>
      <w:textAlignment w:val="baseline"/>
    </w:pPr>
    <w:rPr>
      <w:rFonts w:ascii="Times New Roman" w:hAnsi="楷体" w:eastAsia="楷体"/>
      <w:sz w:val="28"/>
    </w:rPr>
  </w:style>
  <w:style w:type="paragraph" w:styleId="36">
    <w:name w:val="Body Text 3"/>
    <w:basedOn w:val="1"/>
    <w:link w:val="120"/>
    <w:qFormat/>
    <w:uiPriority w:val="0"/>
    <w:pPr>
      <w:adjustRightInd w:val="0"/>
      <w:jc w:val="center"/>
      <w:textAlignment w:val="baseline"/>
    </w:pPr>
    <w:rPr>
      <w:rFonts w:ascii="Times New Roman" w:hAnsi="Times New Roman"/>
      <w:sz w:val="18"/>
    </w:rPr>
  </w:style>
  <w:style w:type="paragraph" w:styleId="37">
    <w:name w:val="Closing"/>
    <w:basedOn w:val="1"/>
    <w:link w:val="121"/>
    <w:qFormat/>
    <w:uiPriority w:val="0"/>
    <w:pPr>
      <w:adjustRightInd w:val="0"/>
      <w:spacing w:line="360" w:lineRule="atLeast"/>
      <w:ind w:left="100" w:leftChars="2100"/>
      <w:jc w:val="left"/>
      <w:textAlignment w:val="baseline"/>
    </w:pPr>
    <w:rPr>
      <w:rFonts w:ascii="Times New Roman" w:hAnsi="楷体" w:eastAsia="楷体"/>
      <w:sz w:val="28"/>
    </w:rPr>
  </w:style>
  <w:style w:type="paragraph" w:styleId="38">
    <w:name w:val="Body Text Indent"/>
    <w:basedOn w:val="1"/>
    <w:next w:val="8"/>
    <w:link w:val="104"/>
    <w:qFormat/>
    <w:uiPriority w:val="0"/>
    <w:pPr>
      <w:adjustRightInd w:val="0"/>
      <w:spacing w:after="120" w:afterLines="0" w:afterAutospacing="0" w:line="360" w:lineRule="atLeast"/>
      <w:ind w:left="420" w:leftChars="200"/>
      <w:jc w:val="left"/>
      <w:textAlignment w:val="baseline"/>
    </w:pPr>
    <w:rPr>
      <w:rFonts w:ascii="Times New Roman" w:hAnsi="Times New Roman"/>
      <w:sz w:val="24"/>
    </w:rPr>
  </w:style>
  <w:style w:type="paragraph" w:styleId="39">
    <w:name w:val="List 2"/>
    <w:basedOn w:val="1"/>
    <w:qFormat/>
    <w:uiPriority w:val="0"/>
    <w:pPr>
      <w:spacing w:line="490" w:lineRule="exact"/>
      <w:ind w:left="100" w:leftChars="200" w:hanging="200" w:hangingChars="200"/>
    </w:pPr>
    <w:rPr>
      <w:rFonts w:ascii="Times New Roman" w:hAnsi="Times New Roman" w:eastAsia="仿宋_GB2312"/>
      <w:sz w:val="28"/>
    </w:rPr>
  </w:style>
  <w:style w:type="paragraph" w:styleId="40">
    <w:name w:val="List Continue"/>
    <w:basedOn w:val="1"/>
    <w:qFormat/>
    <w:uiPriority w:val="0"/>
    <w:pPr>
      <w:spacing w:after="120" w:afterLines="0" w:afterAutospacing="0"/>
      <w:ind w:left="420" w:leftChars="200"/>
    </w:pPr>
    <w:rPr>
      <w:rFonts w:ascii="Times New Roman" w:hAnsi="Times New Roman"/>
    </w:rPr>
  </w:style>
  <w:style w:type="paragraph" w:styleId="41">
    <w:name w:val="Block Text"/>
    <w:basedOn w:val="1"/>
    <w:qFormat/>
    <w:uiPriority w:val="0"/>
    <w:pPr>
      <w:ind w:left="113" w:right="113"/>
      <w:jc w:val="center"/>
    </w:pPr>
    <w:rPr>
      <w:rFonts w:ascii="Times New Roman" w:hAnsi="Times New Roman"/>
      <w:b/>
      <w:sz w:val="18"/>
    </w:rPr>
  </w:style>
  <w:style w:type="paragraph" w:styleId="42">
    <w:name w:val="List Bullet 2"/>
    <w:basedOn w:val="1"/>
    <w:qFormat/>
    <w:uiPriority w:val="0"/>
    <w:pPr>
      <w:spacing w:line="490" w:lineRule="exact"/>
      <w:ind w:left="425" w:hanging="425"/>
    </w:pPr>
    <w:rPr>
      <w:rFonts w:ascii="Times New Roman" w:hAnsi="Times New Roman" w:eastAsia="仿宋_GB2312"/>
      <w:sz w:val="28"/>
    </w:rPr>
  </w:style>
  <w:style w:type="paragraph" w:styleId="43">
    <w:name w:val="index 4"/>
    <w:basedOn w:val="1"/>
    <w:next w:val="1"/>
    <w:qFormat/>
    <w:uiPriority w:val="0"/>
    <w:pPr>
      <w:adjustRightInd w:val="0"/>
      <w:snapToGrid w:val="0"/>
      <w:spacing w:line="360" w:lineRule="auto"/>
      <w:ind w:left="1260" w:firstLine="480"/>
    </w:pPr>
    <w:rPr>
      <w:rFonts w:ascii="Times New Roman" w:hAnsi="Times New Roman"/>
      <w:sz w:val="24"/>
    </w:rPr>
  </w:style>
  <w:style w:type="paragraph" w:styleId="44">
    <w:name w:val="toc 5"/>
    <w:basedOn w:val="1"/>
    <w:next w:val="1"/>
    <w:qFormat/>
    <w:uiPriority w:val="0"/>
    <w:pPr>
      <w:ind w:left="840"/>
      <w:jc w:val="left"/>
    </w:pPr>
    <w:rPr>
      <w:rFonts w:ascii="Calibri" w:hAnsi="Calibri"/>
      <w:sz w:val="18"/>
    </w:rPr>
  </w:style>
  <w:style w:type="paragraph" w:styleId="45">
    <w:name w:val="toc 3"/>
    <w:basedOn w:val="1"/>
    <w:next w:val="1"/>
    <w:qFormat/>
    <w:uiPriority w:val="0"/>
    <w:pPr>
      <w:ind w:left="420"/>
      <w:jc w:val="left"/>
    </w:pPr>
    <w:rPr>
      <w:rFonts w:ascii="Calibri" w:hAnsi="Calibri"/>
      <w:i/>
      <w:sz w:val="20"/>
    </w:rPr>
  </w:style>
  <w:style w:type="paragraph" w:styleId="46">
    <w:name w:val="toc 8"/>
    <w:basedOn w:val="1"/>
    <w:next w:val="1"/>
    <w:qFormat/>
    <w:uiPriority w:val="0"/>
    <w:pPr>
      <w:ind w:left="1470"/>
      <w:jc w:val="left"/>
    </w:pPr>
    <w:rPr>
      <w:rFonts w:ascii="Calibri" w:hAnsi="Calibri"/>
      <w:sz w:val="18"/>
    </w:rPr>
  </w:style>
  <w:style w:type="paragraph" w:styleId="47">
    <w:name w:val="index 3"/>
    <w:basedOn w:val="1"/>
    <w:next w:val="1"/>
    <w:qFormat/>
    <w:uiPriority w:val="0"/>
    <w:pPr>
      <w:adjustRightInd w:val="0"/>
      <w:snapToGrid w:val="0"/>
      <w:spacing w:line="360" w:lineRule="auto"/>
      <w:ind w:left="840" w:firstLine="480"/>
    </w:pPr>
    <w:rPr>
      <w:rFonts w:ascii="Times New Roman" w:hAnsi="Times New Roman"/>
      <w:sz w:val="24"/>
    </w:rPr>
  </w:style>
  <w:style w:type="paragraph" w:styleId="48">
    <w:name w:val="Date"/>
    <w:basedOn w:val="1"/>
    <w:next w:val="1"/>
    <w:link w:val="122"/>
    <w:qFormat/>
    <w:uiPriority w:val="0"/>
    <w:pPr>
      <w:ind w:left="100" w:leftChars="2500"/>
    </w:pPr>
    <w:rPr>
      <w:rFonts w:ascii="Times New Roman" w:hAnsi="Times New Roman"/>
      <w:kern w:val="2"/>
      <w:sz w:val="21"/>
    </w:rPr>
  </w:style>
  <w:style w:type="paragraph" w:styleId="49">
    <w:name w:val="Body Text Indent 2"/>
    <w:basedOn w:val="1"/>
    <w:link w:val="123"/>
    <w:qFormat/>
    <w:uiPriority w:val="0"/>
    <w:pPr>
      <w:spacing w:after="120" w:afterLines="0" w:afterAutospacing="0" w:line="480" w:lineRule="auto"/>
      <w:ind w:left="420" w:leftChars="200"/>
    </w:pPr>
    <w:rPr>
      <w:kern w:val="2"/>
      <w:sz w:val="21"/>
    </w:rPr>
  </w:style>
  <w:style w:type="paragraph" w:styleId="50">
    <w:name w:val="endnote text"/>
    <w:basedOn w:val="1"/>
    <w:link w:val="124"/>
    <w:qFormat/>
    <w:uiPriority w:val="0"/>
    <w:pPr>
      <w:snapToGrid w:val="0"/>
      <w:jc w:val="left"/>
    </w:pPr>
    <w:rPr>
      <w:rFonts w:ascii="Times New Roman" w:hAnsi="Times New Roman"/>
      <w:kern w:val="2"/>
      <w:sz w:val="21"/>
    </w:rPr>
  </w:style>
  <w:style w:type="paragraph" w:styleId="51">
    <w:name w:val="Balloon Text"/>
    <w:basedOn w:val="1"/>
    <w:link w:val="125"/>
    <w:qFormat/>
    <w:uiPriority w:val="0"/>
    <w:rPr>
      <w:rFonts w:ascii="Times New Roman" w:hAnsi="Times New Roman"/>
      <w:kern w:val="2"/>
      <w:sz w:val="18"/>
    </w:rPr>
  </w:style>
  <w:style w:type="paragraph" w:styleId="52">
    <w:name w:val="footer"/>
    <w:basedOn w:val="1"/>
    <w:link w:val="126"/>
    <w:qFormat/>
    <w:uiPriority w:val="0"/>
    <w:pPr>
      <w:tabs>
        <w:tab w:val="center" w:pos="4153"/>
        <w:tab w:val="right" w:pos="8306"/>
      </w:tabs>
      <w:adjustRightInd w:val="0"/>
      <w:spacing w:line="240" w:lineRule="atLeast"/>
      <w:ind w:firstLine="510"/>
      <w:jc w:val="left"/>
      <w:textAlignment w:val="baseline"/>
    </w:pPr>
    <w:rPr>
      <w:rFonts w:ascii="Times New Roman" w:hAnsi="Times New Roman"/>
      <w:sz w:val="18"/>
    </w:rPr>
  </w:style>
  <w:style w:type="paragraph" w:styleId="53">
    <w:name w:val="header"/>
    <w:basedOn w:val="1"/>
    <w:link w:val="127"/>
    <w:qFormat/>
    <w:uiPriority w:val="0"/>
    <w:pPr>
      <w:pBdr>
        <w:bottom w:val="single" w:color="auto" w:sz="6" w:space="1"/>
      </w:pBdr>
      <w:tabs>
        <w:tab w:val="center" w:pos="4153"/>
        <w:tab w:val="right" w:pos="8306"/>
      </w:tabs>
      <w:adjustRightInd w:val="0"/>
      <w:spacing w:line="240" w:lineRule="atLeast"/>
      <w:ind w:firstLine="510"/>
      <w:jc w:val="center"/>
      <w:textAlignment w:val="baseline"/>
    </w:pPr>
    <w:rPr>
      <w:rFonts w:ascii="Times New Roman" w:hAnsi="Times New Roman"/>
    </w:rPr>
  </w:style>
  <w:style w:type="paragraph" w:styleId="54">
    <w:name w:val="toc 4"/>
    <w:basedOn w:val="1"/>
    <w:next w:val="1"/>
    <w:qFormat/>
    <w:uiPriority w:val="0"/>
    <w:pPr>
      <w:ind w:left="630"/>
      <w:jc w:val="left"/>
    </w:pPr>
    <w:rPr>
      <w:rFonts w:ascii="Calibri" w:hAnsi="Calibri"/>
      <w:sz w:val="18"/>
    </w:rPr>
  </w:style>
  <w:style w:type="paragraph" w:styleId="55">
    <w:name w:val="index heading"/>
    <w:basedOn w:val="1"/>
    <w:next w:val="56"/>
    <w:qFormat/>
    <w:uiPriority w:val="0"/>
    <w:pPr>
      <w:adjustRightInd w:val="0"/>
      <w:spacing w:line="460" w:lineRule="exact"/>
      <w:ind w:firstLine="510"/>
      <w:jc w:val="left"/>
      <w:textAlignment w:val="baseline"/>
    </w:pPr>
    <w:rPr>
      <w:rFonts w:ascii="Times New Roman" w:hAnsi="Times New Roman"/>
      <w:kern w:val="0"/>
      <w:sz w:val="24"/>
    </w:rPr>
  </w:style>
  <w:style w:type="paragraph" w:styleId="56">
    <w:name w:val="index 1"/>
    <w:basedOn w:val="1"/>
    <w:next w:val="1"/>
    <w:qFormat/>
    <w:uiPriority w:val="0"/>
    <w:pPr>
      <w:widowControl/>
      <w:jc w:val="center"/>
    </w:pPr>
    <w:rPr>
      <w:rFonts w:ascii="宋体" w:hAnsi="宋体"/>
    </w:rPr>
  </w:style>
  <w:style w:type="paragraph" w:styleId="57">
    <w:name w:val="Subtitle"/>
    <w:basedOn w:val="1"/>
    <w:next w:val="1"/>
    <w:link w:val="128"/>
    <w:qFormat/>
    <w:uiPriority w:val="0"/>
    <w:pPr>
      <w:adjustRightInd w:val="0"/>
      <w:spacing w:before="240" w:beforeLines="0" w:beforeAutospacing="0" w:after="60" w:afterLines="0" w:afterAutospacing="0" w:line="312" w:lineRule="atLeast"/>
      <w:jc w:val="center"/>
      <w:textAlignment w:val="baseline"/>
      <w:outlineLvl w:val="1"/>
    </w:pPr>
    <w:rPr>
      <w:rFonts w:ascii="Cambria" w:hAnsi="Cambria"/>
      <w:b/>
      <w:kern w:val="28"/>
      <w:sz w:val="32"/>
    </w:rPr>
  </w:style>
  <w:style w:type="paragraph" w:styleId="58">
    <w:name w:val="List"/>
    <w:basedOn w:val="1"/>
    <w:qFormat/>
    <w:uiPriority w:val="0"/>
    <w:pPr>
      <w:numPr>
        <w:ilvl w:val="0"/>
        <w:numId w:val="0"/>
      </w:numPr>
      <w:adjustRightInd w:val="0"/>
      <w:spacing w:line="460" w:lineRule="exact"/>
      <w:ind w:left="1276" w:hanging="425"/>
      <w:jc w:val="left"/>
      <w:textAlignment w:val="baseline"/>
    </w:pPr>
    <w:rPr>
      <w:rFonts w:ascii="Times New Roman" w:hAnsi="Times New Roman"/>
      <w:kern w:val="0"/>
      <w:sz w:val="24"/>
    </w:rPr>
  </w:style>
  <w:style w:type="paragraph" w:styleId="59">
    <w:name w:val="footnote text"/>
    <w:basedOn w:val="1"/>
    <w:link w:val="129"/>
    <w:qFormat/>
    <w:uiPriority w:val="0"/>
    <w:pPr>
      <w:snapToGrid w:val="0"/>
      <w:jc w:val="left"/>
    </w:pPr>
    <w:rPr>
      <w:rFonts w:ascii="Times New Roman" w:hAnsi="Times New Roman"/>
      <w:kern w:val="2"/>
      <w:sz w:val="18"/>
    </w:rPr>
  </w:style>
  <w:style w:type="paragraph" w:styleId="60">
    <w:name w:val="toc 6"/>
    <w:basedOn w:val="1"/>
    <w:next w:val="1"/>
    <w:qFormat/>
    <w:uiPriority w:val="0"/>
    <w:pPr>
      <w:ind w:left="1050"/>
      <w:jc w:val="left"/>
    </w:pPr>
    <w:rPr>
      <w:rFonts w:ascii="Calibri" w:hAnsi="Calibri"/>
      <w:sz w:val="18"/>
    </w:rPr>
  </w:style>
  <w:style w:type="paragraph" w:styleId="61">
    <w:name w:val="Body Text Indent 3"/>
    <w:basedOn w:val="1"/>
    <w:link w:val="130"/>
    <w:qFormat/>
    <w:uiPriority w:val="0"/>
    <w:pPr>
      <w:spacing w:after="120" w:afterLines="0" w:afterAutospacing="0"/>
      <w:ind w:left="420" w:leftChars="200"/>
    </w:pPr>
    <w:rPr>
      <w:kern w:val="2"/>
      <w:sz w:val="16"/>
    </w:rPr>
  </w:style>
  <w:style w:type="paragraph" w:styleId="62">
    <w:name w:val="index 7"/>
    <w:basedOn w:val="1"/>
    <w:next w:val="1"/>
    <w:qFormat/>
    <w:uiPriority w:val="0"/>
    <w:pPr>
      <w:adjustRightInd w:val="0"/>
      <w:spacing w:line="460" w:lineRule="exact"/>
      <w:ind w:left="1200" w:leftChars="1200"/>
      <w:jc w:val="left"/>
      <w:textAlignment w:val="baseline"/>
    </w:pPr>
    <w:rPr>
      <w:rFonts w:ascii="Times New Roman" w:hAnsi="Times New Roman"/>
      <w:kern w:val="0"/>
      <w:sz w:val="24"/>
    </w:rPr>
  </w:style>
  <w:style w:type="paragraph" w:styleId="63">
    <w:name w:val="index 9"/>
    <w:basedOn w:val="1"/>
    <w:next w:val="1"/>
    <w:qFormat/>
    <w:uiPriority w:val="0"/>
    <w:pPr>
      <w:adjustRightInd w:val="0"/>
      <w:snapToGrid w:val="0"/>
      <w:spacing w:line="360" w:lineRule="auto"/>
      <w:ind w:left="3360" w:firstLine="480"/>
    </w:pPr>
    <w:rPr>
      <w:rFonts w:ascii="Times New Roman" w:hAnsi="Times New Roman"/>
      <w:sz w:val="24"/>
    </w:rPr>
  </w:style>
  <w:style w:type="paragraph" w:styleId="64">
    <w:name w:val="table of figures"/>
    <w:basedOn w:val="1"/>
    <w:next w:val="1"/>
    <w:qFormat/>
    <w:uiPriority w:val="0"/>
    <w:pPr>
      <w:tabs>
        <w:tab w:val="left" w:pos="510"/>
      </w:tabs>
      <w:adjustRightInd w:val="0"/>
      <w:snapToGrid w:val="0"/>
      <w:spacing w:line="240" w:lineRule="atLeast"/>
      <w:textAlignment w:val="baseline"/>
    </w:pPr>
    <w:rPr>
      <w:rFonts w:ascii="Times New Roman" w:hAnsi="Times New Roman"/>
      <w:kern w:val="0"/>
      <w:sz w:val="24"/>
    </w:rPr>
  </w:style>
  <w:style w:type="paragraph" w:styleId="65">
    <w:name w:val="toc 2"/>
    <w:basedOn w:val="1"/>
    <w:next w:val="1"/>
    <w:qFormat/>
    <w:uiPriority w:val="0"/>
    <w:pPr>
      <w:ind w:left="420" w:leftChars="200"/>
    </w:pPr>
  </w:style>
  <w:style w:type="paragraph" w:styleId="66">
    <w:name w:val="toc 9"/>
    <w:basedOn w:val="1"/>
    <w:next w:val="1"/>
    <w:qFormat/>
    <w:uiPriority w:val="0"/>
    <w:pPr>
      <w:ind w:left="1680"/>
      <w:jc w:val="left"/>
    </w:pPr>
    <w:rPr>
      <w:rFonts w:ascii="Calibri" w:hAnsi="Calibri"/>
      <w:sz w:val="18"/>
    </w:rPr>
  </w:style>
  <w:style w:type="paragraph" w:styleId="67">
    <w:name w:val="Body Text 2"/>
    <w:basedOn w:val="1"/>
    <w:link w:val="131"/>
    <w:qFormat/>
    <w:uiPriority w:val="0"/>
    <w:pPr>
      <w:spacing w:after="120" w:afterLines="0" w:afterAutospacing="0" w:line="480" w:lineRule="auto"/>
    </w:pPr>
    <w:rPr>
      <w:kern w:val="2"/>
      <w:sz w:val="21"/>
    </w:rPr>
  </w:style>
  <w:style w:type="paragraph" w:styleId="68">
    <w:name w:val="List 4"/>
    <w:basedOn w:val="1"/>
    <w:qFormat/>
    <w:uiPriority w:val="0"/>
    <w:pPr>
      <w:spacing w:before="46" w:beforeLines="15" w:beforeAutospacing="0" w:after="46" w:afterLines="15" w:afterAutospacing="0"/>
      <w:ind w:left="1680" w:hanging="420" w:firstLineChars="200"/>
      <w:jc w:val="left"/>
      <w:textAlignment w:val="baseline"/>
    </w:pPr>
    <w:rPr>
      <w:rFonts w:ascii="Times New Roman" w:hAnsi="Times New Roman"/>
      <w:kern w:val="0"/>
      <w:sz w:val="28"/>
    </w:rPr>
  </w:style>
  <w:style w:type="paragraph" w:styleId="69">
    <w:name w:val="Message Header"/>
    <w:basedOn w:val="7"/>
    <w:link w:val="132"/>
    <w:qFormat/>
    <w:uiPriority w:val="0"/>
    <w:pPr>
      <w:keepLines/>
      <w:widowControl/>
      <w:tabs>
        <w:tab w:val="left" w:pos="720"/>
        <w:tab w:val="left" w:pos="4320"/>
        <w:tab w:val="left" w:pos="5040"/>
        <w:tab w:val="right" w:pos="8640"/>
      </w:tabs>
      <w:spacing w:after="40" w:afterLines="0" w:afterAutospacing="0" w:line="440" w:lineRule="atLeast"/>
      <w:ind w:left="720" w:hanging="720"/>
      <w:jc w:val="left"/>
    </w:pPr>
    <w:rPr>
      <w:rFonts w:ascii="Arial" w:hAnsi="Arial"/>
      <w:spacing w:val="-5"/>
    </w:rPr>
  </w:style>
  <w:style w:type="paragraph" w:styleId="70">
    <w:name w:val="HTML Preformatted"/>
    <w:basedOn w:val="1"/>
    <w:link w:val="133"/>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sz w:val="24"/>
    </w:rPr>
  </w:style>
  <w:style w:type="paragraph" w:styleId="71">
    <w:name w:val="Normal (Web)"/>
    <w:basedOn w:val="1"/>
    <w:qFormat/>
    <w:uiPriority w:val="0"/>
    <w:pPr>
      <w:widowControl/>
      <w:spacing w:before="100" w:beforeLines="0" w:beforeAutospacing="1" w:after="100" w:afterLines="0" w:afterAutospacing="1"/>
      <w:jc w:val="left"/>
    </w:pPr>
    <w:rPr>
      <w:rFonts w:ascii="宋体" w:hAnsi="宋体"/>
      <w:kern w:val="0"/>
      <w:sz w:val="24"/>
    </w:rPr>
  </w:style>
  <w:style w:type="paragraph" w:styleId="72">
    <w:name w:val="index 2"/>
    <w:basedOn w:val="1"/>
    <w:next w:val="1"/>
    <w:qFormat/>
    <w:uiPriority w:val="0"/>
    <w:pPr>
      <w:adjustRightInd w:val="0"/>
      <w:snapToGrid w:val="0"/>
      <w:spacing w:line="360" w:lineRule="auto"/>
      <w:ind w:left="420" w:firstLine="480"/>
    </w:pPr>
    <w:rPr>
      <w:rFonts w:ascii="Times New Roman" w:hAnsi="Times New Roman"/>
      <w:sz w:val="24"/>
    </w:rPr>
  </w:style>
  <w:style w:type="paragraph" w:styleId="73">
    <w:name w:val="Title"/>
    <w:basedOn w:val="1"/>
    <w:next w:val="1"/>
    <w:link w:val="134"/>
    <w:qFormat/>
    <w:uiPriority w:val="0"/>
    <w:pPr>
      <w:numPr>
        <w:ilvl w:val="4"/>
        <w:numId w:val="1"/>
      </w:numPr>
      <w:tabs>
        <w:tab w:val="left" w:pos="1276"/>
        <w:tab w:val="clear" w:pos="1814"/>
      </w:tabs>
      <w:spacing w:line="360" w:lineRule="auto"/>
      <w:jc w:val="left"/>
      <w:outlineLvl w:val="4"/>
    </w:pPr>
    <w:rPr>
      <w:rFonts w:eastAsia="宋体"/>
      <w:b/>
      <w:snapToGrid w:val="0"/>
      <w:kern w:val="2"/>
      <w:sz w:val="24"/>
      <w:lang w:val="en-US" w:eastAsia="zh-CN"/>
    </w:rPr>
  </w:style>
  <w:style w:type="paragraph" w:styleId="74">
    <w:name w:val="annotation subject"/>
    <w:basedOn w:val="33"/>
    <w:next w:val="33"/>
    <w:link w:val="135"/>
    <w:qFormat/>
    <w:uiPriority w:val="0"/>
    <w:pPr>
      <w:adjustRightInd w:val="0"/>
      <w:spacing w:line="460" w:lineRule="exact"/>
      <w:ind w:firstLine="510"/>
      <w:textAlignment w:val="baseline"/>
    </w:pPr>
    <w:rPr>
      <w:b/>
      <w:sz w:val="24"/>
    </w:rPr>
  </w:style>
  <w:style w:type="table" w:styleId="76">
    <w:name w:val="Table Grid"/>
    <w:basedOn w:val="7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8">
    <w:name w:val="Strong"/>
    <w:basedOn w:val="77"/>
    <w:qFormat/>
    <w:uiPriority w:val="0"/>
    <w:rPr>
      <w:b/>
    </w:rPr>
  </w:style>
  <w:style w:type="character" w:styleId="79">
    <w:name w:val="page number"/>
    <w:basedOn w:val="77"/>
    <w:qFormat/>
    <w:uiPriority w:val="0"/>
  </w:style>
  <w:style w:type="character" w:styleId="80">
    <w:name w:val="FollowedHyperlink"/>
    <w:basedOn w:val="77"/>
    <w:qFormat/>
    <w:uiPriority w:val="0"/>
    <w:rPr>
      <w:color w:val="3E3E3E"/>
      <w:u w:val="none"/>
    </w:rPr>
  </w:style>
  <w:style w:type="character" w:styleId="81">
    <w:name w:val="Emphasis"/>
    <w:basedOn w:val="77"/>
    <w:qFormat/>
    <w:uiPriority w:val="0"/>
  </w:style>
  <w:style w:type="character" w:styleId="82">
    <w:name w:val="line number"/>
    <w:basedOn w:val="77"/>
    <w:qFormat/>
    <w:uiPriority w:val="0"/>
  </w:style>
  <w:style w:type="character" w:styleId="83">
    <w:name w:val="HTML Definition"/>
    <w:basedOn w:val="77"/>
    <w:qFormat/>
    <w:uiPriority w:val="0"/>
  </w:style>
  <w:style w:type="character" w:styleId="84">
    <w:name w:val="HTML Acronym"/>
    <w:basedOn w:val="77"/>
    <w:qFormat/>
    <w:uiPriority w:val="0"/>
  </w:style>
  <w:style w:type="character" w:styleId="85">
    <w:name w:val="HTML Variable"/>
    <w:basedOn w:val="77"/>
    <w:qFormat/>
    <w:uiPriority w:val="0"/>
  </w:style>
  <w:style w:type="character" w:styleId="86">
    <w:name w:val="Hyperlink"/>
    <w:basedOn w:val="77"/>
    <w:qFormat/>
    <w:uiPriority w:val="0"/>
    <w:rPr>
      <w:color w:val="3E3E3E"/>
      <w:u w:val="none"/>
    </w:rPr>
  </w:style>
  <w:style w:type="character" w:styleId="87">
    <w:name w:val="HTML Code"/>
    <w:basedOn w:val="77"/>
    <w:qFormat/>
    <w:uiPriority w:val="0"/>
    <w:rPr>
      <w:rFonts w:ascii="Courier" w:hAnsi="Courier" w:cs="Courier"/>
      <w:sz w:val="20"/>
    </w:rPr>
  </w:style>
  <w:style w:type="character" w:styleId="88">
    <w:name w:val="annotation reference"/>
    <w:basedOn w:val="77"/>
    <w:qFormat/>
    <w:uiPriority w:val="0"/>
    <w:rPr>
      <w:sz w:val="21"/>
    </w:rPr>
  </w:style>
  <w:style w:type="character" w:styleId="89">
    <w:name w:val="HTML Cite"/>
    <w:basedOn w:val="77"/>
    <w:qFormat/>
    <w:uiPriority w:val="0"/>
  </w:style>
  <w:style w:type="paragraph" w:customStyle="1" w:styleId="90">
    <w:name w:val="Body Text 21"/>
    <w:basedOn w:val="1"/>
    <w:qFormat/>
    <w:uiPriority w:val="0"/>
    <w:pPr>
      <w:spacing w:after="120" w:line="480" w:lineRule="auto"/>
    </w:pPr>
  </w:style>
  <w:style w:type="paragraph" w:customStyle="1" w:styleId="91">
    <w:name w:val="Char"/>
    <w:basedOn w:val="1"/>
    <w:next w:val="1"/>
    <w:qFormat/>
    <w:uiPriority w:val="0"/>
    <w:pPr>
      <w:pageBreakBefore/>
    </w:pPr>
    <w:rPr>
      <w:rFonts w:ascii="Times New Roman" w:hAnsi="Times New Roman"/>
    </w:rPr>
  </w:style>
  <w:style w:type="paragraph" w:customStyle="1" w:styleId="92">
    <w:name w:val="Default"/>
    <w:basedOn w:val="93"/>
    <w:next w:val="1"/>
    <w:qFormat/>
    <w:uiPriority w:val="0"/>
    <w:pPr>
      <w:widowControl w:val="0"/>
      <w:tabs>
        <w:tab w:val="left" w:pos="2760"/>
      </w:tabs>
      <w:autoSpaceDE w:val="0"/>
      <w:autoSpaceDN w:val="0"/>
      <w:adjustRightInd w:val="0"/>
    </w:pPr>
    <w:rPr>
      <w:rFonts w:ascii="宋体"/>
      <w:color w:val="000000"/>
      <w:sz w:val="24"/>
      <w:lang w:val="en-US" w:eastAsia="zh-CN"/>
    </w:rPr>
  </w:style>
  <w:style w:type="paragraph" w:customStyle="1" w:styleId="93">
    <w:name w:val="1 表头"/>
    <w:basedOn w:val="1"/>
    <w:qFormat/>
    <w:uiPriority w:val="0"/>
    <w:pPr>
      <w:adjustRightInd w:val="0"/>
      <w:snapToGrid w:val="0"/>
      <w:spacing w:line="240" w:lineRule="auto"/>
      <w:ind w:firstLine="0" w:firstLineChars="0"/>
      <w:jc w:val="center"/>
    </w:pPr>
    <w:rPr>
      <w:b/>
      <w:color w:val="000000"/>
      <w:sz w:val="21"/>
      <w:szCs w:val="21"/>
    </w:rPr>
  </w:style>
  <w:style w:type="paragraph" w:customStyle="1" w:styleId="94">
    <w:name w:val="样式1"/>
    <w:basedOn w:val="55"/>
    <w:next w:val="1"/>
    <w:link w:val="136"/>
    <w:qFormat/>
    <w:uiPriority w:val="0"/>
    <w:pPr>
      <w:overflowPunct w:val="0"/>
      <w:topLinePunct/>
      <w:autoSpaceDE w:val="0"/>
      <w:autoSpaceDN w:val="0"/>
      <w:adjustRightInd w:val="0"/>
      <w:snapToGrid w:val="0"/>
      <w:spacing w:line="400" w:lineRule="atLeast"/>
      <w:textAlignment w:val="baseline"/>
    </w:pPr>
    <w:rPr>
      <w:rFonts w:ascii="宋体" w:eastAsia="宋体"/>
      <w:kern w:val="2"/>
      <w:sz w:val="21"/>
      <w:lang w:val="en-US" w:eastAsia="zh-CN"/>
    </w:rPr>
  </w:style>
  <w:style w:type="character" w:customStyle="1" w:styleId="95">
    <w:name w:val="标题 2 Char"/>
    <w:basedOn w:val="77"/>
    <w:link w:val="4"/>
    <w:qFormat/>
    <w:uiPriority w:val="0"/>
    <w:rPr>
      <w:rFonts w:ascii="宋体" w:hAnsi="宋体" w:eastAsia="宋体"/>
      <w:b/>
      <w:kern w:val="2"/>
      <w:sz w:val="30"/>
      <w:szCs w:val="30"/>
    </w:rPr>
  </w:style>
  <w:style w:type="character" w:customStyle="1" w:styleId="96">
    <w:name w:val="标题 1 Char"/>
    <w:basedOn w:val="77"/>
    <w:link w:val="3"/>
    <w:qFormat/>
    <w:uiPriority w:val="0"/>
    <w:rPr>
      <w:rFonts w:ascii="Times New Roman" w:hAnsi="Times New Roman" w:eastAsia="宋体"/>
      <w:b/>
      <w:kern w:val="44"/>
      <w:sz w:val="32"/>
    </w:rPr>
  </w:style>
  <w:style w:type="character" w:customStyle="1" w:styleId="97">
    <w:name w:val="标题 3 Char"/>
    <w:basedOn w:val="77"/>
    <w:link w:val="11"/>
    <w:qFormat/>
    <w:uiPriority w:val="0"/>
    <w:rPr>
      <w:rFonts w:ascii="Times New Roman" w:hAnsi="Times New Roman" w:eastAsia="宋体"/>
      <w:b/>
      <w:kern w:val="2"/>
      <w:sz w:val="28"/>
    </w:rPr>
  </w:style>
  <w:style w:type="character" w:customStyle="1" w:styleId="98">
    <w:name w:val="标题 4 Char"/>
    <w:basedOn w:val="77"/>
    <w:link w:val="12"/>
    <w:qFormat/>
    <w:uiPriority w:val="0"/>
    <w:rPr>
      <w:rFonts w:ascii="Arial" w:hAnsi="Arial" w:eastAsia="黑体"/>
      <w:b/>
      <w:color w:val="000000"/>
      <w:kern w:val="2"/>
      <w:sz w:val="28"/>
      <w:lang w:val="en-US" w:eastAsia="zh-CN"/>
    </w:rPr>
  </w:style>
  <w:style w:type="paragraph" w:customStyle="1" w:styleId="99">
    <w:name w:val="纯文本1"/>
    <w:basedOn w:val="1"/>
    <w:qFormat/>
    <w:uiPriority w:val="0"/>
    <w:pPr>
      <w:tabs>
        <w:tab w:val="left" w:pos="2760"/>
      </w:tabs>
      <w:adjustRightInd w:val="0"/>
    </w:pPr>
    <w:rPr>
      <w:rFonts w:ascii="宋体" w:hAnsi="Courier New"/>
      <w:szCs w:val="20"/>
    </w:rPr>
  </w:style>
  <w:style w:type="paragraph" w:customStyle="1" w:styleId="100">
    <w:name w:val="1文本正文"/>
    <w:basedOn w:val="1"/>
    <w:link w:val="224"/>
    <w:qFormat/>
    <w:uiPriority w:val="0"/>
    <w:pPr>
      <w:spacing w:line="427" w:lineRule="exact"/>
      <w:ind w:firstLine="200" w:firstLineChars="200"/>
    </w:pPr>
    <w:rPr>
      <w:rFonts w:ascii="Times New Roman" w:hAnsi="Times New Roman"/>
      <w:kern w:val="2"/>
      <w:sz w:val="24"/>
    </w:rPr>
  </w:style>
  <w:style w:type="character" w:customStyle="1" w:styleId="101">
    <w:name w:val="正文文本 Char"/>
    <w:basedOn w:val="77"/>
    <w:link w:val="7"/>
    <w:qFormat/>
    <w:uiPriority w:val="0"/>
    <w:rPr>
      <w:kern w:val="2"/>
      <w:sz w:val="21"/>
    </w:rPr>
  </w:style>
  <w:style w:type="character" w:customStyle="1" w:styleId="102">
    <w:name w:val="正文首行缩进 Char"/>
    <w:basedOn w:val="101"/>
    <w:link w:val="6"/>
    <w:qFormat/>
    <w:uiPriority w:val="0"/>
  </w:style>
  <w:style w:type="character" w:customStyle="1" w:styleId="103">
    <w:name w:val="正文首行缩进 2 Char"/>
    <w:basedOn w:val="104"/>
    <w:link w:val="8"/>
    <w:qFormat/>
    <w:uiPriority w:val="0"/>
    <w:rPr>
      <w:kern w:val="2"/>
      <w:sz w:val="21"/>
    </w:rPr>
  </w:style>
  <w:style w:type="character" w:customStyle="1" w:styleId="104">
    <w:name w:val="正文文本缩进 Char"/>
    <w:basedOn w:val="77"/>
    <w:link w:val="38"/>
    <w:qFormat/>
    <w:uiPriority w:val="0"/>
    <w:rPr>
      <w:rFonts w:ascii="Times New Roman" w:hAnsi="Times New Roman"/>
      <w:sz w:val="24"/>
    </w:rPr>
  </w:style>
  <w:style w:type="character" w:customStyle="1" w:styleId="105">
    <w:name w:val="宏文本 Char"/>
    <w:basedOn w:val="77"/>
    <w:link w:val="2"/>
    <w:qFormat/>
    <w:uiPriority w:val="0"/>
    <w:rPr>
      <w:rFonts w:ascii="Courier New" w:hAnsi="Courier New"/>
      <w:kern w:val="2"/>
      <w:sz w:val="24"/>
      <w:lang w:val="en-US" w:eastAsia="zh-CN"/>
    </w:rPr>
  </w:style>
  <w:style w:type="character" w:customStyle="1" w:styleId="106">
    <w:name w:val="标题 4 Char2"/>
    <w:basedOn w:val="77"/>
    <w:link w:val="12"/>
    <w:qFormat/>
    <w:uiPriority w:val="0"/>
    <w:rPr>
      <w:rFonts w:ascii="Cambria" w:hAnsi="Cambria" w:eastAsia="宋体"/>
      <w:b/>
      <w:kern w:val="2"/>
      <w:sz w:val="28"/>
    </w:rPr>
  </w:style>
  <w:style w:type="character" w:customStyle="1" w:styleId="107">
    <w:name w:val="标题 5 Char"/>
    <w:basedOn w:val="77"/>
    <w:link w:val="13"/>
    <w:qFormat/>
    <w:uiPriority w:val="0"/>
    <w:rPr>
      <w:b/>
      <w:kern w:val="2"/>
      <w:sz w:val="28"/>
    </w:rPr>
  </w:style>
  <w:style w:type="character" w:customStyle="1" w:styleId="108">
    <w:name w:val="标题 6 Char"/>
    <w:basedOn w:val="77"/>
    <w:link w:val="14"/>
    <w:qFormat/>
    <w:uiPriority w:val="0"/>
    <w:rPr>
      <w:rFonts w:ascii="Cambria" w:hAnsi="Cambria" w:eastAsia="宋体"/>
      <w:b/>
      <w:kern w:val="2"/>
      <w:sz w:val="24"/>
    </w:rPr>
  </w:style>
  <w:style w:type="character" w:customStyle="1" w:styleId="109">
    <w:name w:val="标题 7 Char"/>
    <w:basedOn w:val="77"/>
    <w:link w:val="15"/>
    <w:qFormat/>
    <w:uiPriority w:val="0"/>
    <w:rPr>
      <w:b/>
      <w:kern w:val="2"/>
      <w:sz w:val="24"/>
    </w:rPr>
  </w:style>
  <w:style w:type="character" w:customStyle="1" w:styleId="110">
    <w:name w:val="标题 8 Char"/>
    <w:basedOn w:val="77"/>
    <w:link w:val="16"/>
    <w:qFormat/>
    <w:uiPriority w:val="0"/>
    <w:rPr>
      <w:rFonts w:ascii="Arial" w:hAnsi="Arial" w:eastAsia="黑体"/>
      <w:kern w:val="2"/>
      <w:sz w:val="24"/>
    </w:rPr>
  </w:style>
  <w:style w:type="character" w:customStyle="1" w:styleId="111">
    <w:name w:val="标题 9 Char"/>
    <w:basedOn w:val="77"/>
    <w:link w:val="17"/>
    <w:qFormat/>
    <w:uiPriority w:val="0"/>
    <w:rPr>
      <w:rFonts w:ascii="Arial" w:hAnsi="Arial" w:eastAsia="黑体"/>
      <w:kern w:val="2"/>
      <w:sz w:val="24"/>
    </w:rPr>
  </w:style>
  <w:style w:type="character" w:customStyle="1" w:styleId="112">
    <w:name w:val="注释标题 Char"/>
    <w:basedOn w:val="77"/>
    <w:link w:val="20"/>
    <w:qFormat/>
    <w:uiPriority w:val="0"/>
    <w:rPr>
      <w:rFonts w:ascii="Times New Roman" w:hAnsi="Times New Roman"/>
      <w:kern w:val="2"/>
      <w:sz w:val="21"/>
    </w:rPr>
  </w:style>
  <w:style w:type="character" w:customStyle="1" w:styleId="113">
    <w:name w:val="电子邮件签名 Char"/>
    <w:basedOn w:val="77"/>
    <w:link w:val="22"/>
    <w:qFormat/>
    <w:uiPriority w:val="0"/>
    <w:rPr>
      <w:rFonts w:ascii="仿宋_GB2312" w:hAnsi="Times New Roman" w:eastAsia="仿宋_GB2312"/>
      <w:kern w:val="2"/>
      <w:sz w:val="28"/>
    </w:rPr>
  </w:style>
  <w:style w:type="character" w:customStyle="1" w:styleId="114">
    <w:name w:val="正文缩进 Char"/>
    <w:basedOn w:val="77"/>
    <w:link w:val="24"/>
    <w:qFormat/>
    <w:uiPriority w:val="0"/>
    <w:rPr>
      <w:kern w:val="2"/>
      <w:sz w:val="21"/>
    </w:rPr>
  </w:style>
  <w:style w:type="character" w:customStyle="1" w:styleId="115">
    <w:name w:val="题注 Char"/>
    <w:basedOn w:val="77"/>
    <w:link w:val="25"/>
    <w:qFormat/>
    <w:uiPriority w:val="0"/>
    <w:rPr>
      <w:rFonts w:ascii="Times New Roman" w:hAnsi="Times New Roman" w:eastAsia="黑体"/>
      <w:sz w:val="22"/>
    </w:rPr>
  </w:style>
  <w:style w:type="character" w:customStyle="1" w:styleId="116">
    <w:name w:val="纯文本 Char"/>
    <w:basedOn w:val="77"/>
    <w:link w:val="27"/>
    <w:qFormat/>
    <w:uiPriority w:val="0"/>
    <w:rPr>
      <w:rFonts w:ascii="宋体" w:hAnsi="Courier New"/>
      <w:kern w:val="2"/>
      <w:sz w:val="21"/>
    </w:rPr>
  </w:style>
  <w:style w:type="character" w:customStyle="1" w:styleId="117">
    <w:name w:val="文档结构图 Char"/>
    <w:basedOn w:val="77"/>
    <w:link w:val="31"/>
    <w:qFormat/>
    <w:uiPriority w:val="0"/>
    <w:rPr>
      <w:rFonts w:ascii="宋体"/>
      <w:kern w:val="2"/>
      <w:sz w:val="18"/>
    </w:rPr>
  </w:style>
  <w:style w:type="character" w:customStyle="1" w:styleId="118">
    <w:name w:val="批注文字 Char"/>
    <w:basedOn w:val="77"/>
    <w:link w:val="33"/>
    <w:qFormat/>
    <w:uiPriority w:val="0"/>
    <w:rPr>
      <w:rFonts w:ascii="Times New Roman" w:hAnsi="Times New Roman"/>
      <w:kern w:val="2"/>
      <w:sz w:val="21"/>
    </w:rPr>
  </w:style>
  <w:style w:type="character" w:customStyle="1" w:styleId="119">
    <w:name w:val="称呼 Char"/>
    <w:basedOn w:val="77"/>
    <w:link w:val="35"/>
    <w:qFormat/>
    <w:uiPriority w:val="0"/>
    <w:rPr>
      <w:rFonts w:ascii="Times New Roman" w:hAnsi="楷体" w:eastAsia="楷体"/>
      <w:sz w:val="28"/>
    </w:rPr>
  </w:style>
  <w:style w:type="character" w:customStyle="1" w:styleId="120">
    <w:name w:val="正文文本 3 Char"/>
    <w:basedOn w:val="77"/>
    <w:link w:val="36"/>
    <w:qFormat/>
    <w:uiPriority w:val="0"/>
    <w:rPr>
      <w:rFonts w:ascii="Times New Roman" w:hAnsi="Times New Roman"/>
      <w:sz w:val="18"/>
    </w:rPr>
  </w:style>
  <w:style w:type="character" w:customStyle="1" w:styleId="121">
    <w:name w:val="结束语 Char"/>
    <w:basedOn w:val="77"/>
    <w:link w:val="37"/>
    <w:qFormat/>
    <w:uiPriority w:val="0"/>
    <w:rPr>
      <w:rFonts w:ascii="Times New Roman" w:hAnsi="楷体" w:eastAsia="楷体"/>
      <w:sz w:val="28"/>
    </w:rPr>
  </w:style>
  <w:style w:type="character" w:customStyle="1" w:styleId="122">
    <w:name w:val="日期 Char"/>
    <w:basedOn w:val="77"/>
    <w:link w:val="48"/>
    <w:qFormat/>
    <w:uiPriority w:val="0"/>
    <w:rPr>
      <w:rFonts w:ascii="Times New Roman" w:hAnsi="Times New Roman"/>
      <w:kern w:val="2"/>
      <w:sz w:val="21"/>
    </w:rPr>
  </w:style>
  <w:style w:type="character" w:customStyle="1" w:styleId="123">
    <w:name w:val="正文文本缩进 2 Char"/>
    <w:basedOn w:val="77"/>
    <w:link w:val="49"/>
    <w:qFormat/>
    <w:uiPriority w:val="0"/>
    <w:rPr>
      <w:kern w:val="2"/>
      <w:sz w:val="21"/>
    </w:rPr>
  </w:style>
  <w:style w:type="character" w:customStyle="1" w:styleId="124">
    <w:name w:val="尾注文本 Char"/>
    <w:basedOn w:val="77"/>
    <w:link w:val="50"/>
    <w:qFormat/>
    <w:uiPriority w:val="0"/>
    <w:rPr>
      <w:rFonts w:ascii="Times New Roman" w:hAnsi="Times New Roman"/>
      <w:kern w:val="2"/>
      <w:sz w:val="21"/>
    </w:rPr>
  </w:style>
  <w:style w:type="character" w:customStyle="1" w:styleId="125">
    <w:name w:val="批注框文本 Char"/>
    <w:basedOn w:val="77"/>
    <w:link w:val="51"/>
    <w:qFormat/>
    <w:uiPriority w:val="0"/>
    <w:rPr>
      <w:rFonts w:ascii="Times New Roman" w:hAnsi="Times New Roman"/>
      <w:kern w:val="2"/>
      <w:sz w:val="18"/>
    </w:rPr>
  </w:style>
  <w:style w:type="character" w:customStyle="1" w:styleId="126">
    <w:name w:val="页脚 Char1"/>
    <w:basedOn w:val="77"/>
    <w:link w:val="52"/>
    <w:qFormat/>
    <w:uiPriority w:val="0"/>
    <w:rPr>
      <w:rFonts w:ascii="Times New Roman" w:hAnsi="Times New Roman"/>
      <w:sz w:val="18"/>
    </w:rPr>
  </w:style>
  <w:style w:type="character" w:customStyle="1" w:styleId="127">
    <w:name w:val="页眉 Char"/>
    <w:basedOn w:val="77"/>
    <w:link w:val="53"/>
    <w:qFormat/>
    <w:uiPriority w:val="0"/>
    <w:rPr>
      <w:rFonts w:ascii="Times New Roman" w:hAnsi="Times New Roman"/>
    </w:rPr>
  </w:style>
  <w:style w:type="character" w:customStyle="1" w:styleId="128">
    <w:name w:val="副标题 Char"/>
    <w:basedOn w:val="77"/>
    <w:link w:val="57"/>
    <w:qFormat/>
    <w:uiPriority w:val="0"/>
    <w:rPr>
      <w:rFonts w:ascii="Cambria" w:hAnsi="Cambria"/>
      <w:b/>
      <w:kern w:val="28"/>
      <w:sz w:val="32"/>
    </w:rPr>
  </w:style>
  <w:style w:type="character" w:customStyle="1" w:styleId="129">
    <w:name w:val="脚注文本 Char"/>
    <w:basedOn w:val="77"/>
    <w:link w:val="59"/>
    <w:qFormat/>
    <w:uiPriority w:val="0"/>
    <w:rPr>
      <w:rFonts w:ascii="Times New Roman" w:hAnsi="Times New Roman"/>
      <w:kern w:val="2"/>
      <w:sz w:val="18"/>
    </w:rPr>
  </w:style>
  <w:style w:type="character" w:customStyle="1" w:styleId="130">
    <w:name w:val="正文文本缩进 3 Char"/>
    <w:basedOn w:val="77"/>
    <w:link w:val="61"/>
    <w:qFormat/>
    <w:uiPriority w:val="0"/>
    <w:rPr>
      <w:kern w:val="2"/>
      <w:sz w:val="16"/>
    </w:rPr>
  </w:style>
  <w:style w:type="character" w:customStyle="1" w:styleId="131">
    <w:name w:val="正文文本 2 Char"/>
    <w:basedOn w:val="77"/>
    <w:link w:val="67"/>
    <w:qFormat/>
    <w:uiPriority w:val="0"/>
    <w:rPr>
      <w:kern w:val="2"/>
      <w:sz w:val="21"/>
    </w:rPr>
  </w:style>
  <w:style w:type="character" w:customStyle="1" w:styleId="132">
    <w:name w:val="信息标题 Char"/>
    <w:basedOn w:val="77"/>
    <w:link w:val="69"/>
    <w:qFormat/>
    <w:uiPriority w:val="0"/>
    <w:rPr>
      <w:rFonts w:ascii="Arial" w:hAnsi="Arial"/>
      <w:spacing w:val="-5"/>
    </w:rPr>
  </w:style>
  <w:style w:type="character" w:customStyle="1" w:styleId="133">
    <w:name w:val="HTML 预设格式 Char"/>
    <w:basedOn w:val="77"/>
    <w:link w:val="70"/>
    <w:qFormat/>
    <w:uiPriority w:val="0"/>
    <w:rPr>
      <w:rFonts w:ascii="Arial" w:hAnsi="Arial"/>
      <w:sz w:val="24"/>
    </w:rPr>
  </w:style>
  <w:style w:type="character" w:customStyle="1" w:styleId="134">
    <w:name w:val="标题 Char"/>
    <w:basedOn w:val="77"/>
    <w:link w:val="73"/>
    <w:qFormat/>
    <w:uiPriority w:val="0"/>
    <w:rPr>
      <w:rFonts w:eastAsia="宋体"/>
      <w:b/>
      <w:snapToGrid w:val="0"/>
      <w:kern w:val="2"/>
      <w:sz w:val="24"/>
      <w:lang w:val="en-US" w:eastAsia="zh-CN"/>
    </w:rPr>
  </w:style>
  <w:style w:type="character" w:customStyle="1" w:styleId="135">
    <w:name w:val="批注主题 Char"/>
    <w:basedOn w:val="118"/>
    <w:link w:val="74"/>
    <w:qFormat/>
    <w:uiPriority w:val="0"/>
    <w:rPr>
      <w:b/>
      <w:sz w:val="24"/>
    </w:rPr>
  </w:style>
  <w:style w:type="character" w:customStyle="1" w:styleId="136">
    <w:name w:val="样式1 Char"/>
    <w:basedOn w:val="77"/>
    <w:link w:val="94"/>
    <w:qFormat/>
    <w:uiPriority w:val="0"/>
    <w:rPr>
      <w:rFonts w:ascii="宋体" w:eastAsia="宋体"/>
      <w:kern w:val="2"/>
      <w:sz w:val="21"/>
      <w:lang w:val="en-US" w:eastAsia="zh-CN"/>
    </w:rPr>
  </w:style>
  <w:style w:type="character" w:customStyle="1" w:styleId="137">
    <w:name w:val="正文(首行缩进2字） Char"/>
    <w:basedOn w:val="77"/>
    <w:link w:val="138"/>
    <w:qFormat/>
    <w:uiPriority w:val="0"/>
    <w:rPr>
      <w:rFonts w:ascii="Arial" w:hAnsi="Arial"/>
      <w:kern w:val="2"/>
      <w:sz w:val="24"/>
    </w:rPr>
  </w:style>
  <w:style w:type="paragraph" w:customStyle="1" w:styleId="138">
    <w:name w:val="正文(首行缩进2字）"/>
    <w:basedOn w:val="1"/>
    <w:link w:val="137"/>
    <w:qFormat/>
    <w:uiPriority w:val="0"/>
    <w:pPr>
      <w:spacing w:line="360" w:lineRule="auto"/>
      <w:ind w:firstLine="480" w:firstLineChars="200"/>
    </w:pPr>
    <w:rPr>
      <w:rFonts w:ascii="Arial" w:hAnsi="Arial"/>
      <w:kern w:val="2"/>
      <w:sz w:val="24"/>
    </w:rPr>
  </w:style>
  <w:style w:type="character" w:customStyle="1" w:styleId="139">
    <w:name w:val="页脚 Char Char Char"/>
    <w:basedOn w:val="77"/>
    <w:qFormat/>
    <w:uiPriority w:val="0"/>
    <w:rPr>
      <w:rFonts w:ascii="宋体" w:hAnsi="宋体" w:eastAsia="宋体"/>
      <w:kern w:val="2"/>
      <w:sz w:val="18"/>
      <w:lang w:val="en-US" w:eastAsia="zh-CN"/>
    </w:rPr>
  </w:style>
  <w:style w:type="character" w:customStyle="1" w:styleId="140">
    <w:name w:val="line21"/>
    <w:basedOn w:val="77"/>
    <w:qFormat/>
    <w:uiPriority w:val="0"/>
  </w:style>
  <w:style w:type="character" w:customStyle="1" w:styleId="141">
    <w:name w:val="blue"/>
    <w:basedOn w:val="77"/>
    <w:qFormat/>
    <w:uiPriority w:val="0"/>
  </w:style>
  <w:style w:type="character" w:customStyle="1" w:styleId="142">
    <w:name w:val="表中文字 Char Char"/>
    <w:basedOn w:val="77"/>
    <w:qFormat/>
    <w:uiPriority w:val="0"/>
    <w:rPr>
      <w:rFonts w:ascii="宋体" w:hAnsi="宋体" w:eastAsia="宋体"/>
      <w:kern w:val="2"/>
      <w:sz w:val="24"/>
      <w:lang w:val="en-US" w:eastAsia="zh-CN"/>
    </w:rPr>
  </w:style>
  <w:style w:type="character" w:customStyle="1" w:styleId="143">
    <w:name w:val="样式 样式 样式 正文缩进s4 + 首行缩进:  2 字符 + 首行缩进:  2 字符 + Char"/>
    <w:basedOn w:val="144"/>
    <w:link w:val="148"/>
    <w:qFormat/>
    <w:uiPriority w:val="0"/>
    <w:rPr>
      <w:color w:val="000000"/>
    </w:rPr>
  </w:style>
  <w:style w:type="character" w:customStyle="1" w:styleId="144">
    <w:name w:val="样式 样式 正文缩进s4 + 首行缩进:  2 字符 + 首行缩进:  2 字符 Char"/>
    <w:basedOn w:val="145"/>
    <w:link w:val="147"/>
    <w:qFormat/>
    <w:uiPriority w:val="0"/>
    <w:rPr>
      <w:rFonts w:eastAsia="仿宋_GB2312"/>
      <w:sz w:val="28"/>
    </w:rPr>
  </w:style>
  <w:style w:type="character" w:customStyle="1" w:styleId="145">
    <w:name w:val="样式 正文缩进s4 + 首行缩进:  2 字符 Char"/>
    <w:basedOn w:val="77"/>
    <w:link w:val="146"/>
    <w:qFormat/>
    <w:uiPriority w:val="0"/>
    <w:rPr>
      <w:rFonts w:ascii="宋体" w:hAnsi="宋体" w:eastAsia="宋体"/>
      <w:b/>
      <w:kern w:val="2"/>
      <w:sz w:val="24"/>
      <w:lang w:val="en-US" w:eastAsia="zh-CN"/>
    </w:rPr>
  </w:style>
  <w:style w:type="paragraph" w:customStyle="1" w:styleId="146">
    <w:name w:val="样式 正文缩进s4 + 首行缩进:  2 字符"/>
    <w:basedOn w:val="24"/>
    <w:link w:val="145"/>
    <w:qFormat/>
    <w:uiPriority w:val="0"/>
    <w:pPr>
      <w:adjustRightInd w:val="0"/>
      <w:snapToGrid w:val="0"/>
      <w:spacing w:line="360" w:lineRule="auto"/>
      <w:ind w:firstLine="560"/>
    </w:pPr>
    <w:rPr>
      <w:rFonts w:ascii="宋体" w:hAnsi="宋体" w:eastAsia="宋体"/>
      <w:b/>
      <w:kern w:val="2"/>
      <w:sz w:val="24"/>
      <w:lang w:val="en-US" w:eastAsia="zh-CN"/>
    </w:rPr>
  </w:style>
  <w:style w:type="paragraph" w:customStyle="1" w:styleId="147">
    <w:name w:val="样式 样式 正文缩进s4 + 首行缩进:  2 字符 + 首行缩进:  2 字符"/>
    <w:basedOn w:val="1"/>
    <w:link w:val="144"/>
    <w:qFormat/>
    <w:uiPriority w:val="0"/>
    <w:pPr>
      <w:adjustRightInd w:val="0"/>
      <w:snapToGrid w:val="0"/>
      <w:ind w:left="-416" w:leftChars="-198" w:firstLine="1960" w:firstLineChars="700"/>
    </w:pPr>
    <w:rPr>
      <w:rFonts w:eastAsia="仿宋_GB2312"/>
      <w:sz w:val="28"/>
    </w:rPr>
  </w:style>
  <w:style w:type="paragraph" w:customStyle="1" w:styleId="148">
    <w:name w:val="样式 样式 样式 正文缩进s4 + 首行缩进:  2 字符 + 首行缩进:  2 字符 +"/>
    <w:basedOn w:val="147"/>
    <w:link w:val="143"/>
    <w:qFormat/>
    <w:uiPriority w:val="0"/>
    <w:pPr>
      <w:spacing w:line="490" w:lineRule="exact"/>
      <w:ind w:left="0" w:leftChars="0" w:firstLine="538" w:firstLineChars="192"/>
    </w:pPr>
    <w:rPr>
      <w:color w:val="000000"/>
    </w:rPr>
  </w:style>
  <w:style w:type="character" w:customStyle="1" w:styleId="149">
    <w:name w:val="表中文字 Char Char2"/>
    <w:basedOn w:val="77"/>
    <w:qFormat/>
    <w:uiPriority w:val="0"/>
    <w:rPr>
      <w:rFonts w:ascii="Calibri" w:hAnsi="Calibri" w:eastAsia="宋体"/>
    </w:rPr>
  </w:style>
  <w:style w:type="character" w:customStyle="1" w:styleId="150">
    <w:name w:val="正文样式1 Char"/>
    <w:basedOn w:val="77"/>
    <w:link w:val="151"/>
    <w:qFormat/>
    <w:uiPriority w:val="0"/>
    <w:rPr>
      <w:rFonts w:ascii="Times New Roman" w:hAnsi="Times New Roman"/>
      <w:sz w:val="24"/>
    </w:rPr>
  </w:style>
  <w:style w:type="paragraph" w:customStyle="1" w:styleId="151">
    <w:name w:val="正文样式1"/>
    <w:basedOn w:val="1"/>
    <w:link w:val="150"/>
    <w:qFormat/>
    <w:uiPriority w:val="0"/>
    <w:pPr>
      <w:adjustRightInd w:val="0"/>
      <w:snapToGrid w:val="0"/>
      <w:spacing w:line="360" w:lineRule="auto"/>
      <w:ind w:firstLine="482"/>
      <w:textAlignment w:val="baseline"/>
    </w:pPr>
    <w:rPr>
      <w:rFonts w:ascii="Times New Roman" w:hAnsi="Times New Roman"/>
      <w:sz w:val="24"/>
    </w:rPr>
  </w:style>
  <w:style w:type="character" w:customStyle="1" w:styleId="152">
    <w:name w:val="表中文字 Char"/>
    <w:basedOn w:val="77"/>
    <w:qFormat/>
    <w:uiPriority w:val="0"/>
    <w:rPr>
      <w:rFonts w:eastAsia="宋体"/>
      <w:kern w:val="2"/>
      <w:sz w:val="24"/>
      <w:lang w:val="en-US" w:eastAsia="zh-CN"/>
    </w:rPr>
  </w:style>
  <w:style w:type="character" w:customStyle="1" w:styleId="153">
    <w:name w:val="表中文字 Char Char1"/>
    <w:basedOn w:val="77"/>
    <w:qFormat/>
    <w:uiPriority w:val="0"/>
    <w:rPr>
      <w:rFonts w:ascii="宋体" w:hAnsi="宋体" w:eastAsia="宋体"/>
      <w:kern w:val="2"/>
      <w:sz w:val="24"/>
      <w:lang w:val="en-US" w:eastAsia="zh-CN"/>
    </w:rPr>
  </w:style>
  <w:style w:type="character" w:customStyle="1" w:styleId="154">
    <w:name w:val="样式 题注 + 黑体 Char"/>
    <w:link w:val="155"/>
    <w:qFormat/>
    <w:uiPriority w:val="0"/>
    <w:rPr>
      <w:rFonts w:ascii="宋体" w:hAnsi="宋体" w:eastAsia="宋体"/>
      <w:b/>
      <w:snapToGrid w:val="0"/>
      <w:color w:val="000000"/>
      <w:spacing w:val="-6"/>
      <w:kern w:val="2"/>
      <w:sz w:val="24"/>
      <w:lang w:val="en-US" w:eastAsia="zh-CN"/>
    </w:rPr>
  </w:style>
  <w:style w:type="paragraph" w:customStyle="1" w:styleId="155">
    <w:name w:val="样式 题注 + 黑体"/>
    <w:basedOn w:val="1"/>
    <w:link w:val="154"/>
    <w:qFormat/>
    <w:uiPriority w:val="0"/>
    <w:pPr>
      <w:adjustRightInd w:val="0"/>
      <w:snapToGrid w:val="0"/>
      <w:jc w:val="center"/>
    </w:pPr>
    <w:rPr>
      <w:rFonts w:ascii="宋体" w:hAnsi="宋体" w:eastAsia="宋体"/>
      <w:b/>
      <w:snapToGrid w:val="0"/>
      <w:color w:val="000000"/>
      <w:spacing w:val="-6"/>
      <w:kern w:val="2"/>
      <w:sz w:val="24"/>
      <w:lang w:val="en-US" w:eastAsia="zh-CN"/>
    </w:rPr>
  </w:style>
  <w:style w:type="character" w:customStyle="1" w:styleId="156">
    <w:name w:val="正文22 Char"/>
    <w:basedOn w:val="77"/>
    <w:link w:val="157"/>
    <w:qFormat/>
    <w:uiPriority w:val="0"/>
    <w:rPr>
      <w:rFonts w:ascii="Times New Roman" w:hAnsi="Times New Roman"/>
      <w:sz w:val="24"/>
    </w:rPr>
  </w:style>
  <w:style w:type="paragraph" w:customStyle="1" w:styleId="157">
    <w:name w:val="正文22"/>
    <w:basedOn w:val="1"/>
    <w:link w:val="156"/>
    <w:qFormat/>
    <w:uiPriority w:val="0"/>
    <w:pPr>
      <w:adjustRightInd w:val="0"/>
      <w:spacing w:line="360" w:lineRule="auto"/>
      <w:ind w:firstLine="510"/>
      <w:jc w:val="left"/>
      <w:textAlignment w:val="center"/>
    </w:pPr>
    <w:rPr>
      <w:rFonts w:ascii="Times New Roman" w:hAnsi="Times New Roman"/>
      <w:sz w:val="24"/>
    </w:rPr>
  </w:style>
  <w:style w:type="character" w:customStyle="1" w:styleId="158">
    <w:name w:val="表文字 Char"/>
    <w:basedOn w:val="77"/>
    <w:link w:val="159"/>
    <w:qFormat/>
    <w:uiPriority w:val="0"/>
    <w:rPr>
      <w:rFonts w:ascii="Arial" w:hAnsi="Arial" w:eastAsia="宋体"/>
      <w:kern w:val="2"/>
      <w:sz w:val="21"/>
      <w:lang w:val="en-US" w:eastAsia="zh-CN"/>
    </w:rPr>
  </w:style>
  <w:style w:type="paragraph" w:customStyle="1" w:styleId="159">
    <w:name w:val="表文字"/>
    <w:basedOn w:val="1"/>
    <w:link w:val="158"/>
    <w:qFormat/>
    <w:uiPriority w:val="0"/>
    <w:pPr>
      <w:spacing w:line="360" w:lineRule="exact"/>
      <w:jc w:val="center"/>
    </w:pPr>
    <w:rPr>
      <w:rFonts w:ascii="Arial" w:hAnsi="Arial" w:eastAsia="宋体"/>
      <w:kern w:val="2"/>
      <w:sz w:val="21"/>
      <w:lang w:val="en-US" w:eastAsia="zh-CN"/>
    </w:rPr>
  </w:style>
  <w:style w:type="character" w:customStyle="1" w:styleId="160">
    <w:name w:val="Normal Char"/>
    <w:basedOn w:val="77"/>
    <w:link w:val="161"/>
    <w:qFormat/>
    <w:uiPriority w:val="0"/>
    <w:rPr>
      <w:rFonts w:eastAsia="仿宋_GB2312"/>
      <w:sz w:val="28"/>
      <w:lang w:val="en-US" w:eastAsia="zh-CN"/>
    </w:rPr>
  </w:style>
  <w:style w:type="paragraph" w:customStyle="1" w:styleId="161">
    <w:name w:val="Normal"/>
    <w:link w:val="160"/>
    <w:qFormat/>
    <w:uiPriority w:val="0"/>
    <w:pPr>
      <w:widowControl w:val="0"/>
      <w:adjustRightInd w:val="0"/>
      <w:jc w:val="center"/>
      <w:textAlignment w:val="baseline"/>
    </w:pPr>
    <w:rPr>
      <w:rFonts w:ascii="Times New Roman" w:hAnsi="Times New Roman" w:eastAsia="仿宋_GB2312" w:cs="Times New Roman"/>
      <w:sz w:val="28"/>
      <w:lang w:val="en-US" w:eastAsia="zh-CN"/>
    </w:rPr>
  </w:style>
  <w:style w:type="character" w:customStyle="1" w:styleId="162">
    <w:name w:val="样式 表格 + Times New Roman Char"/>
    <w:basedOn w:val="77"/>
    <w:link w:val="163"/>
    <w:qFormat/>
    <w:uiPriority w:val="0"/>
    <w:rPr>
      <w:rFonts w:ascii="Arial" w:hAnsi="Arial"/>
      <w:snapToGrid w:val="0"/>
      <w:sz w:val="21"/>
    </w:rPr>
  </w:style>
  <w:style w:type="paragraph" w:customStyle="1" w:styleId="163">
    <w:name w:val="样式 表格 + Times New Roman"/>
    <w:basedOn w:val="1"/>
    <w:link w:val="162"/>
    <w:qFormat/>
    <w:uiPriority w:val="0"/>
    <w:pPr>
      <w:adjustRightInd w:val="0"/>
      <w:snapToGrid w:val="0"/>
      <w:spacing w:before="100" w:beforeLines="0" w:beforeAutospacing="1" w:after="100" w:afterLines="0" w:afterAutospacing="1"/>
      <w:jc w:val="center"/>
    </w:pPr>
    <w:rPr>
      <w:rFonts w:ascii="Arial" w:hAnsi="Arial"/>
      <w:snapToGrid w:val="0"/>
      <w:sz w:val="21"/>
    </w:rPr>
  </w:style>
  <w:style w:type="character" w:customStyle="1" w:styleId="164">
    <w:name w:val="标题S3 Char"/>
    <w:basedOn w:val="77"/>
    <w:link w:val="165"/>
    <w:qFormat/>
    <w:uiPriority w:val="0"/>
    <w:rPr>
      <w:rFonts w:ascii="宋体" w:hAnsi="宋体" w:eastAsia="宋体"/>
      <w:b/>
      <w:kern w:val="2"/>
      <w:sz w:val="24"/>
      <w:lang w:val="en-US" w:eastAsia="zh-CN"/>
    </w:rPr>
  </w:style>
  <w:style w:type="paragraph" w:customStyle="1" w:styleId="165">
    <w:name w:val="标题S3"/>
    <w:basedOn w:val="1"/>
    <w:link w:val="164"/>
    <w:qFormat/>
    <w:uiPriority w:val="0"/>
    <w:pPr>
      <w:numPr>
        <w:ilvl w:val="2"/>
        <w:numId w:val="2"/>
      </w:numPr>
      <w:adjustRightInd w:val="0"/>
      <w:snapToGrid w:val="0"/>
      <w:spacing w:line="360" w:lineRule="auto"/>
      <w:jc w:val="left"/>
      <w:outlineLvl w:val="2"/>
    </w:pPr>
    <w:rPr>
      <w:rFonts w:ascii="宋体" w:hAnsi="宋体" w:eastAsia="宋体"/>
      <w:b/>
      <w:kern w:val="2"/>
      <w:sz w:val="24"/>
      <w:lang w:val="en-US" w:eastAsia="zh-CN"/>
    </w:rPr>
  </w:style>
  <w:style w:type="character" w:customStyle="1" w:styleId="166">
    <w:name w:val="正文文本 2 Char1"/>
    <w:basedOn w:val="77"/>
    <w:qFormat/>
    <w:uiPriority w:val="0"/>
    <w:rPr>
      <w:kern w:val="2"/>
      <w:sz w:val="21"/>
    </w:rPr>
  </w:style>
  <w:style w:type="character" w:customStyle="1" w:styleId="167">
    <w:name w:val="style141"/>
    <w:basedOn w:val="77"/>
    <w:qFormat/>
    <w:uiPriority w:val="0"/>
    <w:rPr>
      <w:sz w:val="27"/>
    </w:rPr>
  </w:style>
  <w:style w:type="character" w:customStyle="1" w:styleId="168">
    <w:name w:val="black91"/>
    <w:basedOn w:val="77"/>
    <w:qFormat/>
    <w:uiPriority w:val="0"/>
    <w:rPr>
      <w:color w:val="000000"/>
      <w:sz w:val="18"/>
    </w:rPr>
  </w:style>
  <w:style w:type="character" w:customStyle="1" w:styleId="169">
    <w:name w:val=" Char Char11"/>
    <w:basedOn w:val="77"/>
    <w:qFormat/>
    <w:uiPriority w:val="0"/>
    <w:rPr>
      <w:rFonts w:ascii="Arial" w:hAnsi="Arial" w:eastAsia="黑体"/>
      <w:kern w:val="2"/>
      <w:sz w:val="21"/>
      <w:lang w:val="en-US" w:eastAsia="zh-CN"/>
    </w:rPr>
  </w:style>
  <w:style w:type="character" w:customStyle="1" w:styleId="170">
    <w:name w:val="表格文字 Char"/>
    <w:basedOn w:val="77"/>
    <w:link w:val="171"/>
    <w:qFormat/>
    <w:uiPriority w:val="0"/>
    <w:rPr>
      <w:rFonts w:ascii="宋体" w:hAnsi="宋体"/>
      <w:kern w:val="2"/>
      <w:sz w:val="21"/>
    </w:rPr>
  </w:style>
  <w:style w:type="paragraph" w:customStyle="1" w:styleId="171">
    <w:name w:val="表格文字"/>
    <w:basedOn w:val="7"/>
    <w:next w:val="1"/>
    <w:link w:val="170"/>
    <w:qFormat/>
    <w:uiPriority w:val="0"/>
    <w:pPr>
      <w:tabs>
        <w:tab w:val="left" w:pos="3720"/>
      </w:tabs>
      <w:autoSpaceDE w:val="0"/>
      <w:autoSpaceDN w:val="0"/>
      <w:adjustRightInd w:val="0"/>
      <w:spacing w:after="0" w:afterLines="0" w:afterAutospacing="0" w:line="315" w:lineRule="exact"/>
      <w:jc w:val="center"/>
    </w:pPr>
    <w:rPr>
      <w:rFonts w:ascii="宋体" w:hAnsi="宋体"/>
      <w:kern w:val="2"/>
      <w:sz w:val="21"/>
    </w:rPr>
  </w:style>
  <w:style w:type="character" w:customStyle="1" w:styleId="172">
    <w:name w:val="款标题 Char2"/>
    <w:basedOn w:val="77"/>
    <w:qFormat/>
    <w:uiPriority w:val="0"/>
    <w:rPr>
      <w:rFonts w:ascii="Arial" w:hAnsi="Arial" w:eastAsia="黑体"/>
      <w:kern w:val="2"/>
      <w:sz w:val="30"/>
      <w:lang w:val="en-US" w:eastAsia="zh-CN"/>
    </w:rPr>
  </w:style>
  <w:style w:type="character" w:customStyle="1" w:styleId="173">
    <w:name w:val="普通文字 Char Char Char Char Char Char Char Char Char Char Char"/>
    <w:basedOn w:val="77"/>
    <w:qFormat/>
    <w:uiPriority w:val="0"/>
    <w:rPr>
      <w:rFonts w:ascii="宋体" w:hAnsi="Courier New" w:eastAsia="宋体"/>
      <w:kern w:val="2"/>
      <w:sz w:val="21"/>
      <w:lang w:val="en-US" w:eastAsia="zh-CN"/>
    </w:rPr>
  </w:style>
  <w:style w:type="character" w:customStyle="1" w:styleId="174">
    <w:name w:val="style121"/>
    <w:basedOn w:val="77"/>
    <w:qFormat/>
    <w:uiPriority w:val="0"/>
    <w:rPr>
      <w:b/>
      <w:color w:val="FF0000"/>
    </w:rPr>
  </w:style>
  <w:style w:type="character" w:customStyle="1" w:styleId="175">
    <w:name w:val="学位论文页眉 Char"/>
    <w:basedOn w:val="77"/>
    <w:qFormat/>
    <w:uiPriority w:val="0"/>
    <w:rPr>
      <w:rFonts w:eastAsia="宋体"/>
      <w:lang w:val="en-US" w:eastAsia="zh-CN"/>
    </w:rPr>
  </w:style>
  <w:style w:type="character" w:customStyle="1" w:styleId="176">
    <w:name w:val="表号.tx"/>
    <w:qFormat/>
    <w:uiPriority w:val="0"/>
    <w:rPr>
      <w:rFonts w:eastAsia="仿宋_GB2312"/>
      <w:sz w:val="24"/>
    </w:rPr>
  </w:style>
  <w:style w:type="character" w:customStyle="1" w:styleId="177">
    <w:name w:val="表号 Char1"/>
    <w:basedOn w:val="77"/>
    <w:link w:val="178"/>
    <w:qFormat/>
    <w:uiPriority w:val="0"/>
    <w:rPr>
      <w:rFonts w:ascii="Arial" w:hAnsi="Arial"/>
      <w:sz w:val="23"/>
      <w:lang w:val="en-US" w:eastAsia="zh-CN"/>
    </w:rPr>
  </w:style>
  <w:style w:type="paragraph" w:customStyle="1" w:styleId="178">
    <w:name w:val="表号"/>
    <w:link w:val="177"/>
    <w:qFormat/>
    <w:uiPriority w:val="0"/>
    <w:pPr>
      <w:adjustRightInd w:val="0"/>
      <w:snapToGrid w:val="0"/>
      <w:spacing w:line="480" w:lineRule="exact"/>
      <w:jc w:val="right"/>
    </w:pPr>
    <w:rPr>
      <w:rFonts w:ascii="Arial" w:hAnsi="Arial" w:eastAsia="宋体" w:cs="Times New Roman"/>
      <w:sz w:val="23"/>
      <w:lang w:val="en-US" w:eastAsia="zh-CN"/>
    </w:rPr>
  </w:style>
  <w:style w:type="character" w:customStyle="1" w:styleId="179">
    <w:name w:val="标题 6 Char1"/>
    <w:basedOn w:val="77"/>
    <w:qFormat/>
    <w:uiPriority w:val="0"/>
    <w:rPr>
      <w:sz w:val="24"/>
    </w:rPr>
  </w:style>
  <w:style w:type="character" w:customStyle="1" w:styleId="180">
    <w:name w:val="章标题 1 Char"/>
    <w:basedOn w:val="77"/>
    <w:qFormat/>
    <w:uiPriority w:val="0"/>
    <w:rPr>
      <w:rFonts w:eastAsia="宋体"/>
      <w:b/>
      <w:kern w:val="44"/>
      <w:sz w:val="44"/>
      <w:lang w:val="en-US" w:eastAsia="zh-CN"/>
    </w:rPr>
  </w:style>
  <w:style w:type="character" w:customStyle="1" w:styleId="181">
    <w:name w:val="a21"/>
    <w:basedOn w:val="77"/>
    <w:qFormat/>
    <w:uiPriority w:val="0"/>
    <w:rPr>
      <w:rFonts w:hint="default" w:ascii="Geneva" w:hAnsi="Geneva"/>
      <w:color w:val="000000"/>
      <w:sz w:val="23"/>
      <w:u w:val="none"/>
    </w:rPr>
  </w:style>
  <w:style w:type="character" w:customStyle="1" w:styleId="182">
    <w:name w:val="样式（ 正文） Char"/>
    <w:basedOn w:val="77"/>
    <w:link w:val="183"/>
    <w:qFormat/>
    <w:uiPriority w:val="0"/>
    <w:rPr>
      <w:rFonts w:ascii="宋体" w:hAnsi="宋体"/>
      <w:color w:val="000000"/>
      <w:kern w:val="2"/>
      <w:sz w:val="24"/>
    </w:rPr>
  </w:style>
  <w:style w:type="paragraph" w:customStyle="1" w:styleId="183">
    <w:name w:val="样式（ 正文）"/>
    <w:basedOn w:val="24"/>
    <w:link w:val="182"/>
    <w:qFormat/>
    <w:uiPriority w:val="0"/>
    <w:pPr>
      <w:adjustRightInd w:val="0"/>
      <w:snapToGrid w:val="0"/>
      <w:spacing w:line="360" w:lineRule="auto"/>
      <w:ind w:firstLine="480"/>
    </w:pPr>
    <w:rPr>
      <w:rFonts w:ascii="宋体" w:hAnsi="宋体"/>
      <w:color w:val="000000"/>
      <w:kern w:val="2"/>
      <w:sz w:val="24"/>
    </w:rPr>
  </w:style>
  <w:style w:type="character" w:customStyle="1" w:styleId="184">
    <w:name w:val="页脚 Char"/>
    <w:basedOn w:val="77"/>
    <w:qFormat/>
    <w:uiPriority w:val="0"/>
    <w:rPr>
      <w:kern w:val="2"/>
      <w:sz w:val="18"/>
    </w:rPr>
  </w:style>
  <w:style w:type="character" w:customStyle="1" w:styleId="185">
    <w:name w:val=" Char Char16"/>
    <w:basedOn w:val="77"/>
    <w:qFormat/>
    <w:uiPriority w:val="0"/>
    <w:rPr>
      <w:rFonts w:ascii="Times New Roman" w:hAnsi="Times New Roman"/>
      <w:kern w:val="2"/>
      <w:sz w:val="24"/>
    </w:rPr>
  </w:style>
  <w:style w:type="character" w:customStyle="1" w:styleId="186">
    <w:name w:val="表中文字 Char3"/>
    <w:basedOn w:val="77"/>
    <w:qFormat/>
    <w:uiPriority w:val="0"/>
    <w:rPr>
      <w:rFonts w:ascii="宋体" w:eastAsia="宋体"/>
      <w:kern w:val="2"/>
      <w:sz w:val="32"/>
      <w:lang w:val="en-US" w:eastAsia="zh-CN"/>
    </w:rPr>
  </w:style>
  <w:style w:type="character" w:customStyle="1" w:styleId="187">
    <w:name w:val="样式 左侧:  0.98 厘米 Char1"/>
    <w:basedOn w:val="77"/>
    <w:link w:val="188"/>
    <w:qFormat/>
    <w:uiPriority w:val="0"/>
    <w:rPr>
      <w:rFonts w:ascii="Times New Roman" w:hAnsi="Times New Roman" w:eastAsia="仿宋_GB2312"/>
      <w:kern w:val="2"/>
      <w:sz w:val="28"/>
    </w:rPr>
  </w:style>
  <w:style w:type="paragraph" w:customStyle="1" w:styleId="188">
    <w:name w:val="样式 左侧:  0.98 厘米"/>
    <w:basedOn w:val="1"/>
    <w:link w:val="187"/>
    <w:qFormat/>
    <w:uiPriority w:val="0"/>
    <w:pPr>
      <w:adjustRightInd w:val="0"/>
      <w:snapToGrid w:val="0"/>
      <w:spacing w:line="490" w:lineRule="exact"/>
      <w:ind w:firstLine="560" w:firstLineChars="200"/>
    </w:pPr>
    <w:rPr>
      <w:rFonts w:ascii="Times New Roman" w:hAnsi="Times New Roman" w:eastAsia="仿宋_GB2312"/>
      <w:kern w:val="2"/>
      <w:sz w:val="28"/>
    </w:rPr>
  </w:style>
  <w:style w:type="character" w:customStyle="1" w:styleId="189">
    <w:name w:val="style51"/>
    <w:basedOn w:val="77"/>
    <w:qFormat/>
    <w:uiPriority w:val="0"/>
    <w:rPr>
      <w:b/>
      <w:color w:val="000066"/>
      <w:sz w:val="40"/>
    </w:rPr>
  </w:style>
  <w:style w:type="character" w:customStyle="1" w:styleId="190">
    <w:name w:val="t11"/>
    <w:basedOn w:val="77"/>
    <w:qFormat/>
    <w:uiPriority w:val="0"/>
    <w:rPr>
      <w:sz w:val="21"/>
    </w:rPr>
  </w:style>
  <w:style w:type="character" w:customStyle="1" w:styleId="191">
    <w:name w:val="unnamed11"/>
    <w:basedOn w:val="77"/>
    <w:qFormat/>
    <w:uiPriority w:val="0"/>
  </w:style>
  <w:style w:type="character" w:customStyle="1" w:styleId="192">
    <w:name w:val="content"/>
    <w:basedOn w:val="77"/>
    <w:qFormat/>
    <w:uiPriority w:val="0"/>
  </w:style>
  <w:style w:type="character" w:customStyle="1" w:styleId="193">
    <w:name w:val="表格 Char"/>
    <w:basedOn w:val="77"/>
    <w:link w:val="194"/>
    <w:qFormat/>
    <w:uiPriority w:val="0"/>
    <w:rPr>
      <w:rFonts w:ascii="宋体" w:hAnsi="宋体"/>
      <w:kern w:val="2"/>
      <w:sz w:val="21"/>
    </w:rPr>
  </w:style>
  <w:style w:type="paragraph" w:customStyle="1" w:styleId="194">
    <w:name w:val="表格"/>
    <w:basedOn w:val="58"/>
    <w:next w:val="1"/>
    <w:link w:val="193"/>
    <w:qFormat/>
    <w:uiPriority w:val="0"/>
    <w:pPr>
      <w:spacing w:before="20" w:beforeLines="0" w:beforeAutospacing="0" w:after="20" w:afterLines="0" w:afterAutospacing="0"/>
      <w:jc w:val="center"/>
    </w:pPr>
    <w:rPr>
      <w:rFonts w:ascii="宋体" w:hAnsi="宋体"/>
      <w:kern w:val="2"/>
      <w:sz w:val="21"/>
    </w:rPr>
  </w:style>
  <w:style w:type="character" w:customStyle="1" w:styleId="195">
    <w:name w:val="表名 Char"/>
    <w:basedOn w:val="77"/>
    <w:link w:val="196"/>
    <w:qFormat/>
    <w:uiPriority w:val="0"/>
    <w:rPr>
      <w:rFonts w:ascii="Times New Roman" w:hAnsi="Times New Roman" w:eastAsia="黑体"/>
      <w:kern w:val="2"/>
      <w:sz w:val="28"/>
    </w:rPr>
  </w:style>
  <w:style w:type="paragraph" w:customStyle="1" w:styleId="196">
    <w:name w:val="表名"/>
    <w:basedOn w:val="1"/>
    <w:link w:val="195"/>
    <w:qFormat/>
    <w:uiPriority w:val="0"/>
    <w:pPr>
      <w:overflowPunct w:val="0"/>
      <w:spacing w:before="120" w:beforeLines="0" w:beforeAutospacing="0" w:line="300" w:lineRule="exact"/>
      <w:textAlignment w:val="baseline"/>
    </w:pPr>
    <w:rPr>
      <w:rFonts w:ascii="Times New Roman" w:hAnsi="Times New Roman" w:eastAsia="黑体"/>
      <w:kern w:val="2"/>
      <w:sz w:val="28"/>
    </w:rPr>
  </w:style>
  <w:style w:type="character" w:customStyle="1" w:styleId="197">
    <w:name w:val="表头.tx Char"/>
    <w:link w:val="198"/>
    <w:qFormat/>
    <w:uiPriority w:val="0"/>
    <w:rPr>
      <w:rFonts w:ascii="Times New Roman" w:hAnsi="宋体"/>
      <w:kern w:val="2"/>
      <w:sz w:val="28"/>
    </w:rPr>
  </w:style>
  <w:style w:type="paragraph" w:customStyle="1" w:styleId="198">
    <w:name w:val="表头.tx"/>
    <w:basedOn w:val="1"/>
    <w:link w:val="197"/>
    <w:qFormat/>
    <w:uiPriority w:val="0"/>
    <w:pPr>
      <w:spacing w:before="156" w:beforeLines="50" w:beforeAutospacing="0"/>
      <w:jc w:val="center"/>
    </w:pPr>
    <w:rPr>
      <w:rFonts w:ascii="Times New Roman" w:hAnsi="宋体"/>
      <w:kern w:val="2"/>
      <w:sz w:val="28"/>
    </w:rPr>
  </w:style>
  <w:style w:type="character" w:customStyle="1" w:styleId="199">
    <w:name w:val=" Char Char10"/>
    <w:basedOn w:val="77"/>
    <w:qFormat/>
    <w:uiPriority w:val="0"/>
    <w:rPr>
      <w:rFonts w:eastAsia="宋体"/>
      <w:sz w:val="24"/>
      <w:lang w:val="en-US" w:eastAsia="zh-CN"/>
    </w:rPr>
  </w:style>
  <w:style w:type="character" w:customStyle="1" w:styleId="200">
    <w:name w:val="表头 Char"/>
    <w:basedOn w:val="77"/>
    <w:link w:val="201"/>
    <w:qFormat/>
    <w:uiPriority w:val="0"/>
    <w:rPr>
      <w:rFonts w:ascii="黑体" w:hAnsi="Times New Roman" w:eastAsia="黑体"/>
      <w:snapToGrid w:val="0"/>
      <w:sz w:val="24"/>
    </w:rPr>
  </w:style>
  <w:style w:type="paragraph" w:customStyle="1" w:styleId="201">
    <w:name w:val="表头"/>
    <w:basedOn w:val="1"/>
    <w:link w:val="200"/>
    <w:qFormat/>
    <w:uiPriority w:val="0"/>
    <w:pPr>
      <w:adjustRightInd w:val="0"/>
      <w:snapToGrid w:val="0"/>
      <w:spacing w:line="440" w:lineRule="atLeast"/>
    </w:pPr>
    <w:rPr>
      <w:rFonts w:ascii="黑体" w:hAnsi="Times New Roman" w:eastAsia="黑体"/>
      <w:snapToGrid w:val="0"/>
      <w:sz w:val="24"/>
    </w:rPr>
  </w:style>
  <w:style w:type="character" w:customStyle="1" w:styleId="202">
    <w:name w:val="表头 Char Char"/>
    <w:basedOn w:val="77"/>
    <w:qFormat/>
    <w:uiPriority w:val="0"/>
    <w:rPr>
      <w:rFonts w:ascii="黑体" w:eastAsia="黑体"/>
      <w:snapToGrid w:val="0"/>
      <w:kern w:val="2"/>
      <w:sz w:val="24"/>
      <w:lang w:val="en-US" w:eastAsia="zh-CN"/>
    </w:rPr>
  </w:style>
  <w:style w:type="character" w:customStyle="1" w:styleId="203">
    <w:name w:val="标题 4 Char1"/>
    <w:basedOn w:val="77"/>
    <w:qFormat/>
    <w:uiPriority w:val="0"/>
    <w:rPr>
      <w:sz w:val="24"/>
    </w:rPr>
  </w:style>
  <w:style w:type="character" w:customStyle="1" w:styleId="204">
    <w:name w:val="duan1"/>
    <w:basedOn w:val="77"/>
    <w:qFormat/>
    <w:uiPriority w:val="0"/>
    <w:rPr>
      <w:rFonts w:hint="default" w:ascii="ˎ̥" w:hAnsi="ˎ̥"/>
      <w:sz w:val="20"/>
    </w:rPr>
  </w:style>
  <w:style w:type="character" w:customStyle="1" w:styleId="205">
    <w:name w:val="正文文本最新 Char Char Char Char1 Char Char"/>
    <w:basedOn w:val="77"/>
    <w:link w:val="206"/>
    <w:qFormat/>
    <w:uiPriority w:val="0"/>
    <w:rPr>
      <w:rFonts w:ascii="Times New Roman" w:hAnsi="Times New Roman"/>
      <w:kern w:val="2"/>
      <w:sz w:val="28"/>
    </w:rPr>
  </w:style>
  <w:style w:type="paragraph" w:customStyle="1" w:styleId="206">
    <w:name w:val="正文文本最新 Char Char Char Char1 Char"/>
    <w:basedOn w:val="1"/>
    <w:link w:val="205"/>
    <w:qFormat/>
    <w:uiPriority w:val="0"/>
    <w:pPr>
      <w:spacing w:line="360" w:lineRule="auto"/>
      <w:ind w:firstLine="200" w:firstLineChars="200"/>
    </w:pPr>
    <w:rPr>
      <w:rFonts w:ascii="Times New Roman" w:hAnsi="Times New Roman"/>
      <w:kern w:val="2"/>
      <w:sz w:val="28"/>
    </w:rPr>
  </w:style>
  <w:style w:type="character" w:customStyle="1" w:styleId="207">
    <w:name w:val="样式12q Char"/>
    <w:basedOn w:val="77"/>
    <w:link w:val="208"/>
    <w:qFormat/>
    <w:uiPriority w:val="0"/>
    <w:rPr>
      <w:rFonts w:ascii="Times New Roman" w:hAnsi="Times New Roman"/>
      <w:kern w:val="2"/>
      <w:sz w:val="28"/>
    </w:rPr>
  </w:style>
  <w:style w:type="paragraph" w:customStyle="1" w:styleId="208">
    <w:name w:val="样式12q"/>
    <w:basedOn w:val="1"/>
    <w:link w:val="207"/>
    <w:qFormat/>
    <w:uiPriority w:val="0"/>
    <w:pPr>
      <w:spacing w:line="360" w:lineRule="auto"/>
      <w:ind w:firstLine="560" w:firstLineChars="200"/>
    </w:pPr>
    <w:rPr>
      <w:rFonts w:ascii="Times New Roman" w:hAnsi="Times New Roman"/>
      <w:kern w:val="2"/>
      <w:sz w:val="28"/>
    </w:rPr>
  </w:style>
  <w:style w:type="character" w:customStyle="1" w:styleId="209">
    <w:name w:val="样式 (中文) 黑体 四号 蓝色1"/>
    <w:qFormat/>
    <w:uiPriority w:val="0"/>
    <w:rPr>
      <w:rFonts w:eastAsia="宋体"/>
      <w:color w:val="0000FF"/>
      <w:sz w:val="28"/>
    </w:rPr>
  </w:style>
  <w:style w:type="character" w:customStyle="1" w:styleId="210">
    <w:name w:val="表内文字 Char"/>
    <w:basedOn w:val="77"/>
    <w:link w:val="211"/>
    <w:qFormat/>
    <w:uiPriority w:val="0"/>
    <w:rPr>
      <w:rFonts w:ascii="宋体" w:eastAsia="宋体"/>
      <w:kern w:val="2"/>
      <w:lang w:val="en-US" w:eastAsia="zh-CN"/>
    </w:rPr>
  </w:style>
  <w:style w:type="paragraph" w:customStyle="1" w:styleId="211">
    <w:name w:val="表内文字"/>
    <w:basedOn w:val="1"/>
    <w:link w:val="210"/>
    <w:qFormat/>
    <w:uiPriority w:val="0"/>
    <w:pPr>
      <w:spacing w:line="300" w:lineRule="exact"/>
      <w:jc w:val="center"/>
    </w:pPr>
    <w:rPr>
      <w:rFonts w:ascii="宋体" w:eastAsia="宋体"/>
      <w:kern w:val="2"/>
      <w:lang w:val="en-US" w:eastAsia="zh-CN"/>
    </w:rPr>
  </w:style>
  <w:style w:type="character" w:customStyle="1" w:styleId="212">
    <w:name w:val="style101"/>
    <w:basedOn w:val="77"/>
    <w:qFormat/>
    <w:uiPriority w:val="0"/>
    <w:rPr>
      <w:sz w:val="21"/>
    </w:rPr>
  </w:style>
  <w:style w:type="character" w:customStyle="1" w:styleId="213">
    <w:name w:val=" Char Char14"/>
    <w:basedOn w:val="77"/>
    <w:qFormat/>
    <w:uiPriority w:val="0"/>
    <w:rPr>
      <w:rFonts w:ascii="Calibri" w:hAnsi="Calibri" w:eastAsia="宋体"/>
      <w:b/>
      <w:sz w:val="24"/>
    </w:rPr>
  </w:style>
  <w:style w:type="character" w:customStyle="1" w:styleId="214">
    <w:name w:val="样式 样式 正文文本 + 首行缩进:  2 字符 + 自动设置 Char"/>
    <w:basedOn w:val="77"/>
    <w:link w:val="215"/>
    <w:qFormat/>
    <w:uiPriority w:val="0"/>
    <w:rPr>
      <w:rFonts w:ascii="Times New Roman" w:hAnsi="Times New Roman"/>
      <w:snapToGrid w:val="0"/>
      <w:color w:val="0000FF"/>
      <w:sz w:val="24"/>
    </w:rPr>
  </w:style>
  <w:style w:type="paragraph" w:customStyle="1" w:styleId="215">
    <w:name w:val="样式 样式 正文文本 + 首行缩进:  2 字符 + 自动设置"/>
    <w:basedOn w:val="1"/>
    <w:link w:val="214"/>
    <w:qFormat/>
    <w:uiPriority w:val="0"/>
    <w:pPr>
      <w:autoSpaceDE w:val="0"/>
      <w:autoSpaceDN w:val="0"/>
      <w:adjustRightInd w:val="0"/>
      <w:snapToGrid w:val="0"/>
      <w:spacing w:line="360" w:lineRule="auto"/>
      <w:ind w:firstLine="480" w:firstLineChars="200"/>
      <w:textAlignment w:val="bottom"/>
    </w:pPr>
    <w:rPr>
      <w:rFonts w:ascii="Times New Roman" w:hAnsi="Times New Roman"/>
      <w:snapToGrid w:val="0"/>
      <w:color w:val="0000FF"/>
      <w:sz w:val="24"/>
    </w:rPr>
  </w:style>
  <w:style w:type="character" w:customStyle="1" w:styleId="216">
    <w:name w:val="正文文字缩进 Char Char1"/>
    <w:basedOn w:val="77"/>
    <w:qFormat/>
    <w:uiPriority w:val="0"/>
    <w:rPr>
      <w:rFonts w:ascii="Times New Roman" w:hAnsi="Times New Roman"/>
      <w:kern w:val="2"/>
      <w:sz w:val="21"/>
    </w:rPr>
  </w:style>
  <w:style w:type="character" w:customStyle="1" w:styleId="217">
    <w:name w:val=" Char Char18"/>
    <w:basedOn w:val="77"/>
    <w:qFormat/>
    <w:uiPriority w:val="0"/>
    <w:rPr>
      <w:rFonts w:ascii="Arial" w:hAnsi="Arial" w:eastAsia="黑体"/>
    </w:rPr>
  </w:style>
  <w:style w:type="character" w:customStyle="1" w:styleId="218">
    <w:name w:val="weby1"/>
    <w:basedOn w:val="77"/>
    <w:qFormat/>
    <w:uiPriority w:val="0"/>
    <w:rPr>
      <w:color w:val="003300"/>
      <w:sz w:val="18"/>
    </w:rPr>
  </w:style>
  <w:style w:type="character" w:customStyle="1" w:styleId="219">
    <w:name w:val="标题 53"/>
    <w:basedOn w:val="77"/>
    <w:qFormat/>
    <w:uiPriority w:val="0"/>
    <w:rPr>
      <w:rFonts w:eastAsia="宋体"/>
      <w:sz w:val="24"/>
      <w:lang w:val="en-US" w:eastAsia="zh-CN"/>
    </w:rPr>
  </w:style>
  <w:style w:type="character" w:customStyle="1" w:styleId="220">
    <w:name w:val="f141"/>
    <w:basedOn w:val="77"/>
    <w:qFormat/>
    <w:uiPriority w:val="0"/>
    <w:rPr>
      <w:rFonts w:ascii="宋体" w:hAnsi="宋体" w:eastAsia="宋体"/>
      <w:kern w:val="2"/>
      <w:sz w:val="22"/>
      <w:lang w:val="en-US" w:eastAsia="zh-CN"/>
    </w:rPr>
  </w:style>
  <w:style w:type="character" w:customStyle="1" w:styleId="221">
    <w:name w:val="表文 Char Char Char"/>
    <w:basedOn w:val="77"/>
    <w:link w:val="222"/>
    <w:qFormat/>
    <w:uiPriority w:val="0"/>
    <w:rPr>
      <w:rFonts w:eastAsia="宋体"/>
      <w:kern w:val="2"/>
      <w:sz w:val="24"/>
      <w:lang w:val="en-US" w:eastAsia="zh-CN"/>
    </w:rPr>
  </w:style>
  <w:style w:type="paragraph" w:customStyle="1" w:styleId="222">
    <w:name w:val="表文"/>
    <w:basedOn w:val="1"/>
    <w:link w:val="221"/>
    <w:qFormat/>
    <w:uiPriority w:val="0"/>
    <w:pPr>
      <w:overflowPunct w:val="0"/>
      <w:jc w:val="center"/>
      <w:textAlignment w:val="baseline"/>
    </w:pPr>
    <w:rPr>
      <w:rFonts w:eastAsia="宋体"/>
      <w:kern w:val="2"/>
      <w:sz w:val="24"/>
      <w:lang w:val="en-US" w:eastAsia="zh-CN"/>
    </w:rPr>
  </w:style>
  <w:style w:type="character" w:customStyle="1" w:styleId="223">
    <w:name w:val="docpro"/>
    <w:basedOn w:val="77"/>
    <w:qFormat/>
    <w:uiPriority w:val="0"/>
  </w:style>
  <w:style w:type="character" w:customStyle="1" w:styleId="224">
    <w:name w:val="1文本正文 Char"/>
    <w:basedOn w:val="77"/>
    <w:link w:val="100"/>
    <w:qFormat/>
    <w:uiPriority w:val="0"/>
    <w:rPr>
      <w:rFonts w:ascii="Times New Roman" w:hAnsi="Times New Roman"/>
      <w:kern w:val="2"/>
      <w:sz w:val="24"/>
    </w:rPr>
  </w:style>
  <w:style w:type="character" w:customStyle="1" w:styleId="225">
    <w:name w:val="页角２ Char"/>
    <w:basedOn w:val="126"/>
    <w:link w:val="226"/>
    <w:qFormat/>
    <w:uiPriority w:val="0"/>
    <w:rPr>
      <w:rFonts w:ascii="黑体" w:eastAsia="黑体"/>
      <w:kern w:val="2"/>
      <w:sz w:val="21"/>
    </w:rPr>
  </w:style>
  <w:style w:type="paragraph" w:customStyle="1" w:styleId="226">
    <w:name w:val="页角２"/>
    <w:basedOn w:val="52"/>
    <w:link w:val="225"/>
    <w:qFormat/>
    <w:uiPriority w:val="0"/>
    <w:pPr>
      <w:pBdr>
        <w:top w:val="single" w:color="auto" w:sz="2" w:space="1"/>
      </w:pBdr>
      <w:adjustRightInd/>
      <w:snapToGrid w:val="0"/>
      <w:spacing w:line="240" w:lineRule="auto"/>
      <w:ind w:firstLine="0"/>
      <w:jc w:val="both"/>
      <w:textAlignment w:val="auto"/>
    </w:pPr>
    <w:rPr>
      <w:rFonts w:ascii="黑体" w:eastAsia="黑体"/>
      <w:kern w:val="2"/>
      <w:sz w:val="21"/>
    </w:rPr>
  </w:style>
  <w:style w:type="character" w:customStyle="1" w:styleId="227">
    <w:name w:val="pt10-2"/>
    <w:basedOn w:val="77"/>
    <w:qFormat/>
    <w:uiPriority w:val="0"/>
    <w:rPr>
      <w:rFonts w:ascii="宋体" w:hAnsi="宋体" w:eastAsia="宋体"/>
      <w:b/>
      <w:kern w:val="44"/>
      <w:sz w:val="32"/>
      <w:lang w:val="en-US" w:eastAsia="zh-CN"/>
    </w:rPr>
  </w:style>
  <w:style w:type="character" w:customStyle="1" w:styleId="228">
    <w:name w:val="pt121"/>
    <w:basedOn w:val="77"/>
    <w:qFormat/>
    <w:uiPriority w:val="0"/>
    <w:rPr>
      <w:rFonts w:hint="eastAsia" w:ascii="宋体" w:hAnsi="宋体" w:eastAsia="宋体"/>
      <w:sz w:val="24"/>
    </w:rPr>
  </w:style>
  <w:style w:type="character" w:customStyle="1" w:styleId="229">
    <w:name w:val="title1"/>
    <w:basedOn w:val="77"/>
    <w:qFormat/>
    <w:uiPriority w:val="0"/>
    <w:rPr>
      <w:rFonts w:hint="eastAsia" w:ascii="Verdana, Arial, 宋体" w:eastAsia="Verdana, Arial, 宋体"/>
      <w:b/>
      <w:color w:val="333333"/>
      <w:sz w:val="30"/>
    </w:rPr>
  </w:style>
  <w:style w:type="character" w:customStyle="1" w:styleId="230">
    <w:name w:val=" Char Char17"/>
    <w:basedOn w:val="77"/>
    <w:qFormat/>
    <w:uiPriority w:val="0"/>
    <w:rPr>
      <w:rFonts w:ascii="Times New Roman" w:hAnsi="Times New Roman" w:eastAsia="宋体"/>
      <w:sz w:val="18"/>
    </w:rPr>
  </w:style>
  <w:style w:type="character" w:customStyle="1" w:styleId="231">
    <w:name w:val="标题 41"/>
    <w:basedOn w:val="77"/>
    <w:qFormat/>
    <w:uiPriority w:val="0"/>
    <w:rPr>
      <w:rFonts w:eastAsia="宋体"/>
      <w:sz w:val="24"/>
      <w:lang w:val="en-US" w:eastAsia="zh-CN"/>
    </w:rPr>
  </w:style>
  <w:style w:type="character" w:customStyle="1" w:styleId="232">
    <w:name w:val="报告书正文 Char2"/>
    <w:basedOn w:val="77"/>
    <w:link w:val="233"/>
    <w:qFormat/>
    <w:uiPriority w:val="0"/>
    <w:rPr>
      <w:rFonts w:ascii="Times New Roman" w:hAnsi="Times New Roman"/>
      <w:kern w:val="2"/>
      <w:sz w:val="24"/>
    </w:rPr>
  </w:style>
  <w:style w:type="paragraph" w:customStyle="1" w:styleId="233">
    <w:name w:val="报告书正文"/>
    <w:basedOn w:val="1"/>
    <w:link w:val="232"/>
    <w:qFormat/>
    <w:uiPriority w:val="0"/>
    <w:pPr>
      <w:spacing w:line="300" w:lineRule="auto"/>
      <w:ind w:firstLine="200" w:firstLineChars="200"/>
    </w:pPr>
    <w:rPr>
      <w:rFonts w:ascii="Times New Roman" w:hAnsi="Times New Roman"/>
      <w:kern w:val="2"/>
      <w:sz w:val="24"/>
    </w:rPr>
  </w:style>
  <w:style w:type="character" w:customStyle="1" w:styleId="234">
    <w:name w:val="题注jb Char Char"/>
    <w:link w:val="235"/>
    <w:qFormat/>
    <w:uiPriority w:val="0"/>
    <w:rPr>
      <w:rFonts w:ascii="宋体" w:hAnsi="宋体" w:eastAsia="宋体"/>
      <w:snapToGrid w:val="0"/>
      <w:sz w:val="21"/>
    </w:rPr>
  </w:style>
  <w:style w:type="paragraph" w:customStyle="1" w:styleId="235">
    <w:name w:val="题注jb"/>
    <w:basedOn w:val="1"/>
    <w:link w:val="234"/>
    <w:qFormat/>
    <w:uiPriority w:val="0"/>
    <w:pPr>
      <w:adjustRightInd w:val="0"/>
      <w:snapToGrid w:val="0"/>
      <w:spacing w:line="320" w:lineRule="exact"/>
      <w:jc w:val="left"/>
    </w:pPr>
    <w:rPr>
      <w:rFonts w:ascii="宋体" w:hAnsi="宋体" w:eastAsia="宋体"/>
      <w:snapToGrid w:val="0"/>
      <w:sz w:val="21"/>
    </w:rPr>
  </w:style>
  <w:style w:type="character" w:customStyle="1" w:styleId="236">
    <w:name w:val="表名 Char Char"/>
    <w:basedOn w:val="77"/>
    <w:qFormat/>
    <w:uiPriority w:val="0"/>
    <w:rPr>
      <w:rFonts w:ascii="黑体" w:hAnsi="Arial" w:eastAsia="黑体"/>
      <w:kern w:val="2"/>
      <w:sz w:val="28"/>
      <w:lang w:val="en-US" w:eastAsia="zh-CN"/>
    </w:rPr>
  </w:style>
  <w:style w:type="character" w:customStyle="1" w:styleId="237">
    <w:name w:val="样式 样式 左侧:  0.98 厘米 + 首行缩进:  2 字符 Char1"/>
    <w:basedOn w:val="77"/>
    <w:link w:val="238"/>
    <w:qFormat/>
    <w:uiPriority w:val="0"/>
    <w:rPr>
      <w:rFonts w:ascii="宋体" w:hAnsi="宋体"/>
      <w:kern w:val="2"/>
      <w:sz w:val="24"/>
    </w:rPr>
  </w:style>
  <w:style w:type="paragraph" w:customStyle="1" w:styleId="238">
    <w:name w:val="样式 样式 左侧:  0.98 厘米 + 首行缩进:  2 字符"/>
    <w:basedOn w:val="1"/>
    <w:link w:val="237"/>
    <w:qFormat/>
    <w:uiPriority w:val="0"/>
    <w:pPr>
      <w:adjustRightInd w:val="0"/>
      <w:snapToGrid w:val="0"/>
      <w:spacing w:line="490" w:lineRule="exact"/>
      <w:ind w:firstLine="480" w:firstLineChars="200"/>
    </w:pPr>
    <w:rPr>
      <w:rFonts w:ascii="宋体" w:hAnsi="宋体"/>
      <w:kern w:val="2"/>
      <w:sz w:val="24"/>
    </w:rPr>
  </w:style>
  <w:style w:type="character" w:customStyle="1" w:styleId="239">
    <w:name w:val="xygk11"/>
    <w:basedOn w:val="77"/>
    <w:qFormat/>
    <w:uiPriority w:val="0"/>
    <w:rPr>
      <w:rFonts w:hint="default" w:ascii="_x0010_" w:hAnsi="_x0010_" w:eastAsia="宋体"/>
      <w:b/>
      <w:kern w:val="44"/>
      <w:sz w:val="21"/>
      <w:lang w:val="en-US" w:eastAsia="zh-CN"/>
    </w:rPr>
  </w:style>
  <w:style w:type="character" w:customStyle="1" w:styleId="240">
    <w:name w:val="apple-style-span"/>
    <w:basedOn w:val="77"/>
    <w:qFormat/>
    <w:uiPriority w:val="0"/>
  </w:style>
  <w:style w:type="character" w:customStyle="1" w:styleId="241">
    <w:name w:val="标题 3 Char3"/>
    <w:basedOn w:val="77"/>
    <w:qFormat/>
    <w:uiPriority w:val="0"/>
    <w:rPr>
      <w:sz w:val="24"/>
    </w:rPr>
  </w:style>
  <w:style w:type="character" w:customStyle="1" w:styleId="242">
    <w:name w:val=" Char Char19"/>
    <w:basedOn w:val="77"/>
    <w:qFormat/>
    <w:uiPriority w:val="0"/>
    <w:rPr>
      <w:rFonts w:ascii="宋体" w:hAnsi="Calibri" w:eastAsia="宋体"/>
      <w:sz w:val="18"/>
    </w:rPr>
  </w:style>
  <w:style w:type="character" w:customStyle="1" w:styleId="243">
    <w:name w:val=" Char Char15"/>
    <w:basedOn w:val="185"/>
    <w:qFormat/>
    <w:uiPriority w:val="0"/>
    <w:rPr>
      <w:b/>
      <w:sz w:val="21"/>
    </w:rPr>
  </w:style>
  <w:style w:type="character" w:customStyle="1" w:styleId="244">
    <w:name w:val="表文 Char Char"/>
    <w:basedOn w:val="77"/>
    <w:link w:val="245"/>
    <w:qFormat/>
    <w:uiPriority w:val="0"/>
    <w:rPr>
      <w:rFonts w:ascii="Times New Roman" w:hAnsi="Times New Roman"/>
      <w:kern w:val="2"/>
      <w:sz w:val="24"/>
    </w:rPr>
  </w:style>
  <w:style w:type="paragraph" w:customStyle="1" w:styleId="245">
    <w:name w:val="表文 Char"/>
    <w:basedOn w:val="1"/>
    <w:link w:val="244"/>
    <w:qFormat/>
    <w:uiPriority w:val="0"/>
    <w:pPr>
      <w:overflowPunct w:val="0"/>
      <w:jc w:val="center"/>
      <w:textAlignment w:val="baseline"/>
    </w:pPr>
    <w:rPr>
      <w:rFonts w:ascii="Times New Roman" w:hAnsi="Times New Roman"/>
      <w:kern w:val="2"/>
      <w:sz w:val="24"/>
    </w:rPr>
  </w:style>
  <w:style w:type="character" w:customStyle="1" w:styleId="246">
    <w:name w:val="日期 Char1"/>
    <w:basedOn w:val="77"/>
    <w:qFormat/>
    <w:uiPriority w:val="0"/>
    <w:rPr>
      <w:kern w:val="2"/>
      <w:sz w:val="21"/>
    </w:rPr>
  </w:style>
  <w:style w:type="character" w:customStyle="1" w:styleId="247">
    <w:name w:val="表 Char"/>
    <w:basedOn w:val="77"/>
    <w:link w:val="248"/>
    <w:qFormat/>
    <w:uiPriority w:val="0"/>
    <w:rPr>
      <w:rFonts w:ascii="Times New Roman" w:hAnsi="Times New Roman"/>
      <w:sz w:val="21"/>
    </w:rPr>
  </w:style>
  <w:style w:type="paragraph" w:customStyle="1" w:styleId="248">
    <w:name w:val="表"/>
    <w:basedOn w:val="1"/>
    <w:next w:val="1"/>
    <w:link w:val="247"/>
    <w:qFormat/>
    <w:uiPriority w:val="0"/>
    <w:pPr>
      <w:adjustRightInd w:val="0"/>
      <w:snapToGrid w:val="0"/>
      <w:spacing w:line="288" w:lineRule="auto"/>
    </w:pPr>
    <w:rPr>
      <w:rFonts w:ascii="Times New Roman" w:hAnsi="Times New Roman"/>
      <w:sz w:val="21"/>
    </w:rPr>
  </w:style>
  <w:style w:type="character" w:customStyle="1" w:styleId="249">
    <w:name w:val="款标题 Char Char"/>
    <w:basedOn w:val="77"/>
    <w:qFormat/>
    <w:uiPriority w:val="0"/>
    <w:rPr>
      <w:rFonts w:ascii="Arial" w:hAnsi="Arial" w:eastAsia="黑体"/>
      <w:b/>
      <w:kern w:val="2"/>
      <w:sz w:val="28"/>
      <w:lang w:val="en-US" w:eastAsia="zh-CN"/>
    </w:rPr>
  </w:style>
  <w:style w:type="character" w:customStyle="1" w:styleId="250">
    <w:name w:val="项标题(1) Char3"/>
    <w:basedOn w:val="77"/>
    <w:qFormat/>
    <w:uiPriority w:val="0"/>
    <w:rPr>
      <w:rFonts w:ascii="Calibri" w:hAnsi="Calibri" w:eastAsia="宋体"/>
      <w:b/>
      <w:sz w:val="24"/>
    </w:rPr>
  </w:style>
  <w:style w:type="character" w:customStyle="1" w:styleId="251">
    <w:name w:val=" Char Char5"/>
    <w:basedOn w:val="77"/>
    <w:qFormat/>
    <w:uiPriority w:val="0"/>
    <w:rPr>
      <w:rFonts w:ascii="宋体" w:hAnsi="宋体" w:eastAsia="宋体"/>
      <w:kern w:val="2"/>
      <w:sz w:val="18"/>
      <w:lang w:val="en-US" w:eastAsia="zh-CN"/>
    </w:rPr>
  </w:style>
  <w:style w:type="character" w:customStyle="1" w:styleId="252">
    <w:name w:val="alan正文 Char"/>
    <w:basedOn w:val="77"/>
    <w:link w:val="253"/>
    <w:qFormat/>
    <w:uiPriority w:val="0"/>
    <w:rPr>
      <w:rFonts w:ascii="Times New Roman" w:hAnsi="Times New Roman"/>
      <w:kern w:val="2"/>
      <w:sz w:val="28"/>
    </w:rPr>
  </w:style>
  <w:style w:type="paragraph" w:customStyle="1" w:styleId="253">
    <w:name w:val="alan正文"/>
    <w:basedOn w:val="1"/>
    <w:link w:val="252"/>
    <w:qFormat/>
    <w:uiPriority w:val="0"/>
    <w:pPr>
      <w:spacing w:line="520" w:lineRule="exact"/>
      <w:ind w:firstLine="200" w:firstLineChars="200"/>
    </w:pPr>
    <w:rPr>
      <w:rFonts w:ascii="Times New Roman" w:hAnsi="Times New Roman"/>
      <w:kern w:val="2"/>
      <w:sz w:val="28"/>
    </w:rPr>
  </w:style>
  <w:style w:type="character" w:customStyle="1" w:styleId="254">
    <w:name w:val=" Char Char9"/>
    <w:basedOn w:val="77"/>
    <w:qFormat/>
    <w:uiPriority w:val="0"/>
    <w:rPr>
      <w:rFonts w:ascii="宋体" w:hAnsi="宋体" w:eastAsia="宋体"/>
      <w:kern w:val="2"/>
      <w:sz w:val="18"/>
      <w:lang w:val="en-US" w:eastAsia="zh-CN"/>
    </w:rPr>
  </w:style>
  <w:style w:type="character" w:customStyle="1" w:styleId="255">
    <w:name w:val=" Char Char Char Char1"/>
    <w:basedOn w:val="77"/>
    <w:link w:val="256"/>
    <w:qFormat/>
    <w:uiPriority w:val="0"/>
    <w:rPr>
      <w:rFonts w:ascii="宋体" w:hAnsi="宋体"/>
      <w:kern w:val="2"/>
      <w:sz w:val="24"/>
    </w:rPr>
  </w:style>
  <w:style w:type="paragraph" w:customStyle="1" w:styleId="256">
    <w:name w:val=" Char Char Char"/>
    <w:basedOn w:val="1"/>
    <w:link w:val="255"/>
    <w:qFormat/>
    <w:uiPriority w:val="0"/>
    <w:pPr>
      <w:spacing w:line="360" w:lineRule="auto"/>
      <w:ind w:firstLine="200" w:firstLineChars="200"/>
    </w:pPr>
    <w:rPr>
      <w:rFonts w:ascii="宋体" w:hAnsi="宋体"/>
      <w:kern w:val="2"/>
      <w:sz w:val="24"/>
    </w:rPr>
  </w:style>
  <w:style w:type="character" w:customStyle="1" w:styleId="257">
    <w:name w:val="样式 正文文本表中文字 + 小四 Char"/>
    <w:basedOn w:val="77"/>
    <w:link w:val="258"/>
    <w:qFormat/>
    <w:uiPriority w:val="0"/>
    <w:rPr>
      <w:snapToGrid w:val="0"/>
      <w:sz w:val="24"/>
    </w:rPr>
  </w:style>
  <w:style w:type="paragraph" w:customStyle="1" w:styleId="258">
    <w:name w:val="样式 正文文本表中文字 + 小四"/>
    <w:basedOn w:val="7"/>
    <w:link w:val="257"/>
    <w:qFormat/>
    <w:uiPriority w:val="0"/>
    <w:pPr>
      <w:adjustRightInd w:val="0"/>
      <w:snapToGrid w:val="0"/>
      <w:spacing w:after="0" w:afterLines="0" w:afterAutospacing="0" w:line="360" w:lineRule="auto"/>
      <w:ind w:firstLine="200" w:firstLineChars="200"/>
      <w:textAlignment w:val="baseline"/>
    </w:pPr>
    <w:rPr>
      <w:snapToGrid w:val="0"/>
      <w:sz w:val="24"/>
    </w:rPr>
  </w:style>
  <w:style w:type="character" w:customStyle="1" w:styleId="259">
    <w:name w:val="Message Header Label"/>
    <w:qFormat/>
    <w:uiPriority w:val="0"/>
    <w:rPr>
      <w:rFonts w:ascii="Arial Black" w:hAnsi="Arial Black"/>
      <w:sz w:val="18"/>
    </w:rPr>
  </w:style>
  <w:style w:type="character" w:customStyle="1" w:styleId="260">
    <w:name w:val="样式 Times New Roman 行距: 1.5 倍行距 Char"/>
    <w:basedOn w:val="77"/>
    <w:link w:val="261"/>
    <w:qFormat/>
    <w:uiPriority w:val="0"/>
    <w:rPr>
      <w:rFonts w:ascii="Times New Roman" w:hAnsi="Times New Roman"/>
      <w:kern w:val="24"/>
      <w:sz w:val="28"/>
    </w:rPr>
  </w:style>
  <w:style w:type="paragraph" w:customStyle="1" w:styleId="261">
    <w:name w:val="样式 Times New Roman 行距: 1.5 倍行距"/>
    <w:basedOn w:val="1"/>
    <w:link w:val="260"/>
    <w:qFormat/>
    <w:uiPriority w:val="0"/>
    <w:pPr>
      <w:spacing w:line="360" w:lineRule="auto"/>
      <w:ind w:firstLine="480" w:firstLineChars="200"/>
    </w:pPr>
    <w:rPr>
      <w:rFonts w:ascii="Times New Roman" w:hAnsi="Times New Roman"/>
      <w:kern w:val="24"/>
      <w:sz w:val="28"/>
    </w:rPr>
  </w:style>
  <w:style w:type="character" w:customStyle="1" w:styleId="262">
    <w:name w:val="newstxt"/>
    <w:basedOn w:val="77"/>
    <w:qFormat/>
    <w:uiPriority w:val="0"/>
    <w:rPr>
      <w:rFonts w:ascii="宋体" w:hAnsi="宋体" w:eastAsia="宋体"/>
      <w:kern w:val="2"/>
      <w:sz w:val="24"/>
      <w:lang w:val="en-US" w:eastAsia="zh-CN"/>
    </w:rPr>
  </w:style>
  <w:style w:type="character" w:customStyle="1" w:styleId="263">
    <w:name w:val="标题 1 Char1"/>
    <w:basedOn w:val="77"/>
    <w:qFormat/>
    <w:uiPriority w:val="0"/>
    <w:rPr>
      <w:b/>
      <w:kern w:val="44"/>
      <w:sz w:val="24"/>
    </w:rPr>
  </w:style>
  <w:style w:type="character" w:customStyle="1" w:styleId="264">
    <w:name w:val="title5"/>
    <w:basedOn w:val="77"/>
    <w:qFormat/>
    <w:uiPriority w:val="0"/>
    <w:rPr>
      <w:rFonts w:ascii="宋体" w:hAnsi="宋体" w:eastAsia="宋体"/>
      <w:kern w:val="2"/>
      <w:sz w:val="24"/>
      <w:lang w:val="en-US" w:eastAsia="zh-CN"/>
    </w:rPr>
  </w:style>
  <w:style w:type="character" w:customStyle="1" w:styleId="265">
    <w:name w:val="样式 正文 + 首行缩进:  2 字符 + 宋体 Char"/>
    <w:basedOn w:val="77"/>
    <w:link w:val="266"/>
    <w:qFormat/>
    <w:uiPriority w:val="0"/>
    <w:rPr>
      <w:rFonts w:eastAsia="宋体"/>
      <w:snapToGrid w:val="0"/>
      <w:kern w:val="2"/>
      <w:sz w:val="24"/>
      <w:lang w:val="en-US" w:eastAsia="zh-CN"/>
    </w:rPr>
  </w:style>
  <w:style w:type="paragraph" w:customStyle="1" w:styleId="266">
    <w:name w:val="样式 正文 + 首行缩进:  2 字符 + 宋体"/>
    <w:basedOn w:val="1"/>
    <w:link w:val="265"/>
    <w:qFormat/>
    <w:uiPriority w:val="0"/>
    <w:pPr>
      <w:tabs>
        <w:tab w:val="left" w:pos="2940"/>
      </w:tabs>
      <w:adjustRightInd w:val="0"/>
      <w:snapToGrid w:val="0"/>
      <w:spacing w:line="360" w:lineRule="auto"/>
      <w:ind w:firstLine="200" w:firstLineChars="200"/>
    </w:pPr>
    <w:rPr>
      <w:rFonts w:eastAsia="宋体"/>
      <w:snapToGrid w:val="0"/>
      <w:kern w:val="2"/>
      <w:sz w:val="24"/>
      <w:lang w:val="en-US" w:eastAsia="zh-CN"/>
    </w:rPr>
  </w:style>
  <w:style w:type="character" w:customStyle="1" w:styleId="267">
    <w:name w:val="H3 Char1 Char"/>
    <w:qFormat/>
    <w:uiPriority w:val="0"/>
    <w:rPr>
      <w:b/>
      <w:sz w:val="32"/>
    </w:rPr>
  </w:style>
  <w:style w:type="character" w:customStyle="1" w:styleId="268">
    <w:name w:val="introtxt"/>
    <w:basedOn w:val="77"/>
    <w:qFormat/>
    <w:uiPriority w:val="0"/>
    <w:rPr>
      <w:rFonts w:ascii="宋体" w:hAnsi="宋体" w:eastAsia="黑体"/>
      <w:kern w:val="2"/>
      <w:sz w:val="30"/>
      <w:lang w:val="en-US" w:eastAsia="zh-CN"/>
    </w:rPr>
  </w:style>
  <w:style w:type="character" w:customStyle="1" w:styleId="269">
    <w:name w:val="lm1"/>
    <w:basedOn w:val="77"/>
    <w:qFormat/>
    <w:uiPriority w:val="0"/>
    <w:rPr>
      <w:sz w:val="20"/>
    </w:rPr>
  </w:style>
  <w:style w:type="character" w:customStyle="1" w:styleId="270">
    <w:name w:val="headline-content2"/>
    <w:basedOn w:val="77"/>
    <w:qFormat/>
    <w:uiPriority w:val="0"/>
    <w:rPr>
      <w:rFonts w:ascii="宋体" w:hAnsi="宋体" w:eastAsia="宋体"/>
      <w:kern w:val="2"/>
      <w:sz w:val="24"/>
      <w:lang w:val="en-US" w:eastAsia="zh-CN"/>
    </w:rPr>
  </w:style>
  <w:style w:type="character" w:customStyle="1" w:styleId="271">
    <w:name w:val="样式 标题 1 Char"/>
    <w:basedOn w:val="77"/>
    <w:link w:val="272"/>
    <w:qFormat/>
    <w:uiPriority w:val="0"/>
    <w:rPr>
      <w:rFonts w:ascii="Times New Roman" w:hAnsi="Times New Roman" w:eastAsia="黑体"/>
      <w:kern w:val="44"/>
      <w:sz w:val="32"/>
    </w:rPr>
  </w:style>
  <w:style w:type="paragraph" w:customStyle="1" w:styleId="272">
    <w:name w:val="样式 标题 1"/>
    <w:basedOn w:val="3"/>
    <w:link w:val="271"/>
    <w:qFormat/>
    <w:uiPriority w:val="0"/>
    <w:pPr>
      <w:snapToGrid w:val="0"/>
      <w:spacing w:before="0" w:beforeLines="0" w:beforeAutospacing="0" w:after="0" w:afterLines="0" w:afterAutospacing="0" w:line="360" w:lineRule="auto"/>
    </w:pPr>
    <w:rPr>
      <w:rFonts w:ascii="Times New Roman" w:hAnsi="Times New Roman" w:eastAsia="黑体"/>
      <w:kern w:val="44"/>
      <w:sz w:val="32"/>
    </w:rPr>
  </w:style>
  <w:style w:type="character" w:customStyle="1" w:styleId="273">
    <w:name w:val="款标题 Char3"/>
    <w:basedOn w:val="77"/>
    <w:qFormat/>
    <w:uiPriority w:val="0"/>
    <w:rPr>
      <w:rFonts w:ascii="Cambria" w:hAnsi="Cambria" w:eastAsia="宋体"/>
      <w:b/>
      <w:sz w:val="28"/>
    </w:rPr>
  </w:style>
  <w:style w:type="character" w:customStyle="1" w:styleId="274">
    <w:name w:val="style131"/>
    <w:basedOn w:val="77"/>
    <w:qFormat/>
    <w:uiPriority w:val="0"/>
    <w:rPr>
      <w:color w:val="FF0000"/>
    </w:rPr>
  </w:style>
  <w:style w:type="character" w:customStyle="1" w:styleId="275">
    <w:name w:val="章标题 Char Char"/>
    <w:basedOn w:val="77"/>
    <w:qFormat/>
    <w:uiPriority w:val="0"/>
    <w:rPr>
      <w:rFonts w:ascii="Calibri" w:hAnsi="Calibri" w:eastAsia="宋体"/>
      <w:b/>
      <w:kern w:val="44"/>
      <w:sz w:val="44"/>
    </w:rPr>
  </w:style>
  <w:style w:type="character" w:customStyle="1" w:styleId="276">
    <w:name w:val="项标题(1) Char2"/>
    <w:basedOn w:val="77"/>
    <w:qFormat/>
    <w:uiPriority w:val="0"/>
    <w:rPr>
      <w:rFonts w:ascii="宋体" w:hAnsi="宋体" w:eastAsia="宋体"/>
      <w:b/>
      <w:kern w:val="2"/>
      <w:sz w:val="24"/>
      <w:lang w:val="en-US" w:eastAsia="zh-CN"/>
    </w:rPr>
  </w:style>
  <w:style w:type="character" w:customStyle="1" w:styleId="277">
    <w:name w:val="style111"/>
    <w:basedOn w:val="77"/>
    <w:qFormat/>
    <w:uiPriority w:val="0"/>
    <w:rPr>
      <w:b/>
      <w:color w:val="FF0000"/>
    </w:rPr>
  </w:style>
  <w:style w:type="character" w:customStyle="1" w:styleId="278">
    <w:name w:val="表格标题 Char"/>
    <w:basedOn w:val="77"/>
    <w:link w:val="279"/>
    <w:qFormat/>
    <w:uiPriority w:val="0"/>
    <w:rPr>
      <w:rFonts w:ascii="Times New Roman" w:hAnsi="Times New Roman"/>
      <w:sz w:val="24"/>
    </w:rPr>
  </w:style>
  <w:style w:type="paragraph" w:customStyle="1" w:styleId="279">
    <w:name w:val="表格标题"/>
    <w:basedOn w:val="1"/>
    <w:link w:val="278"/>
    <w:qFormat/>
    <w:uiPriority w:val="0"/>
    <w:pPr>
      <w:adjustRightInd w:val="0"/>
      <w:spacing w:line="360" w:lineRule="auto"/>
      <w:ind w:firstLine="510"/>
      <w:jc w:val="left"/>
      <w:textAlignment w:val="center"/>
    </w:pPr>
    <w:rPr>
      <w:rFonts w:ascii="Times New Roman" w:hAnsi="Times New Roman"/>
      <w:sz w:val="24"/>
    </w:rPr>
  </w:style>
  <w:style w:type="character" w:customStyle="1" w:styleId="280">
    <w:name w:val=" Char Char8"/>
    <w:basedOn w:val="77"/>
    <w:qFormat/>
    <w:uiPriority w:val="0"/>
    <w:rPr>
      <w:rFonts w:ascii="宋体"/>
      <w:sz w:val="24"/>
    </w:rPr>
  </w:style>
  <w:style w:type="character" w:customStyle="1" w:styleId="281">
    <w:name w:val="pt11"/>
    <w:basedOn w:val="77"/>
    <w:qFormat/>
    <w:uiPriority w:val="0"/>
    <w:rPr>
      <w:rFonts w:ascii="宋体" w:hAnsi="宋体" w:eastAsia="宋体"/>
      <w:b/>
      <w:kern w:val="44"/>
      <w:sz w:val="32"/>
      <w:lang w:val="en-US" w:eastAsia="zh-CN"/>
    </w:rPr>
  </w:style>
  <w:style w:type="character" w:customStyle="1" w:styleId="282">
    <w:name w:val="正文.tx Char"/>
    <w:basedOn w:val="77"/>
    <w:link w:val="283"/>
    <w:qFormat/>
    <w:uiPriority w:val="0"/>
    <w:rPr>
      <w:rFonts w:ascii="Times New Roman" w:hAnsi="Times New Roman"/>
      <w:kern w:val="2"/>
      <w:sz w:val="28"/>
    </w:rPr>
  </w:style>
  <w:style w:type="paragraph" w:customStyle="1" w:styleId="283">
    <w:name w:val="正文.tx"/>
    <w:basedOn w:val="1"/>
    <w:link w:val="282"/>
    <w:qFormat/>
    <w:uiPriority w:val="0"/>
    <w:pPr>
      <w:topLinePunct/>
      <w:spacing w:before="156" w:beforeLines="50" w:beforeAutospacing="0" w:after="156" w:afterLines="50" w:afterAutospacing="0" w:line="520" w:lineRule="exact"/>
      <w:ind w:firstLine="560" w:firstLineChars="200"/>
    </w:pPr>
    <w:rPr>
      <w:rFonts w:ascii="Times New Roman" w:hAnsi="Times New Roman"/>
      <w:kern w:val="2"/>
      <w:sz w:val="28"/>
    </w:rPr>
  </w:style>
  <w:style w:type="character" w:customStyle="1" w:styleId="284">
    <w:name w:val="xiaodong1"/>
    <w:basedOn w:val="77"/>
    <w:qFormat/>
    <w:uiPriority w:val="0"/>
    <w:rPr>
      <w:sz w:val="22"/>
    </w:rPr>
  </w:style>
  <w:style w:type="character" w:customStyle="1" w:styleId="285">
    <w:name w:val="表头 Char2"/>
    <w:basedOn w:val="77"/>
    <w:qFormat/>
    <w:uiPriority w:val="0"/>
    <w:rPr>
      <w:rFonts w:ascii="黑体" w:eastAsia="黑体"/>
      <w:snapToGrid w:val="0"/>
      <w:sz w:val="24"/>
      <w:lang w:val="en-US" w:eastAsia="zh-CN"/>
    </w:rPr>
  </w:style>
  <w:style w:type="character" w:customStyle="1" w:styleId="286">
    <w:name w:val="章标题 Char3"/>
    <w:basedOn w:val="77"/>
    <w:qFormat/>
    <w:uiPriority w:val="0"/>
    <w:rPr>
      <w:rFonts w:ascii="Calibri" w:hAnsi="Calibri" w:eastAsia="宋体"/>
      <w:b/>
      <w:kern w:val="44"/>
      <w:sz w:val="44"/>
    </w:rPr>
  </w:style>
  <w:style w:type="character" w:customStyle="1" w:styleId="287">
    <w:name w:val="tpc_content1"/>
    <w:basedOn w:val="77"/>
    <w:qFormat/>
    <w:uiPriority w:val="0"/>
    <w:rPr>
      <w:sz w:val="18"/>
    </w:rPr>
  </w:style>
  <w:style w:type="character" w:customStyle="1" w:styleId="288">
    <w:name w:val="奇数页眉 Char Char"/>
    <w:basedOn w:val="77"/>
    <w:qFormat/>
    <w:uiPriority w:val="0"/>
    <w:rPr>
      <w:rFonts w:ascii="Times New Roman" w:hAnsi="Times New Roman"/>
    </w:rPr>
  </w:style>
  <w:style w:type="character" w:customStyle="1" w:styleId="289">
    <w:name w:val="样式 正文缩进s4标题4表正文正文非缩进图标题段1Body Text(ch)缩进ALT+Z特点四号正文不...2 Char"/>
    <w:link w:val="290"/>
    <w:qFormat/>
    <w:locked/>
    <w:uiPriority w:val="0"/>
    <w:rPr>
      <w:rFonts w:ascii="宋体" w:hAnsi="宋体" w:eastAsia="仿宋_GB2312"/>
      <w:kern w:val="0"/>
      <w:sz w:val="24"/>
      <w:szCs w:val="20"/>
    </w:rPr>
  </w:style>
  <w:style w:type="paragraph" w:customStyle="1" w:styleId="290">
    <w:name w:val="样式 正文缩进s4标题4表正文正文非缩进图标题段1Body Text(ch)缩进ALT+Z特点四号正文不...2"/>
    <w:basedOn w:val="24"/>
    <w:link w:val="289"/>
    <w:qFormat/>
    <w:uiPriority w:val="0"/>
    <w:pPr>
      <w:ind w:firstLine="200"/>
    </w:pPr>
    <w:rPr>
      <w:rFonts w:ascii="宋体" w:hAnsi="宋体" w:eastAsia="仿宋_GB2312"/>
      <w:kern w:val="0"/>
      <w:sz w:val="24"/>
      <w:szCs w:val="20"/>
    </w:rPr>
  </w:style>
  <w:style w:type="character" w:customStyle="1" w:styleId="291">
    <w:name w:val="nth-child(2)"/>
    <w:basedOn w:val="77"/>
    <w:qFormat/>
    <w:uiPriority w:val="0"/>
  </w:style>
  <w:style w:type="character" w:customStyle="1" w:styleId="292">
    <w:name w:val="nth-child(1)"/>
    <w:basedOn w:val="77"/>
    <w:qFormat/>
    <w:uiPriority w:val="0"/>
  </w:style>
  <w:style w:type="character" w:customStyle="1" w:styleId="293">
    <w:name w:val="yunting"/>
    <w:basedOn w:val="77"/>
    <w:qFormat/>
    <w:uiPriority w:val="0"/>
  </w:style>
  <w:style w:type="character" w:customStyle="1" w:styleId="294">
    <w:name w:val="fontstyle31"/>
    <w:basedOn w:val="77"/>
    <w:qFormat/>
    <w:uiPriority w:val="0"/>
    <w:rPr>
      <w:rFonts w:hint="default" w:ascii="Times New Roman" w:hAnsi="Times New Roman" w:cs="Times New Roman"/>
      <w:color w:val="000000"/>
      <w:sz w:val="22"/>
      <w:szCs w:val="22"/>
    </w:rPr>
  </w:style>
  <w:style w:type="paragraph" w:customStyle="1" w:styleId="295">
    <w:name w:val="xl88"/>
    <w:basedOn w:val="1"/>
    <w:qFormat/>
    <w:uiPriority w:val="0"/>
    <w:pPr>
      <w:widowControl/>
      <w:pBdr>
        <w:bottom w:val="single" w:color="auto" w:sz="8" w:space="0"/>
        <w:right w:val="single" w:color="auto" w:sz="8" w:space="0"/>
      </w:pBdr>
      <w:spacing w:before="100" w:beforeLines="0" w:beforeAutospacing="1" w:after="100" w:afterLines="0" w:afterAutospacing="1"/>
      <w:textAlignment w:val="top"/>
    </w:pPr>
    <w:rPr>
      <w:rFonts w:ascii="宋体" w:hAnsi="宋体"/>
      <w:b/>
      <w:color w:val="993366"/>
      <w:kern w:val="0"/>
      <w:sz w:val="18"/>
    </w:rPr>
  </w:style>
  <w:style w:type="paragraph" w:customStyle="1" w:styleId="296">
    <w:name w:val=" Char1 Char Char Char"/>
    <w:basedOn w:val="1"/>
    <w:qFormat/>
    <w:uiPriority w:val="0"/>
    <w:pPr>
      <w:spacing w:before="156" w:beforeLines="50" w:beforeAutospacing="0"/>
      <w:ind w:firstLine="200" w:firstLineChars="200"/>
    </w:pPr>
    <w:rPr>
      <w:rFonts w:ascii="Times New Roman" w:hAnsi="Times New Roman" w:eastAsia="黑体"/>
      <w:sz w:val="24"/>
    </w:rPr>
  </w:style>
  <w:style w:type="paragraph" w:customStyle="1" w:styleId="297">
    <w:name w:val="font13"/>
    <w:basedOn w:val="1"/>
    <w:qFormat/>
    <w:uiPriority w:val="0"/>
    <w:pPr>
      <w:widowControl/>
      <w:spacing w:before="100" w:beforeLines="0" w:beforeAutospacing="1" w:after="100" w:afterLines="0" w:afterAutospacing="1"/>
      <w:jc w:val="left"/>
    </w:pPr>
    <w:rPr>
      <w:color w:val="FF0000"/>
      <w:kern w:val="0"/>
    </w:rPr>
  </w:style>
  <w:style w:type="paragraph" w:customStyle="1" w:styleId="298">
    <w:name w:val="WPSOffice手动目录 3"/>
    <w:qFormat/>
    <w:uiPriority w:val="0"/>
    <w:pPr>
      <w:ind w:leftChars="400"/>
    </w:pPr>
    <w:rPr>
      <w:rFonts w:ascii="Times New Roman" w:hAnsi="Times New Roman" w:eastAsia="宋体" w:cs="Times New Roman"/>
      <w:sz w:val="20"/>
      <w:szCs w:val="20"/>
    </w:rPr>
  </w:style>
  <w:style w:type="paragraph" w:customStyle="1" w:styleId="299">
    <w:name w:val="样式 标题 1章标题b1章标题 1-*+h11st levelSection Headl1预评价标题 1 预...2"/>
    <w:basedOn w:val="3"/>
    <w:qFormat/>
    <w:uiPriority w:val="0"/>
    <w:pPr>
      <w:tabs>
        <w:tab w:val="left" w:pos="525"/>
      </w:tabs>
      <w:adjustRightInd w:val="0"/>
      <w:snapToGrid w:val="0"/>
      <w:spacing w:before="0" w:beforeLines="0" w:beforeAutospacing="0" w:after="0" w:afterLines="0" w:afterAutospacing="0" w:line="360" w:lineRule="auto"/>
    </w:pPr>
    <w:rPr>
      <w:rFonts w:ascii="黑体" w:hAnsi="黑体" w:eastAsia="黑体"/>
      <w:sz w:val="32"/>
    </w:rPr>
  </w:style>
  <w:style w:type="paragraph" w:customStyle="1" w:styleId="300">
    <w:name w:val="xl86"/>
    <w:basedOn w:val="1"/>
    <w:qFormat/>
    <w:uiPriority w:val="0"/>
    <w:pPr>
      <w:widowControl/>
      <w:pBdr>
        <w:bottom w:val="single" w:color="auto" w:sz="8" w:space="0"/>
        <w:right w:val="single" w:color="auto" w:sz="8" w:space="0"/>
      </w:pBdr>
      <w:spacing w:before="100" w:beforeLines="0" w:beforeAutospacing="1" w:after="100" w:afterLines="0" w:afterAutospacing="1"/>
      <w:jc w:val="center"/>
    </w:pPr>
    <w:rPr>
      <w:rFonts w:ascii="Arial" w:hAnsi="Arial"/>
      <w:b/>
      <w:color w:val="993366"/>
      <w:kern w:val="0"/>
      <w:sz w:val="18"/>
    </w:rPr>
  </w:style>
  <w:style w:type="paragraph" w:customStyle="1" w:styleId="301">
    <w:name w:val="xl51"/>
    <w:basedOn w:val="1"/>
    <w:qFormat/>
    <w:uiPriority w:val="0"/>
    <w:pPr>
      <w:widowControl/>
      <w:pBdr>
        <w:bottom w:val="single" w:color="auto" w:sz="8" w:space="0"/>
        <w:right w:val="single" w:color="auto" w:sz="8" w:space="0"/>
      </w:pBdr>
      <w:spacing w:before="100" w:beforeLines="0" w:beforeAutospacing="1" w:after="100" w:afterLines="0" w:afterAutospacing="1"/>
      <w:jc w:val="left"/>
    </w:pPr>
    <w:rPr>
      <w:rFonts w:ascii="宋体" w:hAnsi="宋体"/>
      <w:kern w:val="0"/>
    </w:rPr>
  </w:style>
  <w:style w:type="paragraph" w:customStyle="1" w:styleId="302">
    <w:name w:val="PA"/>
    <w:basedOn w:val="1"/>
    <w:qFormat/>
    <w:uiPriority w:val="0"/>
    <w:pPr>
      <w:widowControl/>
      <w:spacing w:after="120" w:afterLines="0" w:afterAutospacing="0"/>
      <w:ind w:left="1134"/>
    </w:pPr>
    <w:rPr>
      <w:rFonts w:ascii="Arial" w:hAnsi="Arial"/>
      <w:kern w:val="0"/>
      <w:sz w:val="22"/>
      <w:lang w:val="en-GB"/>
    </w:rPr>
  </w:style>
  <w:style w:type="paragraph" w:customStyle="1" w:styleId="303">
    <w:name w:val="样式 正文缩进s4标题4表正文正文非缩进图标题段1Body Text(ch)缩进ALT+Z特点四号正文不...1"/>
    <w:basedOn w:val="24"/>
    <w:qFormat/>
    <w:uiPriority w:val="0"/>
    <w:pPr>
      <w:ind w:firstLine="840" w:firstLineChars="400"/>
    </w:pPr>
    <w:rPr>
      <w:rFonts w:ascii="宋体" w:hAnsi="宋体" w:eastAsia="仿宋_GB2312" w:cs="宋体"/>
      <w:sz w:val="24"/>
    </w:rPr>
  </w:style>
  <w:style w:type="paragraph" w:customStyle="1" w:styleId="304">
    <w:name w:val="样式 表中 + 首行缩进:  2 字符 段前: 0.5 行 段后: 0.5 行"/>
    <w:basedOn w:val="305"/>
    <w:qFormat/>
    <w:uiPriority w:val="0"/>
    <w:pPr>
      <w:tabs>
        <w:tab w:val="left" w:pos="1060"/>
      </w:tabs>
      <w:adjustRightInd/>
    </w:pPr>
    <w:rPr>
      <w:rFonts w:ascii="仿宋_GB2312" w:hAnsi="宋体" w:eastAsia="仿宋_GB2312"/>
      <w:b/>
      <w:color w:val="auto"/>
      <w:sz w:val="24"/>
    </w:rPr>
  </w:style>
  <w:style w:type="paragraph" w:customStyle="1" w:styleId="305">
    <w:name w:val="表中"/>
    <w:basedOn w:val="24"/>
    <w:qFormat/>
    <w:uiPriority w:val="0"/>
    <w:pPr>
      <w:adjustRightInd w:val="0"/>
      <w:snapToGrid w:val="0"/>
      <w:ind w:firstLine="0" w:firstLineChars="0"/>
      <w:jc w:val="center"/>
    </w:pPr>
    <w:rPr>
      <w:rFonts w:ascii="Times New Roman" w:hAnsi="Times New Roman"/>
      <w:color w:val="000000"/>
    </w:rPr>
  </w:style>
  <w:style w:type="paragraph" w:customStyle="1" w:styleId="306">
    <w:name w:val="样式 左侧:  0.98 厘米1"/>
    <w:basedOn w:val="1"/>
    <w:qFormat/>
    <w:uiPriority w:val="0"/>
    <w:pPr>
      <w:adjustRightInd w:val="0"/>
      <w:snapToGrid w:val="0"/>
      <w:spacing w:line="360" w:lineRule="auto"/>
      <w:ind w:firstLine="200" w:firstLineChars="200"/>
    </w:pPr>
    <w:rPr>
      <w:rFonts w:ascii="Times New Roman" w:hAnsi="Times New Roman" w:eastAsia="仿宋_GB2312"/>
      <w:kern w:val="0"/>
      <w:sz w:val="28"/>
    </w:rPr>
  </w:style>
  <w:style w:type="paragraph" w:customStyle="1" w:styleId="307">
    <w:name w:val="Char1"/>
    <w:basedOn w:val="1"/>
    <w:qFormat/>
    <w:uiPriority w:val="0"/>
    <w:pPr>
      <w:widowControl/>
      <w:tabs>
        <w:tab w:val="right" w:pos="8494"/>
      </w:tabs>
      <w:spacing w:after="160" w:afterLines="0" w:afterAutospacing="0" w:line="240" w:lineRule="exact"/>
      <w:jc w:val="left"/>
    </w:pPr>
    <w:rPr>
      <w:rFonts w:ascii="宋体" w:hAnsi="宋体"/>
      <w:sz w:val="24"/>
    </w:rPr>
  </w:style>
  <w:style w:type="paragraph" w:customStyle="1" w:styleId="308">
    <w:name w:val="北5"/>
    <w:basedOn w:val="1"/>
    <w:qFormat/>
    <w:uiPriority w:val="0"/>
    <w:pPr>
      <w:adjustRightInd w:val="0"/>
      <w:snapToGrid w:val="0"/>
      <w:spacing w:line="360" w:lineRule="auto"/>
    </w:pPr>
    <w:rPr>
      <w:rFonts w:ascii="宋体" w:hAnsi="宋体"/>
    </w:rPr>
  </w:style>
  <w:style w:type="paragraph" w:customStyle="1" w:styleId="309">
    <w:name w:val="Table Paragraph"/>
    <w:basedOn w:val="1"/>
    <w:qFormat/>
    <w:uiPriority w:val="0"/>
    <w:rPr>
      <w:rFonts w:hint="default"/>
      <w:sz w:val="24"/>
    </w:rPr>
  </w:style>
  <w:style w:type="paragraph" w:customStyle="1" w:styleId="310">
    <w:name w:val="样式 正文文本缩进 2 + 左侧:  0.98 厘米 首行缩进:  2 字符"/>
    <w:basedOn w:val="49"/>
    <w:qFormat/>
    <w:uiPriority w:val="0"/>
    <w:pPr>
      <w:adjustRightInd w:val="0"/>
      <w:snapToGrid w:val="0"/>
      <w:spacing w:after="0" w:afterLines="0" w:afterAutospacing="0" w:line="360" w:lineRule="auto"/>
      <w:ind w:left="0" w:leftChars="0" w:firstLine="560" w:firstLineChars="200"/>
    </w:pPr>
    <w:rPr>
      <w:rFonts w:ascii="Times New Roman" w:hAnsi="Times New Roman" w:eastAsia="仿宋_GB2312"/>
      <w:sz w:val="28"/>
    </w:rPr>
  </w:style>
  <w:style w:type="paragraph" w:customStyle="1" w:styleId="311">
    <w:name w:val="Char Char1 Char Char Char Char Char Char"/>
    <w:basedOn w:val="1"/>
    <w:qFormat/>
    <w:uiPriority w:val="0"/>
    <w:pPr>
      <w:widowControl/>
      <w:adjustRightInd w:val="0"/>
      <w:snapToGrid w:val="0"/>
      <w:spacing w:before="78" w:beforeLines="25" w:beforeAutospacing="0" w:after="78" w:afterLines="25" w:afterAutospacing="0" w:line="240" w:lineRule="exact"/>
      <w:ind w:firstLine="560" w:firstLineChars="192"/>
      <w:jc w:val="left"/>
    </w:pPr>
    <w:rPr>
      <w:rFonts w:ascii="宋体" w:hAnsi="宋体"/>
      <w:kern w:val="0"/>
      <w:sz w:val="28"/>
      <w:lang w:eastAsia="en-US"/>
    </w:rPr>
  </w:style>
  <w:style w:type="paragraph" w:customStyle="1" w:styleId="312">
    <w:name w:val="xl72"/>
    <w:basedOn w:val="1"/>
    <w:qFormat/>
    <w:uiPriority w:val="0"/>
    <w:pPr>
      <w:widowControl/>
      <w:pBdr>
        <w:bottom w:val="single" w:color="auto" w:sz="8" w:space="0"/>
        <w:right w:val="single" w:color="auto" w:sz="12" w:space="0"/>
      </w:pBdr>
      <w:spacing w:before="100" w:beforeLines="0" w:beforeAutospacing="1" w:after="100" w:afterLines="0" w:afterAutospacing="1"/>
      <w:jc w:val="center"/>
    </w:pPr>
    <w:rPr>
      <w:rFonts w:ascii="Times New Roman" w:hAnsi="Times New Roman"/>
      <w:color w:val="800000"/>
      <w:kern w:val="0"/>
    </w:rPr>
  </w:style>
  <w:style w:type="paragraph" w:customStyle="1" w:styleId="313">
    <w:name w:val="表头字体"/>
    <w:basedOn w:val="1"/>
    <w:qFormat/>
    <w:uiPriority w:val="0"/>
    <w:pPr>
      <w:keepNext/>
      <w:keepLines/>
      <w:spacing w:line="240" w:lineRule="atLeast"/>
      <w:ind w:firstLine="0" w:firstLineChars="0"/>
      <w:jc w:val="center"/>
    </w:pPr>
    <w:rPr>
      <w:rFonts w:ascii="Times New Roman" w:hAnsi="Times New Roman" w:eastAsia="宋体" w:cs="Times New Roman"/>
      <w:b/>
      <w:sz w:val="28"/>
    </w:rPr>
  </w:style>
  <w:style w:type="paragraph" w:customStyle="1" w:styleId="314">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pPr>
    <w:rPr>
      <w:rFonts w:ascii="宋体" w:hAnsi="宋体"/>
      <w:color w:val="0000FF"/>
      <w:kern w:val="0"/>
      <w:sz w:val="18"/>
    </w:rPr>
  </w:style>
  <w:style w:type="paragraph" w:customStyle="1" w:styleId="315">
    <w:name w:val="Normal I"/>
    <w:basedOn w:val="1"/>
    <w:qFormat/>
    <w:uiPriority w:val="0"/>
    <w:pPr>
      <w:ind w:firstLine="420" w:firstLineChars="200"/>
    </w:pPr>
    <w:rPr>
      <w:rFonts w:ascii="Times New Roman" w:hAnsi="Times New Roman"/>
    </w:rPr>
  </w:style>
  <w:style w:type="paragraph" w:customStyle="1" w:styleId="316">
    <w:name w:val="xl41"/>
    <w:basedOn w:val="1"/>
    <w:qFormat/>
    <w:uiPriority w:val="0"/>
    <w:pPr>
      <w:widowControl/>
      <w:pBdr>
        <w:bottom w:val="single" w:color="auto" w:sz="8" w:space="0"/>
        <w:right w:val="single" w:color="auto" w:sz="8" w:space="0"/>
      </w:pBdr>
      <w:spacing w:before="100" w:beforeLines="0" w:beforeAutospacing="1" w:after="100" w:afterLines="0" w:afterAutospacing="1"/>
      <w:jc w:val="center"/>
    </w:pPr>
    <w:rPr>
      <w:rFonts w:ascii="宋体" w:hAnsi="宋体"/>
      <w:color w:val="000080"/>
      <w:kern w:val="0"/>
      <w:sz w:val="18"/>
    </w:rPr>
  </w:style>
  <w:style w:type="paragraph" w:customStyle="1" w:styleId="317">
    <w:name w:val="font6"/>
    <w:basedOn w:val="1"/>
    <w:qFormat/>
    <w:uiPriority w:val="0"/>
    <w:pPr>
      <w:widowControl/>
      <w:spacing w:before="100" w:beforeLines="0" w:beforeAutospacing="1" w:after="100" w:afterLines="0" w:afterAutospacing="1"/>
      <w:jc w:val="left"/>
    </w:pPr>
    <w:rPr>
      <w:rFonts w:hint="eastAsia" w:ascii="宋体" w:hAnsi="宋体"/>
      <w:color w:val="339966"/>
      <w:kern w:val="0"/>
      <w:sz w:val="18"/>
    </w:rPr>
  </w:style>
  <w:style w:type="paragraph" w:customStyle="1" w:styleId="318">
    <w:name w:val="样式 样式 四号 行距: 固定值 26 磅 + 首行缩进:  2 字符"/>
    <w:basedOn w:val="1"/>
    <w:qFormat/>
    <w:uiPriority w:val="0"/>
    <w:pPr>
      <w:spacing w:before="60" w:beforeLines="0" w:beforeAutospacing="0" w:line="530" w:lineRule="atLeast"/>
      <w:ind w:firstLine="594" w:firstLineChars="200"/>
    </w:pPr>
    <w:rPr>
      <w:rFonts w:ascii="仿宋_GB2312" w:hAnsi="宋体" w:eastAsia="仿宋_GB2312"/>
      <w:kern w:val="0"/>
      <w:sz w:val="28"/>
    </w:rPr>
  </w:style>
  <w:style w:type="paragraph" w:customStyle="1" w:styleId="319">
    <w:name w:val="样式 左侧:  0.98 厘米 首行缩进:  2.25 字符"/>
    <w:basedOn w:val="1"/>
    <w:qFormat/>
    <w:uiPriority w:val="0"/>
    <w:pPr>
      <w:adjustRightInd w:val="0"/>
      <w:snapToGrid w:val="0"/>
      <w:spacing w:line="360" w:lineRule="auto"/>
      <w:ind w:firstLine="200" w:firstLineChars="200"/>
    </w:pPr>
    <w:rPr>
      <w:rFonts w:ascii="Times New Roman" w:hAnsi="Times New Roman" w:eastAsia="仿宋_GB2312"/>
      <w:sz w:val="28"/>
    </w:rPr>
  </w:style>
  <w:style w:type="paragraph" w:customStyle="1" w:styleId="320">
    <w:name w:val="传真正文"/>
    <w:basedOn w:val="7"/>
    <w:qFormat/>
    <w:uiPriority w:val="0"/>
    <w:pPr>
      <w:widowControl/>
      <w:spacing w:after="0" w:afterLines="0" w:afterAutospacing="0" w:line="360" w:lineRule="auto"/>
      <w:ind w:firstLine="480"/>
    </w:pPr>
    <w:rPr>
      <w:rFonts w:ascii="宋体" w:hAnsi="宋体"/>
      <w:b/>
      <w:kern w:val="0"/>
      <w:sz w:val="24"/>
    </w:rPr>
  </w:style>
  <w:style w:type="paragraph" w:customStyle="1" w:styleId="321">
    <w:name w:val="font5"/>
    <w:basedOn w:val="1"/>
    <w:qFormat/>
    <w:uiPriority w:val="0"/>
    <w:pPr>
      <w:widowControl/>
      <w:spacing w:before="100" w:beforeLines="0" w:beforeAutospacing="1" w:after="100" w:afterLines="0" w:afterAutospacing="1"/>
      <w:jc w:val="left"/>
    </w:pPr>
    <w:rPr>
      <w:rFonts w:hint="eastAsia" w:ascii="宋体" w:hAnsi="宋体"/>
      <w:kern w:val="0"/>
      <w:sz w:val="18"/>
    </w:rPr>
  </w:style>
  <w:style w:type="paragraph" w:customStyle="1" w:styleId="322">
    <w:name w:val="xl54"/>
    <w:basedOn w:val="1"/>
    <w:qFormat/>
    <w:uiPriority w:val="0"/>
    <w:pPr>
      <w:widowControl/>
      <w:pBdr>
        <w:left w:val="double" w:color="auto" w:sz="6" w:space="0"/>
        <w:bottom w:val="double" w:color="auto" w:sz="6" w:space="0"/>
        <w:right w:val="single" w:color="auto" w:sz="8" w:space="0"/>
      </w:pBdr>
      <w:spacing w:before="100" w:beforeLines="0" w:beforeAutospacing="1" w:after="100" w:afterLines="0" w:afterAutospacing="1"/>
      <w:jc w:val="center"/>
    </w:pPr>
    <w:rPr>
      <w:rFonts w:ascii="Times New Roman" w:hAnsi="Times New Roman"/>
      <w:kern w:val="0"/>
    </w:rPr>
  </w:style>
  <w:style w:type="paragraph" w:customStyle="1" w:styleId="323">
    <w:name w:val="样式3"/>
    <w:basedOn w:val="1"/>
    <w:qFormat/>
    <w:uiPriority w:val="0"/>
    <w:pPr>
      <w:spacing w:line="490" w:lineRule="exact"/>
    </w:pPr>
    <w:rPr>
      <w:rFonts w:ascii="仿宋_GB2312" w:hAnsi="Times New Roman"/>
    </w:rPr>
  </w:style>
  <w:style w:type="paragraph" w:customStyle="1" w:styleId="324">
    <w:name w:val="Plain Text"/>
    <w:basedOn w:val="1"/>
    <w:qFormat/>
    <w:uiPriority w:val="0"/>
    <w:pPr>
      <w:adjustRightInd w:val="0"/>
      <w:jc w:val="left"/>
      <w:textAlignment w:val="baseline"/>
    </w:pPr>
    <w:rPr>
      <w:rFonts w:ascii="宋体" w:hAnsi="Times New Roman"/>
      <w:kern w:val="0"/>
      <w:sz w:val="24"/>
    </w:rPr>
  </w:style>
  <w:style w:type="paragraph" w:customStyle="1" w:styleId="325">
    <w:name w:val="Char Char2 Char"/>
    <w:basedOn w:val="1"/>
    <w:qFormat/>
    <w:uiPriority w:val="0"/>
    <w:pPr>
      <w:tabs>
        <w:tab w:val="left" w:pos="625"/>
      </w:tabs>
      <w:spacing w:line="360" w:lineRule="auto"/>
      <w:ind w:left="625" w:hanging="425"/>
    </w:pPr>
    <w:rPr>
      <w:rFonts w:ascii="宋体" w:hAnsi="宋体"/>
      <w:sz w:val="24"/>
    </w:rPr>
  </w:style>
  <w:style w:type="paragraph" w:customStyle="1" w:styleId="326">
    <w:name w:val="e"/>
    <w:basedOn w:val="1"/>
    <w:qFormat/>
    <w:uiPriority w:val="0"/>
    <w:rPr>
      <w:rFonts w:ascii="Times New Roman" w:hAnsi="Times New Roman"/>
    </w:rPr>
  </w:style>
  <w:style w:type="paragraph" w:customStyle="1" w:styleId="327">
    <w:name w:val=" Char1 Char Char Char Char Char Char Char Char Char"/>
    <w:basedOn w:val="1"/>
    <w:qFormat/>
    <w:uiPriority w:val="0"/>
    <w:rPr>
      <w:rFonts w:ascii="宋体" w:hAnsi="宋体" w:eastAsia="华文仿宋"/>
    </w:rPr>
  </w:style>
  <w:style w:type="paragraph" w:customStyle="1" w:styleId="328">
    <w:name w:val="xl74"/>
    <w:basedOn w:val="1"/>
    <w:qFormat/>
    <w:uiPriority w:val="0"/>
    <w:pPr>
      <w:widowControl/>
      <w:pBdr>
        <w:bottom w:val="single" w:color="auto" w:sz="8" w:space="0"/>
        <w:right w:val="single" w:color="auto" w:sz="8" w:space="0"/>
      </w:pBdr>
      <w:shd w:val="clear" w:color="000000" w:fill="FFFF00"/>
      <w:spacing w:before="100" w:beforeLines="0" w:beforeAutospacing="1" w:after="100" w:afterLines="0" w:afterAutospacing="1"/>
      <w:jc w:val="center"/>
    </w:pPr>
    <w:rPr>
      <w:rFonts w:ascii="宋体" w:hAnsi="宋体"/>
      <w:color w:val="000000"/>
      <w:kern w:val="0"/>
      <w:sz w:val="18"/>
    </w:rPr>
  </w:style>
  <w:style w:type="paragraph" w:customStyle="1" w:styleId="329">
    <w:name w:val="xl30"/>
    <w:basedOn w:val="1"/>
    <w:qFormat/>
    <w:uiPriority w:val="0"/>
    <w:pPr>
      <w:widowControl/>
      <w:pBdr>
        <w:left w:val="single" w:color="auto" w:sz="8" w:space="0"/>
        <w:bottom w:val="single" w:color="auto" w:sz="8" w:space="0"/>
        <w:right w:val="single" w:color="auto" w:sz="8" w:space="0"/>
      </w:pBdr>
      <w:spacing w:before="100" w:beforeLines="0" w:beforeAutospacing="1" w:after="100" w:afterLines="0" w:afterAutospacing="1"/>
      <w:jc w:val="center"/>
    </w:pPr>
    <w:rPr>
      <w:rFonts w:ascii="宋体" w:hAnsi="宋体"/>
      <w:kern w:val="0"/>
      <w:sz w:val="18"/>
    </w:rPr>
  </w:style>
  <w:style w:type="paragraph" w:customStyle="1" w:styleId="330">
    <w:name w:val="xl76"/>
    <w:basedOn w:val="1"/>
    <w:qFormat/>
    <w:uiPriority w:val="0"/>
    <w:pPr>
      <w:widowControl/>
      <w:pBdr>
        <w:top w:val="single" w:color="auto" w:sz="8" w:space="0"/>
        <w:left w:val="single" w:color="auto" w:sz="8" w:space="0"/>
        <w:right w:val="single" w:color="auto" w:sz="8" w:space="0"/>
      </w:pBdr>
      <w:shd w:val="clear" w:color="000000" w:fill="00FFFF"/>
      <w:spacing w:before="100" w:beforeLines="0" w:beforeAutospacing="1" w:after="100" w:afterLines="0" w:afterAutospacing="1"/>
      <w:jc w:val="center"/>
    </w:pPr>
    <w:rPr>
      <w:rFonts w:ascii="宋体" w:hAnsi="宋体"/>
      <w:color w:val="000000"/>
      <w:kern w:val="0"/>
      <w:sz w:val="18"/>
    </w:rPr>
  </w:style>
  <w:style w:type="paragraph" w:customStyle="1" w:styleId="331">
    <w:name w:val="Char Char2 Char Char Char Char"/>
    <w:basedOn w:val="1"/>
    <w:qFormat/>
    <w:uiPriority w:val="0"/>
    <w:pPr>
      <w:spacing w:line="360" w:lineRule="auto"/>
      <w:ind w:firstLine="200" w:firstLineChars="200"/>
    </w:pPr>
    <w:rPr>
      <w:rFonts w:ascii="宋体" w:hAnsi="宋体"/>
      <w:sz w:val="24"/>
    </w:rPr>
  </w:style>
  <w:style w:type="paragraph" w:customStyle="1" w:styleId="332">
    <w:name w:val=" Char Char Char Char1 Char Char Char Char Char Char"/>
    <w:basedOn w:val="1"/>
    <w:qFormat/>
    <w:uiPriority w:val="0"/>
    <w:pPr>
      <w:spacing w:line="360" w:lineRule="auto"/>
      <w:ind w:firstLine="200" w:firstLineChars="200"/>
    </w:pPr>
    <w:rPr>
      <w:rFonts w:ascii="宋体" w:hAnsi="宋体"/>
      <w:sz w:val="24"/>
    </w:rPr>
  </w:style>
  <w:style w:type="paragraph" w:customStyle="1" w:styleId="333">
    <w:name w:val="样式 样式 标题 2节标题 1.1h2l22nd levelTitre22Header 2 + 段前: 0 磅 段后:... +..."/>
    <w:basedOn w:val="1"/>
    <w:qFormat/>
    <w:uiPriority w:val="0"/>
    <w:pPr>
      <w:keepNext/>
      <w:keepLines/>
      <w:numPr>
        <w:ilvl w:val="1"/>
        <w:numId w:val="0"/>
      </w:numPr>
      <w:tabs>
        <w:tab w:val="left" w:pos="720"/>
        <w:tab w:val="left" w:pos="1060"/>
      </w:tabs>
      <w:snapToGrid w:val="0"/>
      <w:spacing w:before="312" w:beforeLines="100" w:beforeAutospacing="0" w:after="312" w:afterLines="100" w:afterAutospacing="0"/>
      <w:jc w:val="left"/>
      <w:outlineLvl w:val="1"/>
    </w:pPr>
    <w:rPr>
      <w:rFonts w:ascii="Arial" w:hAnsi="Arial"/>
      <w:b/>
      <w:sz w:val="28"/>
    </w:rPr>
  </w:style>
  <w:style w:type="paragraph" w:customStyle="1" w:styleId="334">
    <w:name w:val="样式 四号 行距: 固定值 26 磅"/>
    <w:basedOn w:val="1"/>
    <w:qFormat/>
    <w:uiPriority w:val="0"/>
    <w:pPr>
      <w:spacing w:before="60" w:beforeLines="0" w:beforeAutospacing="0" w:line="520" w:lineRule="exact"/>
      <w:ind w:firstLine="594" w:firstLineChars="200"/>
    </w:pPr>
    <w:rPr>
      <w:rFonts w:ascii="仿宋_GB2312" w:hAnsi="宋体" w:eastAsia="仿宋_GB2312"/>
      <w:kern w:val="0"/>
      <w:sz w:val="28"/>
    </w:rPr>
  </w:style>
  <w:style w:type="paragraph" w:customStyle="1" w:styleId="335">
    <w:name w:val="Char Char Char Char Char Char"/>
    <w:basedOn w:val="1"/>
    <w:qFormat/>
    <w:uiPriority w:val="0"/>
    <w:pPr>
      <w:widowControl/>
      <w:spacing w:after="160" w:afterLines="0" w:afterAutospacing="0" w:line="240" w:lineRule="exact"/>
      <w:jc w:val="left"/>
    </w:pPr>
    <w:rPr>
      <w:rFonts w:ascii="Verdana" w:hAnsi="Verdana" w:eastAsia="仿宋_GB2312"/>
      <w:b/>
      <w:kern w:val="0"/>
      <w:sz w:val="28"/>
      <w:lang w:eastAsia="en-US"/>
    </w:rPr>
  </w:style>
  <w:style w:type="paragraph" w:customStyle="1" w:styleId="336">
    <w:name w:val="CM8"/>
    <w:basedOn w:val="92"/>
    <w:next w:val="92"/>
    <w:qFormat/>
    <w:uiPriority w:val="0"/>
    <w:pPr>
      <w:spacing w:line="531" w:lineRule="atLeast"/>
    </w:pPr>
    <w:rPr>
      <w:rFonts w:ascii="HiddenHorzOCl" w:hAnsi="Times New Roman" w:eastAsia="HiddenHorzOCl"/>
      <w:color w:val="auto"/>
    </w:rPr>
  </w:style>
  <w:style w:type="paragraph" w:customStyle="1" w:styleId="337">
    <w:name w:val="样式 段落样式 + 小四 字符缩放: 100% 行距: 最小值 22 磅"/>
    <w:basedOn w:val="1"/>
    <w:qFormat/>
    <w:uiPriority w:val="0"/>
    <w:pPr>
      <w:keepNext/>
      <w:adjustRightInd w:val="0"/>
      <w:snapToGrid w:val="0"/>
      <w:spacing w:line="440" w:lineRule="atLeast"/>
      <w:ind w:firstLine="482"/>
      <w:textAlignment w:val="baseline"/>
    </w:pPr>
    <w:rPr>
      <w:rFonts w:ascii="Times New Roman" w:hAnsi="Times New Roman"/>
      <w:kern w:val="32"/>
      <w:sz w:val="28"/>
    </w:rPr>
  </w:style>
  <w:style w:type="paragraph" w:customStyle="1" w:styleId="338">
    <w:name w:val="xl42"/>
    <w:basedOn w:val="1"/>
    <w:qFormat/>
    <w:uiPriority w:val="0"/>
    <w:pPr>
      <w:widowControl/>
      <w:pBdr>
        <w:bottom w:val="single" w:color="auto" w:sz="8" w:space="0"/>
        <w:right w:val="single" w:color="auto" w:sz="8" w:space="0"/>
      </w:pBdr>
      <w:spacing w:before="100" w:beforeLines="0" w:beforeAutospacing="1" w:after="100" w:afterLines="0" w:afterAutospacing="1"/>
      <w:jc w:val="center"/>
    </w:pPr>
    <w:rPr>
      <w:rFonts w:ascii="Times New Roman" w:hAnsi="Times New Roman"/>
      <w:color w:val="000080"/>
      <w:kern w:val="0"/>
      <w:sz w:val="18"/>
    </w:rPr>
  </w:style>
  <w:style w:type="paragraph" w:customStyle="1" w:styleId="339">
    <w:name w:val=" Char Char Char1 Char"/>
    <w:basedOn w:val="1"/>
    <w:qFormat/>
    <w:uiPriority w:val="0"/>
    <w:rPr>
      <w:rFonts w:ascii="Times New Roman" w:hAnsi="Times New Roman"/>
    </w:rPr>
  </w:style>
  <w:style w:type="paragraph" w:customStyle="1" w:styleId="340">
    <w:name w:val="font12"/>
    <w:basedOn w:val="1"/>
    <w:qFormat/>
    <w:uiPriority w:val="0"/>
    <w:pPr>
      <w:widowControl/>
      <w:spacing w:before="100" w:beforeLines="0" w:beforeAutospacing="1" w:after="100" w:afterLines="0" w:afterAutospacing="1"/>
      <w:jc w:val="left"/>
    </w:pPr>
    <w:rPr>
      <w:rFonts w:ascii="宋体" w:hAnsi="宋体"/>
      <w:color w:val="000000"/>
      <w:kern w:val="0"/>
      <w:sz w:val="18"/>
    </w:rPr>
  </w:style>
  <w:style w:type="paragraph" w:customStyle="1" w:styleId="341">
    <w:name w:val="xl81"/>
    <w:basedOn w:val="1"/>
    <w:qFormat/>
    <w:uiPriority w:val="0"/>
    <w:pPr>
      <w:widowControl/>
      <w:pBdr>
        <w:top w:val="single" w:color="auto" w:sz="8" w:space="0"/>
        <w:bottom w:val="single" w:color="auto" w:sz="8" w:space="0"/>
        <w:right w:val="single" w:color="auto" w:sz="8" w:space="0"/>
      </w:pBdr>
      <w:spacing w:before="100" w:beforeLines="0" w:beforeAutospacing="1" w:after="100" w:afterLines="0" w:afterAutospacing="1"/>
      <w:jc w:val="center"/>
    </w:pPr>
    <w:rPr>
      <w:rFonts w:ascii="宋体" w:hAnsi="宋体"/>
      <w:b/>
      <w:color w:val="993366"/>
      <w:kern w:val="0"/>
      <w:sz w:val="18"/>
    </w:rPr>
  </w:style>
  <w:style w:type="paragraph" w:customStyle="1" w:styleId="342">
    <w:name w:val="font8"/>
    <w:basedOn w:val="1"/>
    <w:qFormat/>
    <w:uiPriority w:val="0"/>
    <w:pPr>
      <w:widowControl/>
      <w:spacing w:before="100" w:beforeLines="0" w:beforeAutospacing="1" w:after="100" w:afterLines="0" w:afterAutospacing="1"/>
      <w:jc w:val="left"/>
    </w:pPr>
    <w:rPr>
      <w:rFonts w:ascii="Times New Roman" w:hAnsi="Times New Roman"/>
      <w:color w:val="339966"/>
      <w:kern w:val="0"/>
      <w:sz w:val="18"/>
    </w:rPr>
  </w:style>
  <w:style w:type="paragraph" w:customStyle="1" w:styleId="343">
    <w:name w:val="xl48"/>
    <w:basedOn w:val="1"/>
    <w:qFormat/>
    <w:uiPriority w:val="0"/>
    <w:pPr>
      <w:widowControl/>
      <w:pBdr>
        <w:bottom w:val="single" w:color="auto" w:sz="8" w:space="0"/>
        <w:right w:val="single" w:color="auto" w:sz="8" w:space="0"/>
      </w:pBdr>
      <w:spacing w:before="100" w:beforeLines="0" w:beforeAutospacing="1" w:after="100" w:afterLines="0" w:afterAutospacing="1"/>
      <w:jc w:val="center"/>
    </w:pPr>
    <w:rPr>
      <w:rFonts w:ascii="Arial" w:hAnsi="Arial"/>
      <w:b/>
      <w:color w:val="000000"/>
      <w:kern w:val="0"/>
    </w:rPr>
  </w:style>
  <w:style w:type="paragraph" w:customStyle="1" w:styleId="344">
    <w:name w:val="样式8"/>
    <w:basedOn w:val="1"/>
    <w:qFormat/>
    <w:uiPriority w:val="0"/>
    <w:pPr>
      <w:adjustRightInd w:val="0"/>
      <w:snapToGrid w:val="0"/>
      <w:spacing w:line="440" w:lineRule="atLeast"/>
      <w:ind w:firstLine="499"/>
    </w:pPr>
    <w:rPr>
      <w:rFonts w:ascii="宋体" w:hAnsi="Times New Roman"/>
      <w:snapToGrid w:val="0"/>
      <w:kern w:val="0"/>
      <w:sz w:val="28"/>
    </w:rPr>
  </w:style>
  <w:style w:type="paragraph" w:customStyle="1" w:styleId="345">
    <w:name w:val=" Char Char Char Char Char Char Char Char Char Char Char Char Char Char Char Char Char Char"/>
    <w:basedOn w:val="1"/>
    <w:qFormat/>
    <w:uiPriority w:val="0"/>
    <w:rPr>
      <w:rFonts w:ascii="Times New Roman" w:hAnsi="Times New Roman"/>
    </w:rPr>
  </w:style>
  <w:style w:type="paragraph" w:customStyle="1" w:styleId="346">
    <w:name w:val="bg正文"/>
    <w:basedOn w:val="1"/>
    <w:qFormat/>
    <w:uiPriority w:val="0"/>
    <w:pPr>
      <w:spacing w:line="360" w:lineRule="auto"/>
      <w:ind w:firstLine="200" w:firstLineChars="200"/>
    </w:pPr>
    <w:rPr>
      <w:rFonts w:ascii="宋体" w:hAnsi="宋体"/>
      <w:sz w:val="24"/>
    </w:rPr>
  </w:style>
  <w:style w:type="paragraph" w:customStyle="1" w:styleId="347">
    <w:name w:val="缩进正文"/>
    <w:basedOn w:val="1"/>
    <w:qFormat/>
    <w:uiPriority w:val="0"/>
    <w:pPr>
      <w:spacing w:line="360" w:lineRule="auto"/>
      <w:ind w:firstLine="200" w:firstLineChars="200"/>
    </w:pPr>
    <w:rPr>
      <w:rFonts w:ascii="Times New Roman" w:hAnsi="Times New Roman"/>
      <w:sz w:val="24"/>
    </w:rPr>
  </w:style>
  <w:style w:type="paragraph" w:customStyle="1" w:styleId="348">
    <w:name w:val="6 Char Char Char Char Char Char1 Char"/>
    <w:basedOn w:val="1"/>
    <w:qFormat/>
    <w:uiPriority w:val="0"/>
    <w:rPr>
      <w:rFonts w:ascii="Times New Roman" w:hAnsi="Times New Roman"/>
    </w:rPr>
  </w:style>
  <w:style w:type="paragraph" w:customStyle="1" w:styleId="349">
    <w:name w:val="样式 左侧:  0.98 厘米 字距调整小四"/>
    <w:basedOn w:val="1"/>
    <w:qFormat/>
    <w:uiPriority w:val="0"/>
    <w:pPr>
      <w:adjustRightInd w:val="0"/>
      <w:snapToGrid w:val="0"/>
      <w:spacing w:line="360" w:lineRule="auto"/>
      <w:ind w:firstLine="200" w:firstLineChars="200"/>
    </w:pPr>
    <w:rPr>
      <w:rFonts w:ascii="Times New Roman" w:hAnsi="Times New Roman" w:eastAsia="仿宋_GB2312"/>
      <w:kern w:val="24"/>
      <w:sz w:val="28"/>
    </w:rPr>
  </w:style>
  <w:style w:type="paragraph" w:customStyle="1" w:styleId="350">
    <w:name w:val="样式 小四 黑色 行距: 固定值 26 磅"/>
    <w:basedOn w:val="1"/>
    <w:qFormat/>
    <w:uiPriority w:val="0"/>
    <w:pPr>
      <w:spacing w:line="480" w:lineRule="exact"/>
      <w:ind w:firstLine="200" w:firstLineChars="200"/>
    </w:pPr>
    <w:rPr>
      <w:rFonts w:ascii="Times New Roman" w:hAnsi="Times New Roman"/>
      <w:color w:val="000000"/>
      <w:sz w:val="24"/>
    </w:rPr>
  </w:style>
  <w:style w:type="paragraph" w:customStyle="1" w:styleId="351">
    <w:name w:val="正文1"/>
    <w:basedOn w:val="1"/>
    <w:qFormat/>
    <w:uiPriority w:val="0"/>
    <w:pPr>
      <w:adjustRightInd w:val="0"/>
      <w:snapToGrid w:val="0"/>
      <w:spacing w:line="500" w:lineRule="atLeast"/>
    </w:pPr>
    <w:rPr>
      <w:rFonts w:hint="eastAsia" w:ascii="宋体" w:hAnsi="Times New Roman"/>
      <w:kern w:val="0"/>
      <w:sz w:val="28"/>
    </w:rPr>
  </w:style>
  <w:style w:type="paragraph" w:customStyle="1" w:styleId="352">
    <w:name w:val="xl84"/>
    <w:basedOn w:val="1"/>
    <w:qFormat/>
    <w:uiPriority w:val="0"/>
    <w:pPr>
      <w:widowControl/>
      <w:pBdr>
        <w:left w:val="single" w:color="auto" w:sz="8" w:space="0"/>
        <w:bottom w:val="single" w:color="auto" w:sz="8" w:space="0"/>
        <w:right w:val="single" w:color="auto" w:sz="8" w:space="0"/>
      </w:pBdr>
      <w:spacing w:before="100" w:beforeLines="0" w:beforeAutospacing="1" w:after="100" w:afterLines="0" w:afterAutospacing="1"/>
      <w:jc w:val="center"/>
    </w:pPr>
    <w:rPr>
      <w:rFonts w:ascii="宋体" w:hAnsi="宋体"/>
      <w:b/>
      <w:color w:val="993366"/>
      <w:kern w:val="0"/>
      <w:sz w:val="18"/>
    </w:rPr>
  </w:style>
  <w:style w:type="paragraph" w:customStyle="1" w:styleId="353">
    <w:name w:val="列出段落"/>
    <w:basedOn w:val="1"/>
    <w:qFormat/>
    <w:uiPriority w:val="0"/>
    <w:pPr>
      <w:ind w:firstLine="420" w:firstLineChars="200"/>
    </w:pPr>
  </w:style>
  <w:style w:type="paragraph" w:customStyle="1" w:styleId="354">
    <w:name w:val="样式 标题 1章标题b1章标题 1-*+h11st levelSection Headl1预评价标题 1 预...1"/>
    <w:basedOn w:val="3"/>
    <w:qFormat/>
    <w:uiPriority w:val="0"/>
    <w:rPr>
      <w:rFonts w:ascii="宋体" w:hAnsi="黑体"/>
      <w:sz w:val="32"/>
    </w:rPr>
  </w:style>
  <w:style w:type="paragraph" w:customStyle="1" w:styleId="355">
    <w:name w:val="样式 (西文) 仿宋_GB2312 左侧:  0.98 厘米"/>
    <w:basedOn w:val="1"/>
    <w:qFormat/>
    <w:uiPriority w:val="0"/>
    <w:pPr>
      <w:adjustRightInd w:val="0"/>
      <w:snapToGrid w:val="0"/>
      <w:spacing w:line="360" w:lineRule="auto"/>
      <w:ind w:firstLine="200" w:firstLineChars="200"/>
    </w:pPr>
    <w:rPr>
      <w:rFonts w:ascii="仿宋_GB2312" w:hAnsi="Times New Roman" w:eastAsia="仿宋_GB2312"/>
      <w:sz w:val="28"/>
    </w:rPr>
  </w:style>
  <w:style w:type="paragraph" w:customStyle="1" w:styleId="356">
    <w:name w:val="封面标准名称"/>
    <w:qFormat/>
    <w:uiPriority w:val="0"/>
    <w:pPr>
      <w:widowControl w:val="0"/>
      <w:spacing w:line="680" w:lineRule="exact"/>
      <w:jc w:val="center"/>
      <w:textAlignment w:val="center"/>
    </w:pPr>
    <w:rPr>
      <w:rFonts w:ascii="黑体" w:hAnsi="Times New Roman" w:eastAsia="黑体" w:cs="Times New Roman"/>
      <w:sz w:val="52"/>
      <w:lang w:val="en-US" w:eastAsia="zh-CN"/>
    </w:rPr>
  </w:style>
  <w:style w:type="paragraph" w:customStyle="1" w:styleId="357">
    <w:name w:val="样式4"/>
    <w:basedOn w:val="12"/>
    <w:qFormat/>
    <w:uiPriority w:val="0"/>
    <w:pPr>
      <w:tabs>
        <w:tab w:val="left" w:pos="360"/>
        <w:tab w:val="left" w:pos="990"/>
        <w:tab w:val="left" w:pos="1134"/>
        <w:tab w:val="left" w:pos="1440"/>
      </w:tabs>
      <w:spacing w:before="0" w:beforeLines="0" w:beforeAutospacing="0" w:after="0" w:afterLines="0" w:afterAutospacing="0" w:line="360" w:lineRule="auto"/>
    </w:pPr>
    <w:rPr>
      <w:rFonts w:ascii="Arial" w:hAnsi="Arial"/>
      <w:b w:val="0"/>
      <w:snapToGrid w:val="0"/>
      <w:kern w:val="0"/>
    </w:rPr>
  </w:style>
  <w:style w:type="paragraph" w:customStyle="1" w:styleId="358">
    <w:name w:val=" Char Char Char1 Char Char1 Char Char Char"/>
    <w:basedOn w:val="1"/>
    <w:qFormat/>
    <w:uiPriority w:val="0"/>
    <w:pPr>
      <w:spacing w:line="360" w:lineRule="auto"/>
      <w:ind w:firstLine="200" w:firstLineChars="200"/>
    </w:pPr>
    <w:rPr>
      <w:rFonts w:ascii="宋体" w:hAnsi="宋体"/>
      <w:sz w:val="24"/>
    </w:rPr>
  </w:style>
  <w:style w:type="paragraph" w:customStyle="1" w:styleId="359">
    <w:name w:val="样式 (西文) 宋体 左侧:  0.98 厘米"/>
    <w:basedOn w:val="1"/>
    <w:qFormat/>
    <w:uiPriority w:val="0"/>
    <w:pPr>
      <w:adjustRightInd w:val="0"/>
      <w:snapToGrid w:val="0"/>
      <w:spacing w:line="360" w:lineRule="auto"/>
      <w:ind w:firstLine="200" w:firstLineChars="200"/>
    </w:pPr>
    <w:rPr>
      <w:rFonts w:ascii="宋体" w:hAnsi="Times New Roman" w:eastAsia="仿宋_GB2312"/>
      <w:sz w:val="28"/>
    </w:rPr>
  </w:style>
  <w:style w:type="paragraph" w:customStyle="1" w:styleId="360">
    <w:name w:val="Char7"/>
    <w:basedOn w:val="1"/>
    <w:qFormat/>
    <w:uiPriority w:val="0"/>
    <w:pPr>
      <w:adjustRightInd w:val="0"/>
      <w:snapToGrid w:val="0"/>
      <w:spacing w:line="360" w:lineRule="auto"/>
      <w:ind w:firstLine="200" w:firstLineChars="200"/>
    </w:pPr>
    <w:rPr>
      <w:rFonts w:ascii="宋体" w:hAnsi="宋体"/>
      <w:sz w:val="24"/>
    </w:rPr>
  </w:style>
  <w:style w:type="paragraph" w:customStyle="1" w:styleId="361">
    <w:name w:val="样式 表格 + 加粗 居中 左侧:  0.98 厘米"/>
    <w:basedOn w:val="194"/>
    <w:qFormat/>
    <w:uiPriority w:val="0"/>
    <w:pPr>
      <w:adjustRightInd w:val="0"/>
      <w:snapToGrid w:val="0"/>
      <w:spacing w:before="100" w:beforeLines="0" w:beforeAutospacing="1" w:after="100" w:afterLines="0" w:afterAutospacing="1" w:line="300" w:lineRule="exact"/>
      <w:ind w:left="560" w:leftChars="200" w:rightChars="-50"/>
    </w:pPr>
    <w:rPr>
      <w:rFonts w:ascii="Arial" w:hAnsi="Arial"/>
      <w:b/>
      <w:color w:val="000000"/>
      <w:lang w:val="en-GB"/>
    </w:rPr>
  </w:style>
  <w:style w:type="paragraph" w:customStyle="1" w:styleId="362">
    <w:name w:val="xl47"/>
    <w:basedOn w:val="1"/>
    <w:qFormat/>
    <w:uiPriority w:val="0"/>
    <w:pPr>
      <w:widowControl/>
      <w:pBdr>
        <w:bottom w:val="single" w:color="auto" w:sz="8" w:space="0"/>
        <w:right w:val="single" w:color="auto" w:sz="8" w:space="0"/>
      </w:pBdr>
      <w:spacing w:before="100" w:beforeLines="0" w:beforeAutospacing="1" w:after="100" w:afterLines="0" w:afterAutospacing="1"/>
      <w:jc w:val="center"/>
    </w:pPr>
    <w:rPr>
      <w:rFonts w:ascii="Arial" w:hAnsi="Arial"/>
      <w:b/>
      <w:kern w:val="0"/>
    </w:rPr>
  </w:style>
  <w:style w:type="paragraph" w:customStyle="1" w:styleId="363">
    <w:name w:val="仿宋体"/>
    <w:basedOn w:val="1"/>
    <w:qFormat/>
    <w:uiPriority w:val="0"/>
    <w:pPr>
      <w:widowControl/>
      <w:spacing w:line="844" w:lineRule="atLeast"/>
      <w:ind w:firstLine="419"/>
      <w:jc w:val="left"/>
      <w:textAlignment w:val="baseline"/>
    </w:pPr>
    <w:rPr>
      <w:rFonts w:ascii="宋体" w:hAnsi="宋体" w:eastAsia="仿宋_GB2312"/>
      <w:color w:val="000000"/>
      <w:kern w:val="0"/>
      <w:sz w:val="31"/>
      <w:u w:val="none" w:color="000000"/>
    </w:rPr>
  </w:style>
  <w:style w:type="paragraph" w:customStyle="1" w:styleId="364">
    <w:name w:val="样式 正文缩进正文（首行缩进两字） Char正文（首行缩进两字） Char Chars4正文缩进 Chars4 Cha...1"/>
    <w:basedOn w:val="24"/>
    <w:qFormat/>
    <w:uiPriority w:val="0"/>
    <w:pPr>
      <w:spacing w:line="360" w:lineRule="auto"/>
      <w:ind w:firstLine="200"/>
    </w:pPr>
    <w:rPr>
      <w:rFonts w:ascii="Times New Roman" w:hAnsi="Times New Roman"/>
      <w:sz w:val="24"/>
    </w:rPr>
  </w:style>
  <w:style w:type="paragraph" w:customStyle="1" w:styleId="365">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pPr>
    <w:rPr>
      <w:rFonts w:ascii="宋体" w:hAnsi="宋体"/>
      <w:color w:val="0000FF"/>
      <w:kern w:val="0"/>
      <w:sz w:val="18"/>
    </w:rPr>
  </w:style>
  <w:style w:type="paragraph" w:customStyle="1" w:styleId="366">
    <w:name w:val=" Char7"/>
    <w:basedOn w:val="1"/>
    <w:qFormat/>
    <w:uiPriority w:val="0"/>
    <w:pPr>
      <w:adjustRightInd w:val="0"/>
      <w:snapToGrid w:val="0"/>
      <w:spacing w:line="360" w:lineRule="auto"/>
      <w:ind w:firstLine="200" w:firstLineChars="200"/>
    </w:pPr>
    <w:rPr>
      <w:rFonts w:ascii="宋体" w:hAnsi="宋体"/>
      <w:sz w:val="24"/>
    </w:rPr>
  </w:style>
  <w:style w:type="paragraph" w:customStyle="1" w:styleId="367">
    <w:name w:val="样式 宋体 四号 加粗 行距: 1.5 倍行距"/>
    <w:basedOn w:val="1"/>
    <w:qFormat/>
    <w:uiPriority w:val="0"/>
    <w:pPr>
      <w:adjustRightInd w:val="0"/>
      <w:snapToGrid w:val="0"/>
      <w:spacing w:line="360" w:lineRule="auto"/>
      <w:ind w:firstLine="200" w:firstLineChars="200"/>
    </w:pPr>
    <w:rPr>
      <w:rFonts w:ascii="仿宋_GB2312" w:hAnsi="宋体" w:eastAsia="仿宋_GB2312"/>
      <w:sz w:val="28"/>
    </w:rPr>
  </w:style>
  <w:style w:type="paragraph" w:customStyle="1" w:styleId="368">
    <w:name w:val=" Char8"/>
    <w:basedOn w:val="1"/>
    <w:qFormat/>
    <w:uiPriority w:val="0"/>
    <w:pPr>
      <w:spacing w:line="360" w:lineRule="auto"/>
      <w:ind w:firstLine="200" w:firstLineChars="200"/>
    </w:pPr>
    <w:rPr>
      <w:rFonts w:ascii="宋体" w:hAnsi="宋体"/>
      <w:sz w:val="24"/>
    </w:rPr>
  </w:style>
  <w:style w:type="paragraph" w:customStyle="1" w:styleId="369">
    <w:name w:val="样式 样式 段前: 0.5 行 段后: 0.5 行 + 首行缩进:  2 字符 段前: 0.5 行 段后: 0.5 行"/>
    <w:basedOn w:val="1"/>
    <w:next w:val="1"/>
    <w:qFormat/>
    <w:uiPriority w:val="0"/>
    <w:pPr>
      <w:tabs>
        <w:tab w:val="left" w:pos="1060"/>
      </w:tabs>
      <w:snapToGrid w:val="0"/>
      <w:spacing w:line="360" w:lineRule="auto"/>
      <w:ind w:firstLine="560" w:firstLineChars="200"/>
      <w:jc w:val="left"/>
    </w:pPr>
    <w:rPr>
      <w:rFonts w:ascii="仿宋_GB2312" w:hAnsi="宋体" w:eastAsia="仿宋_GB2312"/>
      <w:sz w:val="28"/>
    </w:rPr>
  </w:style>
  <w:style w:type="paragraph" w:customStyle="1" w:styleId="370">
    <w:name w:val="xl66"/>
    <w:basedOn w:val="1"/>
    <w:qFormat/>
    <w:uiPriority w:val="0"/>
    <w:pPr>
      <w:widowControl/>
      <w:pBdr>
        <w:top w:val="single" w:color="auto" w:sz="8" w:space="0"/>
        <w:left w:val="single" w:color="auto" w:sz="8" w:space="0"/>
        <w:right w:val="single" w:color="auto" w:sz="8" w:space="0"/>
      </w:pBdr>
      <w:spacing w:before="100" w:beforeLines="0" w:beforeAutospacing="1" w:after="100" w:afterLines="0" w:afterAutospacing="1"/>
      <w:jc w:val="center"/>
    </w:pPr>
    <w:rPr>
      <w:rFonts w:ascii="宋体" w:hAnsi="宋体"/>
      <w:color w:val="000080"/>
      <w:kern w:val="0"/>
    </w:rPr>
  </w:style>
  <w:style w:type="paragraph" w:customStyle="1" w:styleId="371">
    <w:name w:val="xl69"/>
    <w:basedOn w:val="1"/>
    <w:qFormat/>
    <w:uiPriority w:val="0"/>
    <w:pPr>
      <w:widowControl/>
      <w:pBdr>
        <w:left w:val="single" w:color="auto" w:sz="12" w:space="0"/>
        <w:bottom w:val="single" w:color="auto" w:sz="8" w:space="0"/>
        <w:right w:val="single" w:color="auto" w:sz="8" w:space="0"/>
      </w:pBdr>
      <w:spacing w:before="100" w:beforeLines="0" w:beforeAutospacing="1" w:after="100" w:afterLines="0" w:afterAutospacing="1"/>
      <w:jc w:val="center"/>
    </w:pPr>
    <w:rPr>
      <w:rFonts w:ascii="Times New Roman" w:hAnsi="Times New Roman"/>
      <w:color w:val="800000"/>
      <w:kern w:val="0"/>
    </w:rPr>
  </w:style>
  <w:style w:type="paragraph" w:customStyle="1" w:styleId="372">
    <w:name w:val="xl55"/>
    <w:basedOn w:val="1"/>
    <w:qFormat/>
    <w:uiPriority w:val="0"/>
    <w:pPr>
      <w:widowControl/>
      <w:spacing w:before="100" w:beforeLines="0" w:beforeAutospacing="1" w:after="100" w:afterLines="0" w:afterAutospacing="1"/>
      <w:jc w:val="center"/>
    </w:pPr>
    <w:rPr>
      <w:rFonts w:ascii="Times New Roman" w:hAnsi="Times New Roman"/>
      <w:kern w:val="0"/>
    </w:rPr>
  </w:style>
  <w:style w:type="paragraph" w:customStyle="1" w:styleId="373">
    <w:name w:val="表正文中对齐"/>
    <w:basedOn w:val="1"/>
    <w:qFormat/>
    <w:uiPriority w:val="0"/>
    <w:pPr>
      <w:adjustRightInd w:val="0"/>
      <w:snapToGrid w:val="0"/>
      <w:spacing w:line="360" w:lineRule="auto"/>
      <w:jc w:val="center"/>
    </w:pPr>
    <w:rPr>
      <w:rFonts w:ascii="宋体" w:hAnsi="宋体"/>
      <w:sz w:val="28"/>
    </w:rPr>
  </w:style>
  <w:style w:type="paragraph" w:customStyle="1" w:styleId="374">
    <w:name w:val="1"/>
    <w:basedOn w:val="1"/>
    <w:next w:val="1"/>
    <w:qFormat/>
    <w:uiPriority w:val="0"/>
    <w:pPr>
      <w:adjustRightInd w:val="0"/>
      <w:spacing w:line="460" w:lineRule="exact"/>
      <w:ind w:firstLine="420" w:firstLineChars="200"/>
      <w:jc w:val="left"/>
      <w:textAlignment w:val="baseline"/>
    </w:pPr>
    <w:rPr>
      <w:rFonts w:ascii="Times New Roman" w:hAnsi="Times New Roman"/>
      <w:kern w:val="0"/>
      <w:sz w:val="24"/>
    </w:rPr>
  </w:style>
  <w:style w:type="paragraph" w:customStyle="1" w:styleId="375">
    <w:name w:val="正文2"/>
    <w:basedOn w:val="1"/>
    <w:qFormat/>
    <w:uiPriority w:val="0"/>
    <w:pPr>
      <w:spacing w:line="360" w:lineRule="auto"/>
      <w:ind w:firstLine="200"/>
    </w:pPr>
    <w:rPr>
      <w:rFonts w:ascii="Times New Roman" w:hAnsi="Times New Roman"/>
      <w:kern w:val="0"/>
      <w:sz w:val="24"/>
    </w:rPr>
  </w:style>
  <w:style w:type="paragraph" w:customStyle="1" w:styleId="376">
    <w:name w:val="表中1"/>
    <w:basedOn w:val="305"/>
    <w:qFormat/>
    <w:uiPriority w:val="0"/>
    <w:pPr>
      <w:spacing w:line="360" w:lineRule="atLeast"/>
    </w:pPr>
    <w:rPr>
      <w:rFonts w:ascii="宋体" w:hAnsi="宋体"/>
      <w:snapToGrid w:val="0"/>
      <w:color w:val="auto"/>
      <w:kern w:val="0"/>
    </w:rPr>
  </w:style>
  <w:style w:type="paragraph" w:customStyle="1" w:styleId="377">
    <w:name w:val="样式6"/>
    <w:basedOn w:val="14"/>
    <w:qFormat/>
    <w:uiPriority w:val="0"/>
    <w:pPr>
      <w:tabs>
        <w:tab w:val="left" w:pos="1247"/>
        <w:tab w:val="left" w:pos="1400"/>
      </w:tabs>
      <w:adjustRightInd w:val="0"/>
      <w:snapToGrid w:val="0"/>
      <w:spacing w:before="0" w:beforeLines="0" w:beforeAutospacing="0" w:after="0" w:afterLines="0" w:afterAutospacing="0" w:line="360" w:lineRule="auto"/>
      <w:ind w:left="851" w:hanging="171"/>
    </w:pPr>
    <w:rPr>
      <w:rFonts w:ascii="Arial" w:hAnsi="Arial"/>
      <w:snapToGrid w:val="0"/>
      <w:kern w:val="0"/>
    </w:rPr>
  </w:style>
  <w:style w:type="paragraph" w:customStyle="1" w:styleId="378">
    <w:name w:val="样式 haydonli + 首行缩进:  2 字符"/>
    <w:basedOn w:val="379"/>
    <w:qFormat/>
    <w:uiPriority w:val="0"/>
    <w:pPr>
      <w:adjustRightInd w:val="0"/>
      <w:ind w:firstLine="420" w:firstLineChars="175"/>
    </w:pPr>
    <w:rPr>
      <w:rFonts w:ascii="Times New Roman" w:hAnsi="Times New Roman"/>
    </w:rPr>
  </w:style>
  <w:style w:type="paragraph" w:customStyle="1" w:styleId="379">
    <w:name w:val="haydonli"/>
    <w:basedOn w:val="1"/>
    <w:qFormat/>
    <w:uiPriority w:val="0"/>
    <w:pPr>
      <w:snapToGrid w:val="0"/>
      <w:spacing w:line="360" w:lineRule="auto"/>
      <w:ind w:firstLine="480" w:firstLineChars="200"/>
    </w:pPr>
    <w:rPr>
      <w:rFonts w:ascii="宋体" w:hAnsi="宋体"/>
      <w:sz w:val="24"/>
    </w:rPr>
  </w:style>
  <w:style w:type="paragraph" w:customStyle="1" w:styleId="380">
    <w:name w:val="表5号字"/>
    <w:qFormat/>
    <w:uiPriority w:val="0"/>
    <w:pPr>
      <w:keepNext/>
      <w:widowControl w:val="0"/>
      <w:adjustRightInd w:val="0"/>
      <w:spacing w:before="120" w:beforeLines="0" w:beforeAutospacing="0" w:line="60" w:lineRule="atLeast"/>
      <w:jc w:val="center"/>
    </w:pPr>
    <w:rPr>
      <w:rFonts w:ascii="Times New Roman" w:hAnsi="Times New Roman" w:eastAsia="宋体" w:cs="Times New Roman"/>
      <w:sz w:val="21"/>
      <w:lang w:val="en-US" w:eastAsia="zh-CN"/>
    </w:rPr>
  </w:style>
  <w:style w:type="paragraph" w:customStyle="1" w:styleId="381">
    <w:name w:val="xl25"/>
    <w:basedOn w:val="1"/>
    <w:qFormat/>
    <w:uiPriority w:val="0"/>
    <w:pPr>
      <w:widowControl/>
      <w:pBdr>
        <w:bottom w:val="single" w:color="auto" w:sz="4" w:space="0"/>
        <w:right w:val="single" w:color="auto" w:sz="4" w:space="0"/>
      </w:pBdr>
      <w:spacing w:before="100" w:beforeLines="0" w:beforeAutospacing="1" w:after="100" w:afterLines="0" w:afterAutospacing="1"/>
      <w:jc w:val="center"/>
      <w:textAlignment w:val="top"/>
    </w:pPr>
    <w:rPr>
      <w:rFonts w:ascii="Arial" w:hAnsi="Arial"/>
      <w:b/>
      <w:kern w:val="0"/>
    </w:rPr>
  </w:style>
  <w:style w:type="paragraph" w:customStyle="1" w:styleId="382">
    <w:name w:val=" Char7 Char Char"/>
    <w:basedOn w:val="1"/>
    <w:qFormat/>
    <w:uiPriority w:val="0"/>
    <w:pPr>
      <w:snapToGrid w:val="0"/>
      <w:spacing w:line="360" w:lineRule="auto"/>
      <w:ind w:firstLine="200" w:firstLineChars="200"/>
    </w:pPr>
    <w:rPr>
      <w:rFonts w:ascii="宋体" w:hAnsi="宋体"/>
      <w:sz w:val="24"/>
    </w:rPr>
  </w:style>
  <w:style w:type="paragraph" w:customStyle="1" w:styleId="383">
    <w:name w:val="样式 表格 + 居中 左侧:  0.98 厘米"/>
    <w:basedOn w:val="194"/>
    <w:qFormat/>
    <w:uiPriority w:val="0"/>
    <w:pPr>
      <w:adjustRightInd w:val="0"/>
      <w:snapToGrid w:val="0"/>
      <w:spacing w:before="100" w:beforeLines="0" w:beforeAutospacing="1" w:after="100" w:afterLines="0" w:afterAutospacing="1" w:line="300" w:lineRule="exact"/>
      <w:ind w:left="560" w:leftChars="200" w:rightChars="-50"/>
    </w:pPr>
    <w:rPr>
      <w:rFonts w:ascii="Arial" w:hAnsi="Arial"/>
      <w:color w:val="000000"/>
      <w:lang w:val="en-GB"/>
    </w:rPr>
  </w:style>
  <w:style w:type="paragraph" w:customStyle="1" w:styleId="384">
    <w:name w:val="样式 小表 + 两端对齐"/>
    <w:basedOn w:val="385"/>
    <w:qFormat/>
    <w:uiPriority w:val="0"/>
    <w:pPr>
      <w:jc w:val="both"/>
    </w:pPr>
    <w:rPr>
      <w:sz w:val="18"/>
    </w:rPr>
  </w:style>
  <w:style w:type="paragraph" w:customStyle="1" w:styleId="385">
    <w:name w:val="小表"/>
    <w:basedOn w:val="1"/>
    <w:qFormat/>
    <w:uiPriority w:val="0"/>
    <w:pPr>
      <w:adjustRightInd w:val="0"/>
      <w:snapToGrid w:val="0"/>
      <w:spacing w:line="329" w:lineRule="auto"/>
      <w:jc w:val="center"/>
    </w:pPr>
    <w:rPr>
      <w:rFonts w:ascii="宋体" w:hAnsi="宋体"/>
      <w:snapToGrid w:val="0"/>
      <w:sz w:val="15"/>
    </w:rPr>
  </w:style>
  <w:style w:type="paragraph" w:customStyle="1" w:styleId="386">
    <w:name w:val="标题 2.tx"/>
    <w:basedOn w:val="4"/>
    <w:qFormat/>
    <w:uiPriority w:val="0"/>
    <w:pPr>
      <w:spacing w:before="120" w:beforeLines="0" w:beforeAutospacing="0" w:after="120" w:afterLines="0" w:afterAutospacing="0" w:line="520" w:lineRule="exact"/>
    </w:pPr>
    <w:rPr>
      <w:rFonts w:ascii="Times New Roman" w:hAnsi="Times New Roman"/>
      <w:spacing w:val="8"/>
      <w:sz w:val="30"/>
    </w:rPr>
  </w:style>
  <w:style w:type="paragraph" w:customStyle="1" w:styleId="387">
    <w:name w:val="样式 样式 正文 +1 + 首行缩进:  2 字符"/>
    <w:basedOn w:val="1"/>
    <w:qFormat/>
    <w:uiPriority w:val="0"/>
    <w:pPr>
      <w:ind w:firstLine="560" w:firstLineChars="200"/>
      <w:jc w:val="left"/>
    </w:pPr>
    <w:rPr>
      <w:rFonts w:ascii="Times New Roman" w:hAnsi="Times New Roman"/>
      <w:kern w:val="0"/>
      <w:sz w:val="28"/>
    </w:rPr>
  </w:style>
  <w:style w:type="paragraph" w:customStyle="1" w:styleId="388">
    <w:name w:val="样式 标题 4L4款标题款标题1.1.1.1 + (西文) Times New Roman (中文) 宋体 加粗 段..."/>
    <w:basedOn w:val="12"/>
    <w:qFormat/>
    <w:uiPriority w:val="0"/>
    <w:pPr>
      <w:tabs>
        <w:tab w:val="left" w:pos="578"/>
      </w:tabs>
      <w:adjustRightInd w:val="0"/>
      <w:snapToGrid w:val="0"/>
      <w:spacing w:before="60" w:beforeLines="0" w:beforeAutospacing="0" w:after="60" w:afterLines="0" w:afterAutospacing="0" w:line="500" w:lineRule="atLeast"/>
    </w:pPr>
    <w:rPr>
      <w:rFonts w:ascii="Times New Roman" w:hAnsi="Times New Roman"/>
      <w:snapToGrid w:val="0"/>
      <w:kern w:val="0"/>
    </w:rPr>
  </w:style>
  <w:style w:type="paragraph" w:customStyle="1" w:styleId="389">
    <w:name w:val=" Char4 Char Char Char Char Char Char"/>
    <w:basedOn w:val="1"/>
    <w:qFormat/>
    <w:uiPriority w:val="0"/>
    <w:pPr>
      <w:spacing w:line="360" w:lineRule="auto"/>
    </w:pPr>
    <w:rPr>
      <w:rFonts w:ascii="宋体" w:hAnsi="宋体"/>
      <w:sz w:val="24"/>
    </w:rPr>
  </w:style>
  <w:style w:type="paragraph" w:customStyle="1" w:styleId="390">
    <w:name w:val=" Char"/>
    <w:basedOn w:val="1"/>
    <w:qFormat/>
    <w:uiPriority w:val="0"/>
    <w:rPr>
      <w:rFonts w:ascii="宋体" w:hAnsi="宋体"/>
      <w:sz w:val="24"/>
    </w:rPr>
  </w:style>
  <w:style w:type="paragraph" w:customStyle="1" w:styleId="391">
    <w:name w:val="xl50"/>
    <w:basedOn w:val="1"/>
    <w:qFormat/>
    <w:uiPriority w:val="0"/>
    <w:pPr>
      <w:widowControl/>
      <w:pBdr>
        <w:bottom w:val="single" w:color="auto" w:sz="8" w:space="0"/>
        <w:right w:val="single" w:color="auto" w:sz="8" w:space="0"/>
      </w:pBdr>
      <w:spacing w:before="100" w:beforeLines="0" w:beforeAutospacing="1" w:after="100" w:afterLines="0" w:afterAutospacing="1"/>
      <w:jc w:val="center"/>
    </w:pPr>
    <w:rPr>
      <w:rFonts w:ascii="Arial" w:hAnsi="Arial"/>
      <w:kern w:val="0"/>
    </w:rPr>
  </w:style>
  <w:style w:type="paragraph" w:customStyle="1" w:styleId="392">
    <w:name w:val="样式 标题 1 + 宋体 20 磅 非加粗 居中 段前: 35 磅 段后: 18 磅 行距: 固定值 26.5 磅"/>
    <w:basedOn w:val="3"/>
    <w:qFormat/>
    <w:uiPriority w:val="0"/>
    <w:pPr>
      <w:pageBreakBefore/>
      <w:tabs>
        <w:tab w:val="left" w:pos="435"/>
        <w:tab w:val="left" w:pos="600"/>
        <w:tab w:val="left" w:pos="1060"/>
      </w:tabs>
      <w:overflowPunct w:val="0"/>
      <w:topLinePunct/>
      <w:adjustRightInd w:val="0"/>
      <w:snapToGrid w:val="0"/>
      <w:spacing w:before="156" w:beforeLines="50" w:beforeAutospacing="0" w:after="156" w:afterLines="50" w:afterAutospacing="0" w:line="520" w:lineRule="exact"/>
      <w:ind w:left="435" w:hanging="435"/>
      <w:jc w:val="left"/>
      <w:textAlignment w:val="center"/>
    </w:pPr>
    <w:rPr>
      <w:rFonts w:ascii="黑体" w:hAnsi="Arial" w:eastAsia="黑体"/>
      <w:color w:val="000000"/>
      <w:kern w:val="0"/>
      <w:sz w:val="32"/>
    </w:rPr>
  </w:style>
  <w:style w:type="paragraph" w:customStyle="1" w:styleId="393">
    <w:name w:val="xl83"/>
    <w:basedOn w:val="1"/>
    <w:qFormat/>
    <w:uiPriority w:val="0"/>
    <w:pPr>
      <w:widowControl/>
      <w:pBdr>
        <w:top w:val="single" w:color="auto" w:sz="8" w:space="0"/>
        <w:bottom w:val="single" w:color="auto" w:sz="8" w:space="0"/>
        <w:right w:val="single" w:color="auto" w:sz="8" w:space="0"/>
      </w:pBdr>
      <w:spacing w:before="100" w:beforeLines="0" w:beforeAutospacing="1" w:after="100" w:afterLines="0" w:afterAutospacing="1"/>
      <w:jc w:val="center"/>
    </w:pPr>
    <w:rPr>
      <w:rFonts w:ascii="Arial" w:hAnsi="Arial"/>
      <w:b/>
      <w:color w:val="993366"/>
      <w:kern w:val="0"/>
      <w:sz w:val="18"/>
    </w:rPr>
  </w:style>
  <w:style w:type="paragraph" w:customStyle="1" w:styleId="394">
    <w:name w:val="A1"/>
    <w:basedOn w:val="3"/>
    <w:qFormat/>
    <w:uiPriority w:val="0"/>
    <w:pPr>
      <w:tabs>
        <w:tab w:val="left" w:pos="425"/>
        <w:tab w:val="left" w:pos="525"/>
      </w:tabs>
      <w:snapToGrid w:val="0"/>
      <w:spacing w:before="0" w:beforeLines="0" w:beforeAutospacing="0" w:after="0" w:afterLines="0" w:afterAutospacing="0" w:line="360" w:lineRule="auto"/>
      <w:ind w:left="425" w:hanging="425"/>
    </w:pPr>
    <w:rPr>
      <w:rFonts w:ascii="黑体" w:hAnsi="Times New Roman" w:eastAsia="黑体"/>
      <w:sz w:val="32"/>
    </w:rPr>
  </w:style>
  <w:style w:type="paragraph" w:customStyle="1" w:styleId="395">
    <w:name w:val="样式 标题 2 + Times New Roman"/>
    <w:basedOn w:val="4"/>
    <w:qFormat/>
    <w:uiPriority w:val="0"/>
    <w:pPr>
      <w:tabs>
        <w:tab w:val="left" w:pos="0"/>
        <w:tab w:val="left" w:pos="495"/>
      </w:tabs>
      <w:spacing w:before="156" w:beforeLines="50" w:beforeAutospacing="0" w:after="240" w:afterLines="0" w:afterAutospacing="0" w:line="240" w:lineRule="auto"/>
      <w:ind w:left="1062" w:hanging="747"/>
      <w:jc w:val="left"/>
    </w:pPr>
    <w:rPr>
      <w:rFonts w:ascii="Times New Roman" w:hAnsi="Times New Roman"/>
      <w:sz w:val="24"/>
    </w:rPr>
  </w:style>
  <w:style w:type="paragraph" w:customStyle="1" w:styleId="396">
    <w:name w:val="样式 标题 2节标题 1.11.1标题2b2标题2标题 1.1节标题W21.1标题 2h2l22nd le..."/>
    <w:basedOn w:val="4"/>
    <w:qFormat/>
    <w:uiPriority w:val="0"/>
    <w:pPr>
      <w:keepNext w:val="0"/>
      <w:widowControl/>
      <w:tabs>
        <w:tab w:val="left" w:pos="576"/>
      </w:tabs>
      <w:spacing w:before="0" w:beforeLines="0" w:beforeAutospacing="0" w:after="0" w:afterLines="0" w:afterAutospacing="0" w:line="360" w:lineRule="auto"/>
      <w:ind w:left="576"/>
    </w:pPr>
    <w:rPr>
      <w:rFonts w:ascii="黑体" w:hAnsi="宋体"/>
      <w:b w:val="0"/>
      <w:kern w:val="0"/>
      <w:sz w:val="30"/>
    </w:rPr>
  </w:style>
  <w:style w:type="paragraph" w:customStyle="1" w:styleId="397">
    <w:name w:val="5"/>
    <w:basedOn w:val="1"/>
    <w:next w:val="1"/>
    <w:qFormat/>
    <w:uiPriority w:val="0"/>
    <w:pPr>
      <w:adjustRightInd w:val="0"/>
      <w:spacing w:line="360" w:lineRule="atLeast"/>
      <w:ind w:firstLine="420"/>
      <w:jc w:val="left"/>
      <w:textAlignment w:val="baseline"/>
    </w:pPr>
    <w:rPr>
      <w:rFonts w:ascii="Times New Roman" w:hAnsi="Times New Roman"/>
      <w:kern w:val="0"/>
      <w:sz w:val="24"/>
    </w:rPr>
  </w:style>
  <w:style w:type="paragraph" w:customStyle="1" w:styleId="398">
    <w:name w:val=" Char Char Char Char Char Char Char Char Char Char Char Char Char"/>
    <w:basedOn w:val="1"/>
    <w:qFormat/>
    <w:uiPriority w:val="0"/>
    <w:pPr>
      <w:widowControl/>
      <w:snapToGrid w:val="0"/>
      <w:spacing w:line="360" w:lineRule="auto"/>
      <w:ind w:firstLine="200" w:firstLineChars="200"/>
      <w:jc w:val="left"/>
    </w:pPr>
    <w:rPr>
      <w:rFonts w:ascii="宋体" w:hAnsi="宋体" w:eastAsia="仿宋_GB2312"/>
      <w:kern w:val="0"/>
      <w:sz w:val="24"/>
    </w:rPr>
  </w:style>
  <w:style w:type="paragraph" w:customStyle="1" w:styleId="399">
    <w:name w:val="xl63"/>
    <w:basedOn w:val="1"/>
    <w:qFormat/>
    <w:uiPriority w:val="0"/>
    <w:pPr>
      <w:widowControl/>
      <w:pBdr>
        <w:left w:val="single" w:color="auto" w:sz="4" w:space="0"/>
        <w:bottom w:val="single" w:color="auto" w:sz="4" w:space="0"/>
        <w:right w:val="single" w:color="auto" w:sz="4" w:space="0"/>
      </w:pBdr>
      <w:spacing w:before="100" w:beforeLines="0" w:beforeAutospacing="0" w:after="100" w:afterLines="0" w:afterAutospacing="0"/>
      <w:jc w:val="left"/>
    </w:pPr>
    <w:rPr>
      <w:rFonts w:ascii="宋体" w:hAnsi="宋体"/>
      <w:b/>
      <w:kern w:val="0"/>
      <w:sz w:val="24"/>
    </w:rPr>
  </w:style>
  <w:style w:type="paragraph" w:customStyle="1" w:styleId="400">
    <w:name w:val=" Char2 Char Char Char"/>
    <w:basedOn w:val="1"/>
    <w:qFormat/>
    <w:uiPriority w:val="0"/>
    <w:pPr>
      <w:spacing w:line="360" w:lineRule="auto"/>
      <w:ind w:firstLine="200" w:firstLineChars="200"/>
    </w:pPr>
    <w:rPr>
      <w:rFonts w:ascii="Times New Roman" w:hAnsi="Times New Roman"/>
      <w:sz w:val="24"/>
    </w:rPr>
  </w:style>
  <w:style w:type="paragraph" w:customStyle="1" w:styleId="401">
    <w:name w:val="样式 四号 首行缩进:  1 厘米 行距: 1.5 倍行距"/>
    <w:basedOn w:val="1"/>
    <w:qFormat/>
    <w:uiPriority w:val="0"/>
    <w:pPr>
      <w:spacing w:line="360" w:lineRule="auto"/>
      <w:ind w:firstLine="200" w:firstLineChars="200"/>
    </w:pPr>
    <w:rPr>
      <w:rFonts w:ascii="宋体" w:hAnsi="Times New Roman"/>
      <w:sz w:val="28"/>
    </w:rPr>
  </w:style>
  <w:style w:type="paragraph" w:customStyle="1" w:styleId="402">
    <w:name w:val="样式7"/>
    <w:basedOn w:val="15"/>
    <w:qFormat/>
    <w:uiPriority w:val="0"/>
    <w:pPr>
      <w:tabs>
        <w:tab w:val="left" w:pos="1040"/>
      </w:tabs>
      <w:adjustRightInd w:val="0"/>
      <w:snapToGrid w:val="0"/>
      <w:spacing w:before="0" w:beforeLines="0" w:beforeAutospacing="0" w:after="0" w:afterLines="0" w:afterAutospacing="0" w:line="360" w:lineRule="auto"/>
      <w:ind w:left="851" w:hanging="171"/>
    </w:pPr>
    <w:rPr>
      <w:rFonts w:ascii="宋体" w:hAnsi="Times New Roman"/>
      <w:snapToGrid w:val="0"/>
      <w:kern w:val="0"/>
    </w:rPr>
  </w:style>
  <w:style w:type="paragraph" w:customStyle="1" w:styleId="403">
    <w:name w:val="xl27"/>
    <w:basedOn w:val="1"/>
    <w:qFormat/>
    <w:uiPriority w:val="0"/>
    <w:pPr>
      <w:widowControl/>
      <w:pBdr>
        <w:bottom w:val="single" w:color="auto" w:sz="4" w:space="0"/>
        <w:right w:val="single" w:color="auto" w:sz="4" w:space="0"/>
      </w:pBdr>
      <w:spacing w:before="100" w:beforeLines="0" w:beforeAutospacing="1" w:after="100" w:afterLines="0" w:afterAutospacing="1"/>
      <w:jc w:val="center"/>
      <w:textAlignment w:val="top"/>
    </w:pPr>
    <w:rPr>
      <w:rFonts w:ascii="Times New Roman" w:hAnsi="Times New Roman"/>
      <w:kern w:val="0"/>
      <w:sz w:val="24"/>
    </w:rPr>
  </w:style>
  <w:style w:type="paragraph" w:customStyle="1" w:styleId="404">
    <w:name w:val="font11"/>
    <w:basedOn w:val="1"/>
    <w:qFormat/>
    <w:uiPriority w:val="0"/>
    <w:pPr>
      <w:widowControl/>
      <w:spacing w:before="100" w:beforeLines="0" w:beforeAutospacing="1" w:after="100" w:afterLines="0" w:afterAutospacing="1"/>
      <w:jc w:val="left"/>
    </w:pPr>
    <w:rPr>
      <w:rFonts w:ascii="Times New Roman" w:hAnsi="Times New Roman"/>
      <w:color w:val="800000"/>
      <w:kern w:val="0"/>
    </w:rPr>
  </w:style>
  <w:style w:type="paragraph" w:customStyle="1" w:styleId="405">
    <w:name w:val="xl80"/>
    <w:basedOn w:val="1"/>
    <w:qFormat/>
    <w:uiPriority w:val="0"/>
    <w:pPr>
      <w:widowControl/>
      <w:pBdr>
        <w:top w:val="single" w:color="auto" w:sz="8" w:space="0"/>
        <w:bottom w:val="single" w:color="auto" w:sz="8" w:space="0"/>
        <w:right w:val="single" w:color="auto" w:sz="8" w:space="0"/>
      </w:pBdr>
      <w:shd w:val="clear" w:color="000000" w:fill="00FFFF"/>
      <w:spacing w:before="100" w:beforeLines="0" w:beforeAutospacing="1" w:after="100" w:afterLines="0" w:afterAutospacing="1"/>
      <w:jc w:val="center"/>
    </w:pPr>
    <w:rPr>
      <w:rFonts w:ascii="宋体" w:hAnsi="宋体"/>
      <w:color w:val="000000"/>
      <w:kern w:val="0"/>
      <w:sz w:val="18"/>
    </w:rPr>
  </w:style>
  <w:style w:type="paragraph" w:customStyle="1" w:styleId="406">
    <w:name w:val="A3"/>
    <w:basedOn w:val="11"/>
    <w:qFormat/>
    <w:uiPriority w:val="0"/>
    <w:pPr>
      <w:numPr>
        <w:ilvl w:val="2"/>
        <w:numId w:val="3"/>
      </w:numPr>
      <w:adjustRightInd w:val="0"/>
      <w:snapToGrid w:val="0"/>
      <w:spacing w:before="0" w:beforeLines="0" w:beforeAutospacing="0" w:after="0" w:afterLines="0" w:afterAutospacing="0" w:line="360" w:lineRule="auto"/>
    </w:pPr>
    <w:rPr>
      <w:rFonts w:ascii="宋体" w:hAnsi="宋体"/>
      <w:sz w:val="28"/>
    </w:rPr>
  </w:style>
  <w:style w:type="paragraph" w:customStyle="1" w:styleId="407">
    <w:name w:val="准北标题5"/>
    <w:basedOn w:val="13"/>
    <w:qFormat/>
    <w:uiPriority w:val="0"/>
    <w:pPr>
      <w:tabs>
        <w:tab w:val="left" w:pos="992"/>
        <w:tab w:val="left" w:pos="1260"/>
      </w:tabs>
      <w:adjustRightInd w:val="0"/>
      <w:snapToGrid w:val="0"/>
      <w:spacing w:before="0" w:beforeLines="0" w:beforeAutospacing="0" w:after="0" w:afterLines="0" w:afterAutospacing="0" w:line="360" w:lineRule="auto"/>
      <w:ind w:left="992" w:hanging="992"/>
    </w:pPr>
    <w:rPr>
      <w:rFonts w:ascii="宋体" w:hAnsi="宋体"/>
      <w:b w:val="0"/>
      <w:snapToGrid w:val="0"/>
      <w:sz w:val="24"/>
    </w:rPr>
  </w:style>
  <w:style w:type="paragraph" w:customStyle="1" w:styleId="408">
    <w:name w:val="1.1"/>
    <w:basedOn w:val="1"/>
    <w:next w:val="12"/>
    <w:qFormat/>
    <w:uiPriority w:val="0"/>
    <w:pPr>
      <w:keepNext/>
      <w:keepLines/>
      <w:numPr>
        <w:ilvl w:val="3"/>
        <w:numId w:val="0"/>
      </w:numPr>
      <w:spacing w:line="300" w:lineRule="auto"/>
      <w:outlineLvl w:val="3"/>
    </w:pPr>
    <w:rPr>
      <w:rFonts w:ascii="宋体" w:hAnsi="宋体" w:eastAsia="黑体"/>
      <w:sz w:val="30"/>
    </w:rPr>
  </w:style>
  <w:style w:type="paragraph" w:customStyle="1" w:styleId="409">
    <w:name w:val="准北1级标题"/>
    <w:basedOn w:val="3"/>
    <w:qFormat/>
    <w:uiPriority w:val="0"/>
    <w:rPr>
      <w:rFonts w:ascii="黑体" w:hAnsi="黑体" w:eastAsia="黑体"/>
      <w:sz w:val="32"/>
    </w:rPr>
  </w:style>
  <w:style w:type="paragraph" w:customStyle="1" w:styleId="410">
    <w:name w:val="标题4   改 Char Char Char"/>
    <w:basedOn w:val="1"/>
    <w:qFormat/>
    <w:uiPriority w:val="0"/>
    <w:rPr>
      <w:rFonts w:ascii="Times New Roman" w:hAnsi="Times New Roman"/>
      <w:sz w:val="28"/>
    </w:rPr>
  </w:style>
  <w:style w:type="paragraph" w:customStyle="1" w:styleId="411">
    <w:name w:val="xl77"/>
    <w:basedOn w:val="1"/>
    <w:qFormat/>
    <w:uiPriority w:val="0"/>
    <w:pPr>
      <w:widowControl/>
      <w:pBdr>
        <w:left w:val="single" w:color="auto" w:sz="8" w:space="0"/>
        <w:bottom w:val="single" w:color="auto" w:sz="8" w:space="0"/>
        <w:right w:val="single" w:color="auto" w:sz="8" w:space="0"/>
      </w:pBdr>
      <w:shd w:val="clear" w:color="000000" w:fill="00FFFF"/>
      <w:spacing w:before="100" w:beforeLines="0" w:beforeAutospacing="1" w:after="100" w:afterLines="0" w:afterAutospacing="1"/>
      <w:jc w:val="center"/>
    </w:pPr>
    <w:rPr>
      <w:rFonts w:ascii="宋体" w:hAnsi="宋体"/>
      <w:color w:val="000000"/>
      <w:kern w:val="0"/>
      <w:sz w:val="18"/>
    </w:rPr>
  </w:style>
  <w:style w:type="paragraph" w:customStyle="1" w:styleId="412">
    <w:name w:val=" Char2 Char Char Char1 Char Char Char Char Char Char"/>
    <w:basedOn w:val="1"/>
    <w:qFormat/>
    <w:uiPriority w:val="0"/>
    <w:rPr>
      <w:rFonts w:ascii="Times New Roman" w:hAnsi="Times New Roman"/>
    </w:rPr>
  </w:style>
  <w:style w:type="paragraph" w:customStyle="1" w:styleId="413">
    <w:name w:val="xl71"/>
    <w:basedOn w:val="1"/>
    <w:qFormat/>
    <w:uiPriority w:val="0"/>
    <w:pPr>
      <w:widowControl/>
      <w:pBdr>
        <w:bottom w:val="single" w:color="auto" w:sz="8" w:space="0"/>
        <w:right w:val="single" w:color="auto" w:sz="8" w:space="0"/>
      </w:pBdr>
      <w:spacing w:before="100" w:beforeLines="0" w:beforeAutospacing="1" w:after="100" w:afterLines="0" w:afterAutospacing="1"/>
      <w:jc w:val="center"/>
    </w:pPr>
    <w:rPr>
      <w:rFonts w:ascii="Times New Roman" w:hAnsi="Times New Roman"/>
      <w:color w:val="800000"/>
      <w:kern w:val="0"/>
    </w:rPr>
  </w:style>
  <w:style w:type="paragraph" w:customStyle="1" w:styleId="414">
    <w:name w:val="xl92"/>
    <w:basedOn w:val="1"/>
    <w:qFormat/>
    <w:uiPriority w:val="0"/>
    <w:pPr>
      <w:widowControl/>
      <w:pBdr>
        <w:bottom w:val="single" w:color="auto" w:sz="8" w:space="0"/>
        <w:right w:val="single" w:color="auto" w:sz="8" w:space="0"/>
      </w:pBdr>
      <w:spacing w:before="100" w:beforeLines="0" w:beforeAutospacing="1" w:after="100" w:afterLines="0" w:afterAutospacing="1"/>
      <w:jc w:val="center"/>
    </w:pPr>
    <w:rPr>
      <w:rFonts w:ascii="宋体" w:hAnsi="宋体"/>
      <w:color w:val="000000"/>
      <w:kern w:val="0"/>
      <w:sz w:val="20"/>
    </w:rPr>
  </w:style>
  <w:style w:type="paragraph" w:customStyle="1" w:styleId="415">
    <w:name w:val="c"/>
    <w:qFormat/>
    <w:uiPriority w:val="0"/>
    <w:pPr>
      <w:widowControl w:val="0"/>
      <w:autoSpaceDE w:val="0"/>
      <w:autoSpaceDN w:val="0"/>
      <w:adjustRightInd w:val="0"/>
      <w:jc w:val="both"/>
    </w:pPr>
    <w:rPr>
      <w:rFonts w:ascii="五" w:hAnsi="Times New Roman" w:eastAsia="五" w:cs="Times New Roman"/>
      <w:sz w:val="24"/>
      <w:lang w:val="en-US" w:eastAsia="zh-CN"/>
    </w:rPr>
  </w:style>
  <w:style w:type="paragraph" w:customStyle="1" w:styleId="416">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pPr>
    <w:rPr>
      <w:rFonts w:ascii="宋体" w:hAnsi="宋体"/>
      <w:color w:val="0000FF"/>
      <w:kern w:val="0"/>
      <w:sz w:val="18"/>
    </w:rPr>
  </w:style>
  <w:style w:type="paragraph" w:customStyle="1" w:styleId="417">
    <w:name w:val="xl85"/>
    <w:basedOn w:val="1"/>
    <w:qFormat/>
    <w:uiPriority w:val="0"/>
    <w:pPr>
      <w:widowControl/>
      <w:pBdr>
        <w:bottom w:val="single" w:color="auto" w:sz="8" w:space="0"/>
        <w:right w:val="single" w:color="auto" w:sz="8" w:space="0"/>
      </w:pBdr>
      <w:spacing w:before="100" w:beforeLines="0" w:beforeAutospacing="1" w:after="100" w:afterLines="0" w:afterAutospacing="1"/>
      <w:jc w:val="center"/>
    </w:pPr>
    <w:rPr>
      <w:rFonts w:ascii="宋体" w:hAnsi="宋体"/>
      <w:b/>
      <w:color w:val="993366"/>
      <w:kern w:val="0"/>
      <w:sz w:val="18"/>
    </w:rPr>
  </w:style>
  <w:style w:type="paragraph" w:customStyle="1" w:styleId="418">
    <w:name w:val="表中文字"/>
    <w:basedOn w:val="1"/>
    <w:qFormat/>
    <w:uiPriority w:val="0"/>
    <w:pPr>
      <w:snapToGrid w:val="0"/>
      <w:spacing w:line="340" w:lineRule="exact"/>
      <w:jc w:val="center"/>
    </w:pPr>
    <w:rPr>
      <w:rFonts w:ascii="Arial" w:hAnsi="Arial"/>
      <w:kern w:val="0"/>
      <w:lang w:eastAsia="zh-TW"/>
    </w:rPr>
  </w:style>
  <w:style w:type="paragraph" w:customStyle="1" w:styleId="419">
    <w:name w:val=" Char5"/>
    <w:basedOn w:val="1"/>
    <w:qFormat/>
    <w:uiPriority w:val="0"/>
    <w:pPr>
      <w:spacing w:line="360" w:lineRule="auto"/>
      <w:ind w:firstLine="200" w:firstLineChars="200"/>
    </w:pPr>
    <w:rPr>
      <w:rFonts w:ascii="宋体" w:hAnsi="宋体"/>
      <w:sz w:val="24"/>
    </w:rPr>
  </w:style>
  <w:style w:type="paragraph" w:customStyle="1" w:styleId="420">
    <w:name w:val="样式 左侧:  0.49 厘米 首行缩进:  2 字符 右侧:  0.49 厘米"/>
    <w:basedOn w:val="1"/>
    <w:qFormat/>
    <w:uiPriority w:val="0"/>
    <w:pPr>
      <w:adjustRightInd w:val="0"/>
      <w:snapToGrid w:val="0"/>
      <w:spacing w:line="490" w:lineRule="exact"/>
      <w:ind w:firstLine="480" w:firstLineChars="200"/>
    </w:pPr>
    <w:rPr>
      <w:rFonts w:ascii="宋体" w:hAnsi="宋体"/>
      <w:sz w:val="24"/>
    </w:rPr>
  </w:style>
  <w:style w:type="paragraph" w:customStyle="1" w:styleId="421">
    <w:name w:val="hxq正文"/>
    <w:basedOn w:val="1"/>
    <w:qFormat/>
    <w:uiPriority w:val="0"/>
    <w:pPr>
      <w:spacing w:line="360" w:lineRule="auto"/>
      <w:ind w:firstLine="200" w:firstLineChars="200"/>
    </w:pPr>
    <w:rPr>
      <w:rFonts w:ascii="Times New Roman" w:hAnsi="Times New Roman"/>
      <w:sz w:val="24"/>
    </w:rPr>
  </w:style>
  <w:style w:type="paragraph" w:customStyle="1" w:styleId="422">
    <w:name w:val="2 Char Char Char Char Char Char Char Char Char Char"/>
    <w:basedOn w:val="1"/>
    <w:qFormat/>
    <w:uiPriority w:val="0"/>
    <w:pPr>
      <w:spacing w:line="360" w:lineRule="auto"/>
      <w:ind w:firstLine="200" w:firstLineChars="200"/>
    </w:pPr>
    <w:rPr>
      <w:rFonts w:ascii="宋体" w:hAnsi="宋体"/>
      <w:sz w:val="24"/>
    </w:rPr>
  </w:style>
  <w:style w:type="paragraph" w:customStyle="1" w:styleId="423">
    <w:name w:val="Char8 Char Char Char"/>
    <w:basedOn w:val="1"/>
    <w:qFormat/>
    <w:uiPriority w:val="0"/>
    <w:pPr>
      <w:spacing w:line="360" w:lineRule="auto"/>
    </w:pPr>
    <w:rPr>
      <w:rFonts w:ascii="宋体" w:hAnsi="宋体"/>
      <w:sz w:val="24"/>
    </w:rPr>
  </w:style>
  <w:style w:type="paragraph" w:customStyle="1" w:styleId="424">
    <w:name w:val="xl39"/>
    <w:basedOn w:val="1"/>
    <w:qFormat/>
    <w:uiPriority w:val="0"/>
    <w:pPr>
      <w:widowControl/>
      <w:pBdr>
        <w:left w:val="single" w:color="auto" w:sz="8" w:space="0"/>
        <w:bottom w:val="single" w:color="auto" w:sz="8" w:space="0"/>
        <w:right w:val="single" w:color="auto" w:sz="8" w:space="0"/>
      </w:pBdr>
      <w:spacing w:before="100" w:beforeLines="0" w:beforeAutospacing="1" w:after="100" w:afterLines="0" w:afterAutospacing="1"/>
      <w:jc w:val="center"/>
    </w:pPr>
    <w:rPr>
      <w:rFonts w:ascii="Times New Roman" w:hAnsi="Times New Roman"/>
      <w:kern w:val="0"/>
      <w:sz w:val="18"/>
    </w:rPr>
  </w:style>
  <w:style w:type="paragraph" w:customStyle="1" w:styleId="425">
    <w:name w:val="样式 题注 + 段前: 0.5 行"/>
    <w:basedOn w:val="25"/>
    <w:qFormat/>
    <w:uiPriority w:val="0"/>
    <w:pPr>
      <w:keepNext/>
      <w:pageBreakBefore w:val="0"/>
      <w:spacing w:before="120" w:beforeLines="0" w:beforeAutospacing="0" w:line="360" w:lineRule="auto"/>
      <w:ind w:left="560" w:leftChars="200" w:firstLine="0" w:firstLineChars="0"/>
      <w:jc w:val="left"/>
    </w:pPr>
    <w:rPr>
      <w:rFonts w:ascii="Arial" w:hAnsi="Arial"/>
      <w:snapToGrid w:val="0"/>
      <w:sz w:val="21"/>
    </w:rPr>
  </w:style>
  <w:style w:type="paragraph" w:customStyle="1" w:styleId="426">
    <w:name w:val="样式 标题 2标题 1.1节标题节标题 1.1标题 yjm2第一章 标题 2Heading 2 HiddenHea...1"/>
    <w:basedOn w:val="4"/>
    <w:qFormat/>
    <w:uiPriority w:val="0"/>
    <w:pPr>
      <w:keepLines w:val="0"/>
      <w:numPr>
        <w:ilvl w:val="1"/>
        <w:numId w:val="0"/>
      </w:numPr>
      <w:adjustRightInd w:val="0"/>
      <w:snapToGrid w:val="0"/>
      <w:spacing w:before="156" w:beforeLines="50" w:beforeAutospacing="0" w:after="0" w:afterLines="0" w:afterAutospacing="0" w:line="360" w:lineRule="auto"/>
      <w:jc w:val="left"/>
    </w:pPr>
    <w:rPr>
      <w:rFonts w:ascii="Arial" w:hAnsi="Arial" w:eastAsia="黑体"/>
      <w:b w:val="0"/>
    </w:rPr>
  </w:style>
  <w:style w:type="paragraph" w:customStyle="1" w:styleId="427">
    <w:name w:val="font10"/>
    <w:basedOn w:val="1"/>
    <w:qFormat/>
    <w:uiPriority w:val="0"/>
    <w:pPr>
      <w:widowControl/>
      <w:spacing w:before="100" w:beforeLines="0" w:beforeAutospacing="1" w:after="100" w:afterLines="0" w:afterAutospacing="1"/>
      <w:jc w:val="left"/>
    </w:pPr>
    <w:rPr>
      <w:rFonts w:ascii="宋体" w:hAnsi="宋体"/>
      <w:b/>
      <w:kern w:val="0"/>
    </w:rPr>
  </w:style>
  <w:style w:type="paragraph" w:customStyle="1" w:styleId="428">
    <w:name w:val="样式 标题 1 + 宋体 四号 非倾斜 行距: 最小值 28 磅"/>
    <w:basedOn w:val="3"/>
    <w:qFormat/>
    <w:uiPriority w:val="0"/>
    <w:pPr>
      <w:keepNext w:val="0"/>
      <w:keepLines w:val="0"/>
      <w:adjustRightInd w:val="0"/>
      <w:snapToGrid w:val="0"/>
      <w:spacing w:before="0" w:beforeLines="0" w:beforeAutospacing="0" w:after="0" w:afterLines="0" w:afterAutospacing="0" w:line="560" w:lineRule="atLeast"/>
    </w:pPr>
    <w:rPr>
      <w:rFonts w:ascii="黑体" w:hAnsi="宋体" w:eastAsia="黑体"/>
      <w:kern w:val="0"/>
      <w:sz w:val="28"/>
    </w:rPr>
  </w:style>
  <w:style w:type="paragraph" w:customStyle="1" w:styleId="429">
    <w:name w:val="样式 正文缩进s4标题4 + 左侧:  0.98 厘米 首行缩进:  2 字符1"/>
    <w:basedOn w:val="24"/>
    <w:qFormat/>
    <w:uiPriority w:val="0"/>
    <w:pPr>
      <w:adjustRightInd w:val="0"/>
      <w:snapToGrid w:val="0"/>
      <w:spacing w:line="360" w:lineRule="auto"/>
      <w:ind w:firstLine="560"/>
    </w:pPr>
    <w:rPr>
      <w:rFonts w:ascii="Times New Roman" w:hAnsi="Times New Roman" w:eastAsia="仿宋_GB2312"/>
      <w:kern w:val="0"/>
      <w:sz w:val="28"/>
    </w:rPr>
  </w:style>
  <w:style w:type="paragraph" w:customStyle="1" w:styleId="430">
    <w:name w:val="xl53"/>
    <w:basedOn w:val="1"/>
    <w:qFormat/>
    <w:uiPriority w:val="0"/>
    <w:pPr>
      <w:widowControl/>
      <w:pBdr>
        <w:left w:val="double" w:color="auto" w:sz="6" w:space="0"/>
        <w:bottom w:val="single" w:color="auto" w:sz="8" w:space="0"/>
        <w:right w:val="single" w:color="auto" w:sz="8" w:space="0"/>
      </w:pBdr>
      <w:spacing w:before="100" w:beforeLines="0" w:beforeAutospacing="1" w:after="100" w:afterLines="0" w:afterAutospacing="1"/>
      <w:jc w:val="center"/>
    </w:pPr>
    <w:rPr>
      <w:rFonts w:ascii="Times New Roman" w:hAnsi="Times New Roman"/>
      <w:kern w:val="0"/>
    </w:rPr>
  </w:style>
  <w:style w:type="paragraph" w:customStyle="1" w:styleId="431">
    <w:name w:val="样式 标题 1章标题b1章标题 1-*+h11st levelSection Headl1预评价标题 1 预..."/>
    <w:basedOn w:val="3"/>
    <w:qFormat/>
    <w:uiPriority w:val="0"/>
    <w:rPr>
      <w:rFonts w:ascii="黑体" w:hAnsi="黑体"/>
      <w:sz w:val="32"/>
    </w:rPr>
  </w:style>
  <w:style w:type="paragraph" w:customStyle="1" w:styleId="432">
    <w:name w:val="样式 样式 表格 + 左侧:  0.98 厘米 + 居中"/>
    <w:basedOn w:val="1"/>
    <w:qFormat/>
    <w:uiPriority w:val="0"/>
    <w:pPr>
      <w:adjustRightInd w:val="0"/>
      <w:snapToGrid w:val="0"/>
      <w:spacing w:before="100" w:beforeLines="0" w:beforeAutospacing="1" w:after="100" w:afterLines="0" w:afterAutospacing="1" w:line="300" w:lineRule="auto"/>
      <w:jc w:val="center"/>
    </w:pPr>
    <w:rPr>
      <w:rFonts w:ascii="Arial" w:hAnsi="Arial"/>
      <w:snapToGrid w:val="0"/>
      <w:kern w:val="0"/>
    </w:rPr>
  </w:style>
  <w:style w:type="paragraph" w:customStyle="1" w:styleId="433">
    <w:name w:val="Char4 Char Char Char Char Char Char1"/>
    <w:basedOn w:val="1"/>
    <w:qFormat/>
    <w:uiPriority w:val="0"/>
    <w:pPr>
      <w:keepNext/>
      <w:adjustRightInd w:val="0"/>
      <w:snapToGrid w:val="0"/>
      <w:spacing w:before="312" w:beforeLines="100" w:beforeAutospacing="0" w:line="360" w:lineRule="auto"/>
      <w:ind w:firstLine="420"/>
      <w:jc w:val="left"/>
      <w:outlineLvl w:val="1"/>
    </w:pPr>
    <w:rPr>
      <w:rFonts w:ascii="Times New Roman" w:hAnsi="Times New Roman" w:eastAsia="黑体"/>
      <w:sz w:val="32"/>
    </w:rPr>
  </w:style>
  <w:style w:type="paragraph" w:customStyle="1" w:styleId="434">
    <w:name w:val="xl23"/>
    <w:basedOn w:val="1"/>
    <w:qFormat/>
    <w:uiPriority w:val="0"/>
    <w:pPr>
      <w:widowControl/>
      <w:spacing w:before="46" w:beforeLines="15" w:beforeAutospacing="0" w:after="46" w:afterLines="15" w:afterAutospacing="0" w:line="500" w:lineRule="atLeast"/>
      <w:jc w:val="center"/>
      <w:textAlignment w:val="center"/>
    </w:pPr>
    <w:rPr>
      <w:rFonts w:ascii="宋体" w:hAnsi="宋体"/>
      <w:kern w:val="0"/>
      <w:sz w:val="28"/>
    </w:rPr>
  </w:style>
  <w:style w:type="paragraph" w:customStyle="1" w:styleId="435">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pPr>
    <w:rPr>
      <w:rFonts w:ascii="宋体" w:hAnsi="宋体"/>
      <w:color w:val="0000FF"/>
      <w:kern w:val="0"/>
      <w:sz w:val="18"/>
    </w:rPr>
  </w:style>
  <w:style w:type="paragraph" w:customStyle="1" w:styleId="436">
    <w:name w:val="Char Char Char Char Char Char Char Char Char1 Char"/>
    <w:basedOn w:val="1"/>
    <w:qFormat/>
    <w:uiPriority w:val="0"/>
    <w:pPr>
      <w:spacing w:line="360" w:lineRule="auto"/>
      <w:ind w:firstLine="200" w:firstLineChars="200"/>
    </w:pPr>
    <w:rPr>
      <w:rFonts w:hAnsi="宋体" w:cs="宋体"/>
      <w:spacing w:val="0"/>
      <w:sz w:val="24"/>
      <w:szCs w:val="24"/>
    </w:rPr>
  </w:style>
  <w:style w:type="paragraph" w:customStyle="1" w:styleId="437">
    <w:name w:val="样式 标题 2标题 1.1节标题节标题 1.1标题 yjm2第一章 标题 2Heading 2 HiddenHea..."/>
    <w:basedOn w:val="4"/>
    <w:qFormat/>
    <w:uiPriority w:val="0"/>
    <w:pPr>
      <w:keepNext w:val="0"/>
      <w:keepLines w:val="0"/>
      <w:adjustRightInd w:val="0"/>
      <w:snapToGrid w:val="0"/>
      <w:spacing w:before="156" w:beforeLines="50" w:beforeAutospacing="0" w:after="0" w:afterLines="0" w:afterAutospacing="0" w:line="360" w:lineRule="auto"/>
    </w:pPr>
    <w:rPr>
      <w:rFonts w:ascii="宋体" w:hAnsi="宋体"/>
      <w:sz w:val="30"/>
    </w:rPr>
  </w:style>
  <w:style w:type="paragraph" w:customStyle="1" w:styleId="438">
    <w:name w:val="样式 表头 + 华文楷体"/>
    <w:basedOn w:val="1"/>
    <w:qFormat/>
    <w:uiPriority w:val="0"/>
    <w:pPr>
      <w:topLinePunct/>
      <w:adjustRightInd w:val="0"/>
      <w:snapToGrid w:val="0"/>
      <w:spacing w:before="120" w:beforeLines="0" w:beforeAutospacing="0" w:line="520" w:lineRule="atLeast"/>
    </w:pPr>
    <w:rPr>
      <w:rFonts w:ascii="华文楷体" w:hAnsi="华文楷体" w:eastAsia="黑体"/>
      <w:b/>
      <w:snapToGrid w:val="0"/>
      <w:kern w:val="0"/>
      <w:sz w:val="24"/>
    </w:rPr>
  </w:style>
  <w:style w:type="paragraph" w:customStyle="1" w:styleId="439">
    <w:name w:val="xl65"/>
    <w:basedOn w:val="1"/>
    <w:qFormat/>
    <w:uiPriority w:val="0"/>
    <w:pPr>
      <w:widowControl/>
      <w:spacing w:before="100" w:beforeLines="0" w:beforeAutospacing="1" w:after="100" w:afterLines="0" w:afterAutospacing="1"/>
      <w:jc w:val="center"/>
    </w:pPr>
    <w:rPr>
      <w:rFonts w:ascii="Times New Roman" w:hAnsi="Times New Roman"/>
      <w:kern w:val="0"/>
    </w:rPr>
  </w:style>
  <w:style w:type="paragraph" w:customStyle="1" w:styleId="440">
    <w:name w:val=" Char Char Char Char Char Char Char Char Char Char Char Char Char Char Char Char Char Char Char Char Char Char Char Char Char Char Char Char Char Char Char Char Char Char Char Char Char Char Char Char Char Char Char Char Char Char"/>
    <w:basedOn w:val="1"/>
    <w:next w:val="1"/>
    <w:qFormat/>
    <w:uiPriority w:val="0"/>
    <w:pPr>
      <w:pBdr>
        <w:right w:val="single" w:color="auto" w:sz="12" w:space="4"/>
      </w:pBdr>
      <w:spacing w:line="360" w:lineRule="auto"/>
      <w:ind w:firstLine="200" w:firstLineChars="200"/>
    </w:pPr>
    <w:rPr>
      <w:rFonts w:ascii="宋体" w:hAnsi="宋体"/>
      <w:sz w:val="24"/>
    </w:rPr>
  </w:style>
  <w:style w:type="paragraph" w:customStyle="1" w:styleId="441">
    <w:name w:val="xl91"/>
    <w:basedOn w:val="1"/>
    <w:qFormat/>
    <w:uiPriority w:val="0"/>
    <w:pPr>
      <w:widowControl/>
      <w:pBdr>
        <w:top w:val="single" w:color="auto" w:sz="8" w:space="0"/>
        <w:bottom w:val="single" w:color="auto" w:sz="8" w:space="0"/>
        <w:right w:val="single" w:color="auto" w:sz="8" w:space="0"/>
      </w:pBdr>
      <w:spacing w:before="100" w:beforeLines="0" w:beforeAutospacing="1" w:after="100" w:afterLines="0" w:afterAutospacing="1"/>
      <w:jc w:val="center"/>
      <w:textAlignment w:val="bottom"/>
    </w:pPr>
    <w:rPr>
      <w:rFonts w:ascii="Arial" w:hAnsi="Arial"/>
      <w:color w:val="000000"/>
      <w:kern w:val="0"/>
      <w:sz w:val="20"/>
    </w:rPr>
  </w:style>
  <w:style w:type="paragraph" w:customStyle="1" w:styleId="442">
    <w:name w:val="样式 标题 4款标题1.1.1.1 + 段前: 0.5 行 段后: 0.5 行"/>
    <w:basedOn w:val="12"/>
    <w:qFormat/>
    <w:uiPriority w:val="0"/>
    <w:pPr>
      <w:keepNext w:val="0"/>
      <w:keepLines w:val="0"/>
      <w:numPr>
        <w:ilvl w:val="3"/>
        <w:numId w:val="0"/>
      </w:numPr>
      <w:tabs>
        <w:tab w:val="left" w:pos="864"/>
      </w:tabs>
      <w:adjustRightInd w:val="0"/>
      <w:snapToGrid w:val="0"/>
      <w:spacing w:before="0" w:beforeLines="0" w:beforeAutospacing="0" w:after="0" w:afterLines="0" w:afterAutospacing="0" w:line="360" w:lineRule="auto"/>
      <w:ind w:firstLine="560" w:firstLineChars="200"/>
      <w:textAlignment w:val="baseline"/>
    </w:pPr>
    <w:rPr>
      <w:rFonts w:ascii="仿宋_GB2312" w:hAnsi="Times New Roman" w:eastAsia="仿宋_GB2312"/>
      <w:b w:val="0"/>
      <w:color w:val="FF0000"/>
    </w:rPr>
  </w:style>
  <w:style w:type="paragraph" w:customStyle="1" w:styleId="443">
    <w:name w:val="标题4-3"/>
    <w:basedOn w:val="1"/>
    <w:qFormat/>
    <w:uiPriority w:val="0"/>
    <w:pPr>
      <w:numPr>
        <w:ilvl w:val="2"/>
        <w:numId w:val="4"/>
      </w:numPr>
      <w:adjustRightInd w:val="0"/>
      <w:snapToGrid w:val="0"/>
      <w:spacing w:line="360" w:lineRule="auto"/>
      <w:outlineLvl w:val="2"/>
    </w:pPr>
    <w:rPr>
      <w:rFonts w:ascii="宋体" w:hAnsi="宋体"/>
      <w:b/>
      <w:kern w:val="0"/>
      <w:sz w:val="24"/>
    </w:rPr>
  </w:style>
  <w:style w:type="paragraph" w:customStyle="1" w:styleId="444">
    <w:name w:val="表中内容"/>
    <w:basedOn w:val="7"/>
    <w:qFormat/>
    <w:uiPriority w:val="0"/>
    <w:pPr>
      <w:adjustRightInd w:val="0"/>
      <w:snapToGrid w:val="0"/>
      <w:spacing w:after="0" w:afterLines="0" w:afterAutospacing="0"/>
      <w:jc w:val="center"/>
      <w:textAlignment w:val="center"/>
    </w:pPr>
    <w:rPr>
      <w:rFonts w:ascii="Times New Roman" w:hAnsi="Times New Roman"/>
      <w:spacing w:val="8"/>
      <w:sz w:val="22"/>
    </w:rPr>
  </w:style>
  <w:style w:type="paragraph" w:customStyle="1" w:styleId="445">
    <w:name w:val="样式 标题 2节标题 1.11.1标题2b2节标题h2l22nd levelTitre22Header 2...1"/>
    <w:basedOn w:val="4"/>
    <w:qFormat/>
    <w:uiPriority w:val="0"/>
    <w:pPr>
      <w:tabs>
        <w:tab w:val="left" w:pos="578"/>
      </w:tabs>
      <w:adjustRightInd w:val="0"/>
      <w:snapToGrid w:val="0"/>
      <w:spacing w:before="62" w:beforeLines="20" w:beforeAutospacing="0" w:after="76" w:afterLines="0" w:afterAutospacing="0" w:line="240" w:lineRule="auto"/>
    </w:pPr>
    <w:rPr>
      <w:rFonts w:ascii="宋体" w:hAnsi="宋体"/>
      <w:kern w:val="0"/>
      <w:sz w:val="28"/>
    </w:rPr>
  </w:style>
  <w:style w:type="paragraph" w:customStyle="1" w:styleId="446">
    <w:name w:val="xl93"/>
    <w:basedOn w:val="1"/>
    <w:qFormat/>
    <w:uiPriority w:val="0"/>
    <w:pPr>
      <w:widowControl/>
      <w:pBdr>
        <w:bottom w:val="single" w:color="auto" w:sz="8" w:space="0"/>
        <w:right w:val="single" w:color="auto" w:sz="8" w:space="0"/>
      </w:pBdr>
      <w:spacing w:before="100" w:beforeLines="0" w:beforeAutospacing="1" w:after="100" w:afterLines="0" w:afterAutospacing="1"/>
      <w:jc w:val="center"/>
      <w:textAlignment w:val="bottom"/>
    </w:pPr>
    <w:rPr>
      <w:rFonts w:ascii="宋体" w:hAnsi="宋体"/>
      <w:color w:val="000000"/>
      <w:kern w:val="0"/>
      <w:sz w:val="20"/>
    </w:rPr>
  </w:style>
  <w:style w:type="paragraph" w:customStyle="1" w:styleId="447">
    <w:name w:val="表小四左"/>
    <w:basedOn w:val="1"/>
    <w:qFormat/>
    <w:uiPriority w:val="0"/>
    <w:pPr>
      <w:tabs>
        <w:tab w:val="left" w:pos="0"/>
      </w:tabs>
      <w:overflowPunct w:val="0"/>
      <w:topLinePunct/>
      <w:adjustRightInd w:val="0"/>
      <w:snapToGrid w:val="0"/>
      <w:spacing w:after="60" w:afterLines="0" w:afterAutospacing="0" w:line="400" w:lineRule="exact"/>
      <w:jc w:val="left"/>
      <w:textAlignment w:val="center"/>
    </w:pPr>
    <w:rPr>
      <w:rFonts w:ascii="楷体_GB2312" w:hAnsi="Arial" w:eastAsia="仿宋_GB2312"/>
    </w:rPr>
  </w:style>
  <w:style w:type="paragraph" w:customStyle="1" w:styleId="448">
    <w:name w:val="xl24"/>
    <w:basedOn w:val="1"/>
    <w:qFormat/>
    <w:uiPriority w:val="0"/>
    <w:pPr>
      <w:widowControl/>
      <w:pBdr>
        <w:bottom w:val="single" w:color="auto" w:sz="4" w:space="0"/>
        <w:right w:val="single" w:color="auto" w:sz="4" w:space="0"/>
      </w:pBdr>
      <w:spacing w:before="100" w:beforeLines="0" w:beforeAutospacing="0" w:after="100" w:afterLines="0" w:afterAutospacing="0"/>
      <w:jc w:val="center"/>
      <w:textAlignment w:val="top"/>
    </w:pPr>
    <w:rPr>
      <w:rFonts w:ascii="Times New Roman" w:hAnsi="Times New Roman"/>
      <w:kern w:val="0"/>
    </w:rPr>
  </w:style>
  <w:style w:type="paragraph" w:customStyle="1" w:styleId="449">
    <w:name w:val="标题1q"/>
    <w:basedOn w:val="3"/>
    <w:qFormat/>
    <w:uiPriority w:val="0"/>
    <w:pPr>
      <w:tabs>
        <w:tab w:val="left" w:pos="2322"/>
      </w:tabs>
      <w:spacing w:line="360" w:lineRule="auto"/>
      <w:ind w:left="431" w:firstLine="200" w:firstLineChars="200"/>
      <w:jc w:val="center"/>
    </w:pPr>
    <w:rPr>
      <w:rFonts w:ascii="黑体" w:hAnsi="宋体" w:eastAsia="黑体"/>
      <w:b w:val="0"/>
      <w:sz w:val="32"/>
    </w:rPr>
  </w:style>
  <w:style w:type="paragraph" w:customStyle="1" w:styleId="450">
    <w:name w:val="段落样式"/>
    <w:basedOn w:val="1"/>
    <w:qFormat/>
    <w:uiPriority w:val="0"/>
    <w:pPr>
      <w:keepNext/>
      <w:suppressLineNumbers/>
      <w:suppressAutoHyphens/>
      <w:adjustRightInd w:val="0"/>
      <w:snapToGrid w:val="0"/>
      <w:spacing w:line="480" w:lineRule="atLeast"/>
      <w:ind w:firstLine="482"/>
      <w:textAlignment w:val="baseline"/>
    </w:pPr>
    <w:rPr>
      <w:rFonts w:ascii="Times New Roman" w:hAnsi="Times New Roman"/>
      <w:w w:val="90"/>
      <w:kern w:val="0"/>
      <w:sz w:val="28"/>
    </w:rPr>
  </w:style>
  <w:style w:type="paragraph" w:customStyle="1" w:styleId="451">
    <w:name w:val="TOC 标题"/>
    <w:basedOn w:val="3"/>
    <w:next w:val="1"/>
    <w:qFormat/>
    <w:uiPriority w:val="0"/>
    <w:pPr>
      <w:widowControl/>
      <w:spacing w:before="480" w:beforeLines="0" w:beforeAutospacing="0" w:after="0" w:afterLines="0" w:afterAutospacing="0" w:line="276" w:lineRule="auto"/>
      <w:jc w:val="left"/>
      <w:outlineLvl w:val="9"/>
    </w:pPr>
    <w:rPr>
      <w:rFonts w:ascii="Cambria" w:hAnsi="Cambria" w:eastAsia="宋体"/>
      <w:color w:val="365F91"/>
      <w:kern w:val="0"/>
      <w:sz w:val="28"/>
    </w:rPr>
  </w:style>
  <w:style w:type="paragraph" w:customStyle="1" w:styleId="452">
    <w:name w:val=" Char6 Char Char1 Char Char Char Char"/>
    <w:basedOn w:val="1"/>
    <w:qFormat/>
    <w:uiPriority w:val="0"/>
    <w:pPr>
      <w:spacing w:line="360" w:lineRule="auto"/>
      <w:ind w:firstLine="200" w:firstLineChars="200"/>
    </w:pPr>
    <w:rPr>
      <w:rFonts w:ascii="宋体" w:hAnsi="宋体"/>
      <w:sz w:val="24"/>
    </w:rPr>
  </w:style>
  <w:style w:type="paragraph" w:customStyle="1" w:styleId="453">
    <w:name w:val="4"/>
    <w:basedOn w:val="1"/>
    <w:qFormat/>
    <w:uiPriority w:val="0"/>
    <w:pPr>
      <w:adjustRightInd w:val="0"/>
      <w:snapToGrid w:val="0"/>
      <w:spacing w:line="360" w:lineRule="auto"/>
      <w:ind w:firstLine="200" w:firstLineChars="200"/>
    </w:pPr>
    <w:rPr>
      <w:rFonts w:ascii="宋体" w:hAnsi="宋体" w:eastAsia="黑体"/>
      <w:b/>
      <w:sz w:val="44"/>
    </w:rPr>
  </w:style>
  <w:style w:type="paragraph" w:customStyle="1" w:styleId="454">
    <w:name w:val=" Char Char Char Char1 Char Char"/>
    <w:basedOn w:val="1"/>
    <w:qFormat/>
    <w:uiPriority w:val="0"/>
    <w:pPr>
      <w:spacing w:line="360" w:lineRule="auto"/>
      <w:ind w:firstLine="200" w:firstLineChars="200"/>
    </w:pPr>
    <w:rPr>
      <w:rFonts w:ascii="宋体" w:hAnsi="宋体"/>
      <w:sz w:val="24"/>
    </w:rPr>
  </w:style>
  <w:style w:type="paragraph" w:customStyle="1" w:styleId="455">
    <w:name w:val="样式 表格 + 左侧:  0.98 厘米 行距: 固定值 12 磅"/>
    <w:basedOn w:val="194"/>
    <w:qFormat/>
    <w:uiPriority w:val="0"/>
    <w:pPr>
      <w:adjustRightInd w:val="0"/>
      <w:snapToGrid w:val="0"/>
      <w:spacing w:before="100" w:beforeLines="0" w:beforeAutospacing="1" w:after="100" w:afterLines="0" w:afterAutospacing="1" w:line="240" w:lineRule="exact"/>
      <w:ind w:left="560" w:leftChars="200" w:rightChars="-50"/>
    </w:pPr>
    <w:rPr>
      <w:rFonts w:ascii="Arial" w:hAnsi="Arial"/>
      <w:color w:val="000000"/>
      <w:lang w:val="en-GB"/>
    </w:rPr>
  </w:style>
  <w:style w:type="paragraph" w:customStyle="1" w:styleId="456">
    <w:name w:val="xl59"/>
    <w:basedOn w:val="1"/>
    <w:qFormat/>
    <w:uiPriority w:val="0"/>
    <w:pPr>
      <w:widowControl/>
      <w:pBdr>
        <w:bottom w:val="single" w:color="auto" w:sz="8" w:space="0"/>
        <w:right w:val="double" w:color="auto" w:sz="6" w:space="0"/>
      </w:pBdr>
      <w:spacing w:before="100" w:beforeLines="0" w:beforeAutospacing="1" w:after="100" w:afterLines="0" w:afterAutospacing="1"/>
      <w:jc w:val="center"/>
    </w:pPr>
    <w:rPr>
      <w:rFonts w:ascii="Times New Roman" w:hAnsi="Times New Roman"/>
      <w:kern w:val="0"/>
    </w:rPr>
  </w:style>
  <w:style w:type="paragraph" w:customStyle="1" w:styleId="457">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pPr>
    <w:rPr>
      <w:rFonts w:ascii="宋体" w:hAnsi="宋体"/>
      <w:color w:val="339966"/>
      <w:kern w:val="0"/>
      <w:sz w:val="18"/>
    </w:rPr>
  </w:style>
  <w:style w:type="paragraph" w:customStyle="1" w:styleId="458">
    <w:name w:val="样式 标题 2节标题 1.1b21.1标题2h2l22nd levelTitre22Header 2标题2..."/>
    <w:basedOn w:val="4"/>
    <w:qFormat/>
    <w:uiPriority w:val="0"/>
    <w:pPr>
      <w:spacing w:before="0" w:beforeLines="0" w:beforeAutospacing="0" w:after="0" w:afterLines="0" w:afterAutospacing="0" w:line="360" w:lineRule="auto"/>
    </w:pPr>
    <w:rPr>
      <w:rFonts w:ascii="Times New Roman" w:hAnsi="Times New Roman"/>
      <w:sz w:val="30"/>
    </w:rPr>
  </w:style>
  <w:style w:type="paragraph" w:customStyle="1" w:styleId="459">
    <w:name w:val="font1"/>
    <w:basedOn w:val="1"/>
    <w:qFormat/>
    <w:uiPriority w:val="0"/>
    <w:pPr>
      <w:widowControl/>
      <w:spacing w:before="100" w:beforeLines="0" w:beforeAutospacing="1" w:after="100" w:afterLines="0" w:afterAutospacing="1"/>
      <w:jc w:val="left"/>
    </w:pPr>
    <w:rPr>
      <w:rFonts w:hint="eastAsia" w:ascii="宋体" w:hAnsi="宋体"/>
      <w:kern w:val="0"/>
      <w:sz w:val="24"/>
    </w:rPr>
  </w:style>
  <w:style w:type="paragraph" w:customStyle="1" w:styleId="460">
    <w:name w:val="特性表"/>
    <w:basedOn w:val="1"/>
    <w:qFormat/>
    <w:uiPriority w:val="0"/>
    <w:pPr>
      <w:adjustRightInd w:val="0"/>
      <w:snapToGrid w:val="0"/>
      <w:spacing w:line="360" w:lineRule="auto"/>
      <w:jc w:val="center"/>
    </w:pPr>
    <w:rPr>
      <w:rFonts w:ascii="黑体" w:hAnsi="宋体" w:eastAsia="黑体"/>
      <w:sz w:val="30"/>
    </w:rPr>
  </w:style>
  <w:style w:type="paragraph" w:customStyle="1" w:styleId="461">
    <w:name w:val="6 Char Char Char Char Char Char1 Char Char Char Char Char Char Char"/>
    <w:basedOn w:val="1"/>
    <w:qFormat/>
    <w:uiPriority w:val="0"/>
    <w:rPr>
      <w:rFonts w:ascii="Times New Roman" w:hAnsi="Times New Roman"/>
    </w:rPr>
  </w:style>
  <w:style w:type="paragraph" w:customStyle="1" w:styleId="462">
    <w:name w:val=" Char Char Char Char Char Char Char Char Char Char"/>
    <w:basedOn w:val="1"/>
    <w:qFormat/>
    <w:uiPriority w:val="0"/>
    <w:pPr>
      <w:widowControl/>
      <w:spacing w:line="360" w:lineRule="auto"/>
      <w:ind w:firstLine="200" w:firstLineChars="200"/>
      <w:jc w:val="left"/>
    </w:pPr>
    <w:rPr>
      <w:rFonts w:ascii="宋体" w:hAnsi="宋体"/>
      <w:kern w:val="0"/>
      <w:sz w:val="24"/>
    </w:rPr>
  </w:style>
  <w:style w:type="paragraph" w:customStyle="1" w:styleId="463">
    <w:name w:val="xl75"/>
    <w:basedOn w:val="1"/>
    <w:qFormat/>
    <w:uiPriority w:val="0"/>
    <w:pPr>
      <w:widowControl/>
      <w:pBdr>
        <w:bottom w:val="single" w:color="auto" w:sz="8" w:space="0"/>
        <w:right w:val="single" w:color="auto" w:sz="8" w:space="0"/>
      </w:pBdr>
      <w:spacing w:before="100" w:beforeLines="0" w:beforeAutospacing="1" w:after="100" w:afterLines="0" w:afterAutospacing="1"/>
      <w:jc w:val="center"/>
    </w:pPr>
    <w:rPr>
      <w:rFonts w:ascii="宋体" w:hAnsi="宋体"/>
      <w:color w:val="FF0000"/>
      <w:kern w:val="0"/>
      <w:sz w:val="18"/>
    </w:rPr>
  </w:style>
  <w:style w:type="paragraph" w:customStyle="1" w:styleId="464">
    <w:name w:val="xl49"/>
    <w:basedOn w:val="1"/>
    <w:qFormat/>
    <w:uiPriority w:val="0"/>
    <w:pPr>
      <w:widowControl/>
      <w:pBdr>
        <w:bottom w:val="single" w:color="auto" w:sz="8" w:space="0"/>
        <w:right w:val="single" w:color="auto" w:sz="8" w:space="0"/>
      </w:pBdr>
      <w:spacing w:before="100" w:beforeLines="0" w:beforeAutospacing="1" w:after="100" w:afterLines="0" w:afterAutospacing="1"/>
      <w:jc w:val="center"/>
    </w:pPr>
    <w:rPr>
      <w:rFonts w:ascii="Arial" w:hAnsi="Arial"/>
      <w:color w:val="000000"/>
      <w:kern w:val="0"/>
    </w:rPr>
  </w:style>
  <w:style w:type="paragraph" w:customStyle="1" w:styleId="465">
    <w:name w:val=" Char4"/>
    <w:basedOn w:val="1"/>
    <w:qFormat/>
    <w:uiPriority w:val="0"/>
    <w:pPr>
      <w:spacing w:line="360" w:lineRule="auto"/>
    </w:pPr>
    <w:rPr>
      <w:rFonts w:ascii="宋体" w:hAnsi="宋体"/>
      <w:sz w:val="24"/>
    </w:rPr>
  </w:style>
  <w:style w:type="paragraph" w:customStyle="1" w:styleId="466">
    <w:name w:val="样式 四号 首行缩进:  0.85 厘米"/>
    <w:basedOn w:val="1"/>
    <w:qFormat/>
    <w:uiPriority w:val="0"/>
    <w:pPr>
      <w:adjustRightInd w:val="0"/>
      <w:spacing w:line="360" w:lineRule="auto"/>
      <w:ind w:firstLine="200" w:firstLineChars="200"/>
    </w:pPr>
    <w:rPr>
      <w:rFonts w:ascii="Times New Roman" w:hAnsi="Times New Roman"/>
      <w:sz w:val="28"/>
    </w:rPr>
  </w:style>
  <w:style w:type="paragraph" w:customStyle="1" w:styleId="467">
    <w:name w:val="xl28"/>
    <w:basedOn w:val="1"/>
    <w:qFormat/>
    <w:uiPriority w:val="0"/>
    <w:pPr>
      <w:widowControl/>
      <w:pBdr>
        <w:left w:val="single" w:color="auto" w:sz="8" w:space="0"/>
        <w:bottom w:val="single" w:color="auto" w:sz="8" w:space="0"/>
        <w:right w:val="single" w:color="auto" w:sz="8" w:space="0"/>
      </w:pBdr>
      <w:spacing w:before="100" w:beforeLines="0" w:beforeAutospacing="1" w:after="100" w:afterLines="0" w:afterAutospacing="1"/>
      <w:jc w:val="center"/>
    </w:pPr>
    <w:rPr>
      <w:rFonts w:ascii="宋体" w:hAnsi="宋体"/>
      <w:color w:val="339966"/>
      <w:kern w:val="0"/>
      <w:sz w:val="18"/>
    </w:rPr>
  </w:style>
  <w:style w:type="paragraph" w:customStyle="1" w:styleId="468">
    <w:name w:val="Char Char Char Char Char Char Char Char Char1 Char Char Char Char"/>
    <w:basedOn w:val="1"/>
    <w:qFormat/>
    <w:uiPriority w:val="0"/>
    <w:pPr>
      <w:spacing w:line="360" w:lineRule="auto"/>
      <w:ind w:firstLine="200" w:firstLineChars="200"/>
    </w:pPr>
    <w:rPr>
      <w:rFonts w:ascii="宋体" w:hAnsi="宋体"/>
      <w:sz w:val="24"/>
    </w:rPr>
  </w:style>
  <w:style w:type="paragraph" w:customStyle="1" w:styleId="469">
    <w:name w:val="样式 样式 标题 2标题 1.1节标题节标题 1.1标题 yjm2第一章 标题 2Heading 2 HiddenHea...1..."/>
    <w:basedOn w:val="426"/>
    <w:qFormat/>
    <w:uiPriority w:val="0"/>
  </w:style>
  <w:style w:type="paragraph" w:customStyle="1" w:styleId="470">
    <w:name w:val="xl22"/>
    <w:basedOn w:val="1"/>
    <w:qFormat/>
    <w:uiPriority w:val="0"/>
    <w:pPr>
      <w:widowControl/>
      <w:spacing w:before="100" w:beforeLines="0" w:beforeAutospacing="1" w:after="100" w:afterLines="0" w:afterAutospacing="1"/>
      <w:jc w:val="center"/>
    </w:pPr>
    <w:rPr>
      <w:rFonts w:ascii="Arial Unicode MS" w:hAnsi="Arial Unicode MS" w:eastAsia="Arial Unicode MS"/>
      <w:kern w:val="0"/>
      <w:sz w:val="24"/>
    </w:rPr>
  </w:style>
  <w:style w:type="paragraph" w:customStyle="1" w:styleId="471">
    <w:name w:val="修订"/>
    <w:qFormat/>
    <w:uiPriority w:val="0"/>
    <w:rPr>
      <w:rFonts w:ascii="Times New Roman" w:hAnsi="Times New Roman" w:eastAsia="宋体" w:cs="Times New Roman"/>
      <w:kern w:val="2"/>
      <w:sz w:val="21"/>
      <w:lang w:val="en-US" w:eastAsia="zh-CN"/>
    </w:rPr>
  </w:style>
  <w:style w:type="paragraph" w:customStyle="1" w:styleId="472">
    <w:name w:val="样式 标题 2节标题 1.1 + 非加粗"/>
    <w:basedOn w:val="11"/>
    <w:next w:val="11"/>
    <w:qFormat/>
    <w:uiPriority w:val="0"/>
    <w:pPr>
      <w:tabs>
        <w:tab w:val="left" w:pos="794"/>
      </w:tabs>
      <w:snapToGrid w:val="0"/>
      <w:spacing w:before="120" w:beforeLines="0" w:beforeAutospacing="0" w:after="0" w:afterLines="0" w:afterAutospacing="0" w:line="520" w:lineRule="exact"/>
      <w:ind w:left="794" w:hanging="794"/>
    </w:pPr>
    <w:rPr>
      <w:rFonts w:ascii="Times New Roman" w:hAnsi="Times New Roman" w:eastAsia="仿宋_GB2312"/>
      <w:b w:val="0"/>
      <w:snapToGrid w:val="0"/>
      <w:kern w:val="0"/>
      <w:sz w:val="28"/>
    </w:rPr>
  </w:style>
  <w:style w:type="paragraph" w:customStyle="1" w:styleId="473">
    <w:name w:val="样式 题注 + (西文) Times New Roman (中文) 宋体 五号 段前: 0 磅 段后: 0 磅 行距:...1"/>
    <w:basedOn w:val="25"/>
    <w:qFormat/>
    <w:uiPriority w:val="0"/>
    <w:pPr>
      <w:pageBreakBefore w:val="0"/>
      <w:widowControl/>
      <w:adjustRightInd/>
      <w:snapToGrid/>
      <w:spacing w:line="490" w:lineRule="exact"/>
      <w:ind w:firstLine="0" w:firstLineChars="0"/>
      <w:jc w:val="both"/>
    </w:pPr>
    <w:rPr>
      <w:rFonts w:eastAsia="宋体"/>
      <w:b/>
      <w:color w:val="000000"/>
      <w:sz w:val="21"/>
    </w:rPr>
  </w:style>
  <w:style w:type="paragraph" w:customStyle="1" w:styleId="474">
    <w:name w:val="样式 首行缩进:  2 字符 行距: 固定值 24.5 磅"/>
    <w:basedOn w:val="1"/>
    <w:qFormat/>
    <w:uiPriority w:val="0"/>
    <w:pPr>
      <w:widowControl/>
      <w:spacing w:line="360" w:lineRule="auto"/>
      <w:ind w:firstLine="200" w:firstLineChars="200"/>
    </w:pPr>
    <w:rPr>
      <w:rFonts w:ascii="Times New Roman" w:hAnsi="Times New Roman"/>
      <w:kern w:val="0"/>
      <w:sz w:val="24"/>
    </w:rPr>
  </w:style>
  <w:style w:type="paragraph" w:customStyle="1" w:styleId="475">
    <w:name w:val="支标题 a)"/>
    <w:basedOn w:val="1"/>
    <w:next w:val="1"/>
    <w:qFormat/>
    <w:uiPriority w:val="0"/>
    <w:pPr>
      <w:tabs>
        <w:tab w:val="left" w:pos="510"/>
        <w:tab w:val="left" w:pos="1097"/>
      </w:tabs>
      <w:adjustRightInd w:val="0"/>
      <w:spacing w:before="120" w:beforeLines="0" w:beforeAutospacing="0" w:after="120" w:afterLines="0" w:afterAutospacing="0" w:line="460" w:lineRule="exact"/>
      <w:ind w:left="284" w:firstLine="453"/>
      <w:textAlignment w:val="baseline"/>
    </w:pPr>
    <w:rPr>
      <w:rFonts w:ascii="Times New Roman" w:hAnsi="Times New Roman"/>
      <w:kern w:val="0"/>
      <w:sz w:val="24"/>
    </w:rPr>
  </w:style>
  <w:style w:type="paragraph" w:customStyle="1" w:styleId="476">
    <w:name w:val=" Char6"/>
    <w:basedOn w:val="1"/>
    <w:qFormat/>
    <w:uiPriority w:val="0"/>
    <w:pPr>
      <w:spacing w:line="360" w:lineRule="auto"/>
      <w:ind w:firstLine="200" w:firstLineChars="200"/>
    </w:pPr>
    <w:rPr>
      <w:rFonts w:ascii="宋体" w:hAnsi="宋体"/>
      <w:sz w:val="24"/>
    </w:rPr>
  </w:style>
  <w:style w:type="paragraph" w:customStyle="1" w:styleId="477">
    <w:name w:val="xl70"/>
    <w:basedOn w:val="1"/>
    <w:qFormat/>
    <w:uiPriority w:val="0"/>
    <w:pPr>
      <w:widowControl/>
      <w:pBdr>
        <w:bottom w:val="single" w:color="auto" w:sz="8" w:space="0"/>
        <w:right w:val="single" w:color="auto" w:sz="8" w:space="0"/>
      </w:pBdr>
      <w:spacing w:before="100" w:beforeLines="0" w:beforeAutospacing="1" w:after="100" w:afterLines="0" w:afterAutospacing="1"/>
      <w:jc w:val="center"/>
    </w:pPr>
    <w:rPr>
      <w:rFonts w:ascii="宋体" w:hAnsi="宋体"/>
      <w:color w:val="800000"/>
      <w:kern w:val="0"/>
    </w:rPr>
  </w:style>
  <w:style w:type="paragraph" w:customStyle="1" w:styleId="478">
    <w:name w:val="标题 4.tx"/>
    <w:basedOn w:val="1"/>
    <w:qFormat/>
    <w:uiPriority w:val="0"/>
    <w:pPr>
      <w:keepNext/>
      <w:keepLines/>
      <w:spacing w:before="120" w:beforeLines="0" w:beforeAutospacing="0" w:after="120" w:afterLines="0" w:afterAutospacing="0" w:line="520" w:lineRule="exact"/>
      <w:outlineLvl w:val="3"/>
    </w:pPr>
    <w:rPr>
      <w:rFonts w:ascii="Times New Roman" w:hAnsi="Times New Roman"/>
      <w:spacing w:val="8"/>
      <w:sz w:val="28"/>
    </w:rPr>
  </w:style>
  <w:style w:type="paragraph" w:customStyle="1" w:styleId="479">
    <w:name w:val="Date"/>
    <w:basedOn w:val="1"/>
    <w:next w:val="1"/>
    <w:qFormat/>
    <w:uiPriority w:val="0"/>
    <w:pPr>
      <w:adjustRightInd w:val="0"/>
    </w:pPr>
    <w:rPr>
      <w:rFonts w:ascii="Times New Roman" w:hAnsi="Times New Roman"/>
      <w:sz w:val="28"/>
    </w:rPr>
  </w:style>
  <w:style w:type="paragraph" w:customStyle="1" w:styleId="480">
    <w:name w:val="样式 正文缩进s4正文缩进 Chars4 Char标题4表正文正文非缩进图标题文本正文不缩进 + 行距: 1...."/>
    <w:basedOn w:val="24"/>
    <w:qFormat/>
    <w:uiPriority w:val="0"/>
    <w:pPr>
      <w:adjustRightInd w:val="0"/>
      <w:snapToGrid w:val="0"/>
      <w:spacing w:line="360" w:lineRule="auto"/>
      <w:ind w:firstLine="851" w:firstLineChars="0"/>
      <w:outlineLvl w:val="3"/>
    </w:pPr>
    <w:rPr>
      <w:rFonts w:ascii="Times New Roman" w:hAnsi="宋体"/>
      <w:b/>
      <w:color w:val="FF0000"/>
      <w:sz w:val="24"/>
    </w:rPr>
  </w:style>
  <w:style w:type="paragraph" w:customStyle="1" w:styleId="481">
    <w:name w:val="默认段落字体 Para Char"/>
    <w:basedOn w:val="1"/>
    <w:qFormat/>
    <w:uiPriority w:val="0"/>
    <w:pPr>
      <w:spacing w:line="360" w:lineRule="auto"/>
    </w:pPr>
    <w:rPr>
      <w:rFonts w:ascii="Tahoma" w:hAnsi="Tahoma"/>
      <w:sz w:val="24"/>
    </w:rPr>
  </w:style>
  <w:style w:type="paragraph" w:customStyle="1" w:styleId="482">
    <w:name w:val="Char Char Char1 Char Char Char Char Char Char Char Char Char"/>
    <w:basedOn w:val="1"/>
    <w:qFormat/>
    <w:uiPriority w:val="0"/>
    <w:pPr>
      <w:adjustRightInd w:val="0"/>
      <w:snapToGrid w:val="0"/>
      <w:spacing w:line="360" w:lineRule="auto"/>
      <w:jc w:val="left"/>
    </w:pPr>
    <w:rPr>
      <w:rFonts w:ascii="宋体" w:hAnsi="宋体"/>
      <w:sz w:val="24"/>
    </w:rPr>
  </w:style>
  <w:style w:type="paragraph" w:customStyle="1" w:styleId="483">
    <w:name w:val=" Char Char Char Char Char Char Char Char Char"/>
    <w:basedOn w:val="1"/>
    <w:qFormat/>
    <w:uiPriority w:val="0"/>
    <w:rPr>
      <w:rFonts w:ascii="Times New Roman" w:hAnsi="Times New Roman"/>
    </w:rPr>
  </w:style>
  <w:style w:type="paragraph" w:customStyle="1" w:styleId="484">
    <w:name w:val="xl90"/>
    <w:basedOn w:val="1"/>
    <w:qFormat/>
    <w:uiPriority w:val="0"/>
    <w:pPr>
      <w:widowControl/>
      <w:pBdr>
        <w:top w:val="single" w:color="auto" w:sz="8" w:space="0"/>
      </w:pBdr>
      <w:spacing w:before="100" w:beforeLines="0" w:beforeAutospacing="1" w:after="100" w:afterLines="0" w:afterAutospacing="1"/>
      <w:jc w:val="left"/>
    </w:pPr>
    <w:rPr>
      <w:rFonts w:ascii="宋体" w:hAnsi="宋体"/>
      <w:color w:val="0000FF"/>
      <w:kern w:val="0"/>
      <w:sz w:val="18"/>
    </w:rPr>
  </w:style>
  <w:style w:type="paragraph" w:customStyle="1" w:styleId="485">
    <w:name w:val="6 Char Char Char Char Char Char Char Char Char Char"/>
    <w:basedOn w:val="1"/>
    <w:qFormat/>
    <w:uiPriority w:val="0"/>
    <w:pPr>
      <w:spacing w:line="360" w:lineRule="auto"/>
      <w:ind w:firstLine="200" w:firstLineChars="200"/>
    </w:pPr>
    <w:rPr>
      <w:rFonts w:ascii="宋体" w:hAnsi="宋体"/>
      <w:sz w:val="24"/>
    </w:rPr>
  </w:style>
  <w:style w:type="paragraph" w:customStyle="1" w:styleId="486">
    <w:name w:val="xl45"/>
    <w:basedOn w:val="1"/>
    <w:qFormat/>
    <w:uiPriority w:val="0"/>
    <w:pPr>
      <w:widowControl/>
      <w:pBdr>
        <w:top w:val="single" w:color="auto" w:sz="8" w:space="0"/>
        <w:left w:val="single" w:color="auto" w:sz="8" w:space="0"/>
        <w:bottom w:val="single" w:color="auto" w:sz="8" w:space="0"/>
      </w:pBdr>
      <w:spacing w:before="100" w:beforeLines="0" w:beforeAutospacing="1" w:after="100" w:afterLines="0" w:afterAutospacing="1"/>
      <w:jc w:val="center"/>
    </w:pPr>
    <w:rPr>
      <w:rFonts w:ascii="宋体" w:hAnsi="宋体"/>
      <w:color w:val="000000"/>
      <w:kern w:val="0"/>
    </w:rPr>
  </w:style>
  <w:style w:type="paragraph" w:customStyle="1" w:styleId="487">
    <w:name w:val="样式 表格 + 两端对齐"/>
    <w:basedOn w:val="194"/>
    <w:qFormat/>
    <w:uiPriority w:val="0"/>
    <w:pPr>
      <w:adjustRightInd w:val="0"/>
      <w:snapToGrid w:val="0"/>
      <w:spacing w:before="100" w:beforeLines="0" w:beforeAutospacing="1" w:after="100" w:afterLines="0" w:afterAutospacing="1" w:line="300" w:lineRule="exact"/>
      <w:ind w:left="560" w:leftChars="200" w:rightChars="-50"/>
    </w:pPr>
    <w:rPr>
      <w:rFonts w:ascii="Arial" w:hAnsi="Arial"/>
      <w:color w:val="000000"/>
      <w:lang w:val="en-GB"/>
    </w:rPr>
  </w:style>
  <w:style w:type="paragraph" w:customStyle="1" w:styleId="488">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pPr>
    <w:rPr>
      <w:rFonts w:ascii="宋体" w:hAnsi="宋体"/>
      <w:color w:val="FF0000"/>
      <w:kern w:val="0"/>
      <w:sz w:val="18"/>
    </w:rPr>
  </w:style>
  <w:style w:type="paragraph" w:customStyle="1" w:styleId="489">
    <w:name w:val="样式 题注 + 首行缩进:  2 字符"/>
    <w:basedOn w:val="25"/>
    <w:qFormat/>
    <w:uiPriority w:val="0"/>
    <w:pPr>
      <w:pageBreakBefore w:val="0"/>
      <w:widowControl/>
      <w:adjustRightInd/>
      <w:snapToGrid/>
      <w:spacing w:line="240" w:lineRule="auto"/>
      <w:ind w:firstLine="0" w:firstLineChars="0"/>
      <w:jc w:val="both"/>
    </w:pPr>
    <w:rPr>
      <w:rFonts w:ascii="宋体" w:hAnsi="宋体" w:eastAsia="宋体"/>
      <w:b/>
      <w:color w:val="000000"/>
      <w:sz w:val="21"/>
    </w:rPr>
  </w:style>
  <w:style w:type="paragraph" w:customStyle="1" w:styleId="490">
    <w:name w:val="xl29"/>
    <w:basedOn w:val="1"/>
    <w:qFormat/>
    <w:uiPriority w:val="0"/>
    <w:pPr>
      <w:widowControl/>
      <w:pBdr>
        <w:bottom w:val="single" w:color="auto" w:sz="8" w:space="0"/>
        <w:right w:val="single" w:color="auto" w:sz="8" w:space="0"/>
      </w:pBdr>
      <w:spacing w:before="100" w:beforeLines="0" w:beforeAutospacing="1" w:after="100" w:afterLines="0" w:afterAutospacing="1"/>
      <w:jc w:val="center"/>
    </w:pPr>
    <w:rPr>
      <w:rFonts w:ascii="Times New Roman" w:hAnsi="Times New Roman"/>
      <w:kern w:val="0"/>
      <w:sz w:val="18"/>
    </w:rPr>
  </w:style>
  <w:style w:type="paragraph" w:customStyle="1" w:styleId="491">
    <w:name w:val="02"/>
    <w:basedOn w:val="1"/>
    <w:qFormat/>
    <w:uiPriority w:val="0"/>
    <w:pPr>
      <w:keepNext/>
      <w:keepLines/>
      <w:spacing w:before="100" w:beforeLines="0" w:beforeAutospacing="0" w:line="360" w:lineRule="auto"/>
      <w:outlineLvl w:val="0"/>
    </w:pPr>
    <w:rPr>
      <w:rFonts w:ascii="Times New Roman" w:hAnsi="Times New Roman" w:eastAsia="黑体"/>
      <w:color w:val="333333"/>
      <w:sz w:val="24"/>
    </w:rPr>
  </w:style>
  <w:style w:type="paragraph" w:customStyle="1" w:styleId="492">
    <w:name w:val=" Char8 Char Char Char"/>
    <w:basedOn w:val="1"/>
    <w:qFormat/>
    <w:uiPriority w:val="0"/>
    <w:pPr>
      <w:spacing w:line="360" w:lineRule="auto"/>
      <w:ind w:firstLine="200" w:firstLineChars="200"/>
    </w:pPr>
    <w:rPr>
      <w:rFonts w:ascii="宋体" w:hAnsi="宋体"/>
      <w:sz w:val="24"/>
    </w:rPr>
  </w:style>
  <w:style w:type="paragraph" w:customStyle="1" w:styleId="493">
    <w:name w:val="样式 正文文本缩进 + 左侧:  0.98 厘米 首行缩进:  2 字符"/>
    <w:basedOn w:val="38"/>
    <w:qFormat/>
    <w:uiPriority w:val="0"/>
    <w:pPr>
      <w:snapToGrid w:val="0"/>
      <w:spacing w:after="0" w:afterLines="0" w:afterAutospacing="0" w:line="360" w:lineRule="auto"/>
      <w:ind w:left="0" w:leftChars="0" w:firstLine="560" w:firstLineChars="200"/>
      <w:jc w:val="both"/>
      <w:textAlignment w:val="auto"/>
    </w:pPr>
    <w:rPr>
      <w:rFonts w:eastAsia="仿宋_GB2312"/>
      <w:kern w:val="2"/>
      <w:sz w:val="28"/>
    </w:rPr>
  </w:style>
  <w:style w:type="paragraph" w:customStyle="1" w:styleId="494">
    <w:name w:val="font7"/>
    <w:basedOn w:val="1"/>
    <w:qFormat/>
    <w:uiPriority w:val="0"/>
    <w:pPr>
      <w:widowControl/>
      <w:spacing w:before="100" w:beforeLines="0" w:beforeAutospacing="1" w:after="100" w:afterLines="0" w:afterAutospacing="1"/>
      <w:jc w:val="left"/>
    </w:pPr>
    <w:rPr>
      <w:rFonts w:ascii="Times New Roman" w:hAnsi="Times New Roman"/>
      <w:kern w:val="0"/>
      <w:sz w:val="18"/>
    </w:rPr>
  </w:style>
  <w:style w:type="paragraph" w:customStyle="1" w:styleId="495">
    <w:name w:val="样式 标题 22 + 橙色"/>
    <w:basedOn w:val="1"/>
    <w:qFormat/>
    <w:uiPriority w:val="0"/>
    <w:pPr>
      <w:keepNext/>
      <w:keepLines/>
      <w:tabs>
        <w:tab w:val="left" w:pos="786"/>
      </w:tabs>
      <w:adjustRightInd w:val="0"/>
      <w:snapToGrid w:val="0"/>
      <w:spacing w:before="120" w:beforeLines="0" w:beforeAutospacing="0" w:line="360" w:lineRule="auto"/>
      <w:ind w:left="786" w:hanging="576"/>
      <w:outlineLvl w:val="1"/>
    </w:pPr>
    <w:rPr>
      <w:rFonts w:ascii="Arial" w:hAnsi="Arial" w:eastAsia="黑体"/>
      <w:color w:val="FF6600"/>
      <w:sz w:val="32"/>
    </w:rPr>
  </w:style>
  <w:style w:type="paragraph" w:customStyle="1" w:styleId="496">
    <w:name w:val="xl82"/>
    <w:basedOn w:val="1"/>
    <w:qFormat/>
    <w:uiPriority w:val="0"/>
    <w:pPr>
      <w:widowControl/>
      <w:pBdr>
        <w:top w:val="single" w:color="auto" w:sz="8" w:space="0"/>
        <w:bottom w:val="single" w:color="auto" w:sz="8" w:space="0"/>
        <w:right w:val="single" w:color="auto" w:sz="8" w:space="0"/>
      </w:pBdr>
      <w:spacing w:before="100" w:beforeLines="0" w:beforeAutospacing="1" w:after="100" w:afterLines="0" w:afterAutospacing="1"/>
      <w:jc w:val="center"/>
    </w:pPr>
    <w:rPr>
      <w:rFonts w:ascii="Arial" w:hAnsi="Arial"/>
      <w:b/>
      <w:color w:val="993366"/>
      <w:kern w:val="0"/>
      <w:sz w:val="18"/>
    </w:rPr>
  </w:style>
  <w:style w:type="paragraph" w:customStyle="1" w:styleId="497">
    <w:name w:val="font15"/>
    <w:basedOn w:val="1"/>
    <w:qFormat/>
    <w:uiPriority w:val="0"/>
    <w:pPr>
      <w:widowControl/>
      <w:spacing w:before="100" w:beforeLines="0" w:beforeAutospacing="1" w:after="100" w:afterLines="0" w:afterAutospacing="1"/>
      <w:jc w:val="left"/>
    </w:pPr>
    <w:rPr>
      <w:rFonts w:ascii="Arial" w:hAnsi="Arial"/>
      <w:color w:val="000000"/>
      <w:kern w:val="0"/>
      <w:sz w:val="20"/>
    </w:rPr>
  </w:style>
  <w:style w:type="paragraph" w:customStyle="1" w:styleId="498">
    <w:name w:val="xl26"/>
    <w:basedOn w:val="1"/>
    <w:qFormat/>
    <w:uiPriority w:val="0"/>
    <w:pPr>
      <w:widowControl/>
      <w:pBdr>
        <w:right w:val="single" w:color="auto" w:sz="4" w:space="0"/>
      </w:pBdr>
      <w:spacing w:before="100" w:beforeLines="0" w:beforeAutospacing="0" w:after="100" w:afterLines="0" w:afterAutospacing="0"/>
      <w:jc w:val="center"/>
      <w:textAlignment w:val="top"/>
    </w:pPr>
    <w:rPr>
      <w:rFonts w:ascii="宋体" w:hAnsi="宋体"/>
      <w:kern w:val="0"/>
    </w:rPr>
  </w:style>
  <w:style w:type="paragraph" w:customStyle="1" w:styleId="499">
    <w:name w:val="发文正文"/>
    <w:basedOn w:val="1"/>
    <w:qFormat/>
    <w:uiPriority w:val="0"/>
    <w:pPr>
      <w:snapToGrid w:val="0"/>
      <w:spacing w:line="336" w:lineRule="auto"/>
      <w:ind w:firstLine="640" w:firstLineChars="200"/>
    </w:pPr>
    <w:rPr>
      <w:rFonts w:ascii="仿宋_GB2312" w:hAnsi="Times New Roman" w:eastAsia="仿宋_GB2312"/>
      <w:sz w:val="32"/>
    </w:rPr>
  </w:style>
  <w:style w:type="paragraph" w:customStyle="1" w:styleId="500">
    <w:name w:val="Char Char Char Char"/>
    <w:basedOn w:val="1"/>
    <w:qFormat/>
    <w:uiPriority w:val="0"/>
    <w:rPr>
      <w:rFonts w:ascii="Times New Roman" w:hAnsi="Times New Roman"/>
    </w:rPr>
  </w:style>
  <w:style w:type="paragraph" w:customStyle="1" w:styleId="501">
    <w:name w:val="样式 表 + 首行缩进:  2 字符"/>
    <w:basedOn w:val="248"/>
    <w:qFormat/>
    <w:uiPriority w:val="0"/>
  </w:style>
  <w:style w:type="paragraph" w:customStyle="1" w:styleId="502">
    <w:name w:val="正文A"/>
    <w:basedOn w:val="1"/>
    <w:qFormat/>
    <w:uiPriority w:val="0"/>
    <w:pPr>
      <w:spacing w:line="500" w:lineRule="exact"/>
      <w:ind w:firstLine="480" w:firstLineChars="200"/>
    </w:pPr>
    <w:rPr>
      <w:rFonts w:ascii="Times New Roman" w:hAnsi="Times New Roman"/>
      <w:sz w:val="24"/>
      <w:szCs w:val="24"/>
    </w:rPr>
  </w:style>
  <w:style w:type="paragraph" w:customStyle="1" w:styleId="503">
    <w:name w:val="表格（六号）"/>
    <w:basedOn w:val="1"/>
    <w:next w:val="24"/>
    <w:qFormat/>
    <w:uiPriority w:val="0"/>
    <w:pPr>
      <w:spacing w:line="315" w:lineRule="exact"/>
      <w:jc w:val="center"/>
    </w:pPr>
    <w:rPr>
      <w:rFonts w:ascii="宋体" w:hAnsi="宋体"/>
      <w:kern w:val="0"/>
      <w:sz w:val="15"/>
    </w:rPr>
  </w:style>
  <w:style w:type="paragraph" w:customStyle="1" w:styleId="504">
    <w:name w:val="CM45"/>
    <w:basedOn w:val="92"/>
    <w:next w:val="92"/>
    <w:qFormat/>
    <w:uiPriority w:val="0"/>
    <w:rPr>
      <w:rFonts w:ascii="Arial" w:hAnsi="Arial"/>
      <w:color w:val="auto"/>
    </w:rPr>
  </w:style>
  <w:style w:type="paragraph" w:customStyle="1" w:styleId="505">
    <w:name w:val=" Char4 Char Char Char Char Char Char1"/>
    <w:basedOn w:val="1"/>
    <w:qFormat/>
    <w:uiPriority w:val="0"/>
    <w:pPr>
      <w:spacing w:line="360" w:lineRule="auto"/>
      <w:ind w:firstLine="200" w:firstLineChars="200"/>
    </w:pPr>
    <w:rPr>
      <w:rFonts w:ascii="宋体" w:hAnsi="宋体"/>
      <w:sz w:val="24"/>
    </w:rPr>
  </w:style>
  <w:style w:type="paragraph" w:customStyle="1" w:styleId="506">
    <w:name w:val="6 Char Char Char Char Char Char1 Char Char Char Char Char Char Char Char Char Char"/>
    <w:basedOn w:val="1"/>
    <w:qFormat/>
    <w:uiPriority w:val="0"/>
    <w:rPr>
      <w:rFonts w:ascii="Times New Roman" w:hAnsi="Times New Roman"/>
    </w:rPr>
  </w:style>
  <w:style w:type="paragraph" w:customStyle="1" w:styleId="507">
    <w:name w:val=" Char Char3 Char Char Char Char"/>
    <w:basedOn w:val="1"/>
    <w:qFormat/>
    <w:uiPriority w:val="0"/>
    <w:pPr>
      <w:spacing w:line="360" w:lineRule="auto"/>
      <w:ind w:firstLine="200" w:firstLineChars="200"/>
    </w:pPr>
    <w:rPr>
      <w:rFonts w:ascii="Times New Roman" w:hAnsi="Times New Roman"/>
      <w:kern w:val="0"/>
      <w:sz w:val="24"/>
    </w:rPr>
  </w:style>
  <w:style w:type="paragraph" w:customStyle="1" w:styleId="508">
    <w:name w:val="样式 四号"/>
    <w:basedOn w:val="1"/>
    <w:qFormat/>
    <w:uiPriority w:val="0"/>
    <w:pPr>
      <w:adjustRightInd w:val="0"/>
      <w:snapToGrid w:val="0"/>
      <w:spacing w:line="440" w:lineRule="atLeast"/>
    </w:pPr>
    <w:rPr>
      <w:rFonts w:ascii="宋体" w:hAnsi="宋体"/>
      <w:snapToGrid w:val="0"/>
      <w:color w:val="000080"/>
      <w:kern w:val="0"/>
      <w:sz w:val="24"/>
    </w:rPr>
  </w:style>
  <w:style w:type="paragraph" w:customStyle="1" w:styleId="509">
    <w:name w:val="默认段落字体 Para Char Char Char Char"/>
    <w:basedOn w:val="1"/>
    <w:qFormat/>
    <w:uiPriority w:val="0"/>
    <w:rPr>
      <w:rFonts w:ascii="Times New Roman" w:hAnsi="Times New Roman"/>
    </w:rPr>
  </w:style>
  <w:style w:type="paragraph" w:customStyle="1" w:styleId="510">
    <w:name w:val="font14"/>
    <w:basedOn w:val="1"/>
    <w:qFormat/>
    <w:uiPriority w:val="0"/>
    <w:pPr>
      <w:widowControl/>
      <w:spacing w:before="100" w:beforeLines="0" w:beforeAutospacing="1" w:after="100" w:afterLines="0" w:afterAutospacing="1"/>
      <w:jc w:val="left"/>
    </w:pPr>
    <w:rPr>
      <w:rFonts w:ascii="Arial" w:hAnsi="Arial"/>
      <w:color w:val="000000"/>
      <w:kern w:val="0"/>
      <w:sz w:val="18"/>
    </w:rPr>
  </w:style>
  <w:style w:type="paragraph" w:customStyle="1" w:styleId="511">
    <w:name w:val="A2"/>
    <w:basedOn w:val="3"/>
    <w:qFormat/>
    <w:uiPriority w:val="0"/>
    <w:pPr>
      <w:tabs>
        <w:tab w:val="left" w:pos="425"/>
        <w:tab w:val="left" w:pos="525"/>
      </w:tabs>
      <w:snapToGrid w:val="0"/>
      <w:spacing w:before="0" w:beforeLines="0" w:beforeAutospacing="0" w:after="0" w:afterLines="0" w:afterAutospacing="0" w:line="360" w:lineRule="auto"/>
      <w:ind w:left="425" w:hanging="425"/>
    </w:pPr>
    <w:rPr>
      <w:rFonts w:ascii="黑体" w:hAnsi="Times New Roman" w:eastAsia="黑体"/>
      <w:sz w:val="32"/>
    </w:rPr>
  </w:style>
  <w:style w:type="paragraph" w:customStyle="1" w:styleId="512">
    <w:name w:val="xl79"/>
    <w:basedOn w:val="1"/>
    <w:qFormat/>
    <w:uiPriority w:val="0"/>
    <w:pPr>
      <w:widowControl/>
      <w:pBdr>
        <w:top w:val="single" w:color="auto" w:sz="8" w:space="0"/>
        <w:bottom w:val="single" w:color="auto" w:sz="8" w:space="0"/>
      </w:pBdr>
      <w:shd w:val="clear" w:color="000000" w:fill="00FFFF"/>
      <w:spacing w:before="100" w:beforeLines="0" w:beforeAutospacing="1" w:after="100" w:afterLines="0" w:afterAutospacing="1"/>
      <w:jc w:val="center"/>
    </w:pPr>
    <w:rPr>
      <w:rFonts w:ascii="宋体" w:hAnsi="宋体"/>
      <w:color w:val="000000"/>
      <w:kern w:val="0"/>
      <w:sz w:val="18"/>
    </w:rPr>
  </w:style>
  <w:style w:type="paragraph" w:customStyle="1" w:styleId="513">
    <w:name w:val="xl46"/>
    <w:basedOn w:val="1"/>
    <w:qFormat/>
    <w:uiPriority w:val="0"/>
    <w:pPr>
      <w:widowControl/>
      <w:pBdr>
        <w:top w:val="single" w:color="auto" w:sz="8" w:space="0"/>
        <w:bottom w:val="single" w:color="auto" w:sz="8" w:space="0"/>
        <w:right w:val="single" w:color="auto" w:sz="8" w:space="0"/>
      </w:pBdr>
      <w:spacing w:before="100" w:beforeLines="0" w:beforeAutospacing="1" w:after="100" w:afterLines="0" w:afterAutospacing="1"/>
      <w:jc w:val="center"/>
    </w:pPr>
    <w:rPr>
      <w:rFonts w:ascii="宋体" w:hAnsi="宋体"/>
      <w:color w:val="000000"/>
      <w:kern w:val="0"/>
    </w:rPr>
  </w:style>
  <w:style w:type="paragraph" w:customStyle="1" w:styleId="514">
    <w:name w:val="表格1"/>
    <w:basedOn w:val="1"/>
    <w:qFormat/>
    <w:uiPriority w:val="0"/>
    <w:pPr>
      <w:adjustRightInd w:val="0"/>
      <w:spacing w:before="160" w:beforeLines="0" w:beforeAutospacing="0" w:line="400" w:lineRule="exact"/>
      <w:textAlignment w:val="baseline"/>
    </w:pPr>
    <w:rPr>
      <w:rFonts w:ascii="仿宋_GB2312" w:hAnsi="Times New Roman"/>
      <w:spacing w:val="20"/>
      <w:kern w:val="0"/>
      <w:sz w:val="24"/>
    </w:rPr>
  </w:style>
  <w:style w:type="paragraph" w:customStyle="1" w:styleId="515">
    <w:name w:val="样式 首行缩进:  2 字符"/>
    <w:basedOn w:val="1"/>
    <w:qFormat/>
    <w:uiPriority w:val="0"/>
    <w:pPr>
      <w:spacing w:line="360" w:lineRule="auto"/>
      <w:ind w:firstLine="200" w:firstLineChars="200"/>
    </w:pPr>
    <w:rPr>
      <w:rFonts w:ascii="Times New Roman" w:hAnsi="Times New Roman"/>
      <w:sz w:val="24"/>
    </w:rPr>
  </w:style>
  <w:style w:type="paragraph" w:customStyle="1" w:styleId="516">
    <w:name w:val=" Char Char Char Char Char Char"/>
    <w:basedOn w:val="1"/>
    <w:qFormat/>
    <w:uiPriority w:val="0"/>
    <w:rPr>
      <w:rFonts w:ascii="Times New Roman" w:hAnsi="Times New Roman"/>
    </w:rPr>
  </w:style>
  <w:style w:type="paragraph" w:customStyle="1" w:styleId="517">
    <w:name w:val="标题 3.tx"/>
    <w:basedOn w:val="11"/>
    <w:qFormat/>
    <w:uiPriority w:val="0"/>
    <w:pPr>
      <w:spacing w:before="120" w:beforeLines="0" w:beforeAutospacing="0" w:after="120" w:afterLines="0" w:afterAutospacing="0" w:line="520" w:lineRule="exact"/>
    </w:pPr>
    <w:rPr>
      <w:rFonts w:ascii="Times New Roman" w:hAnsi="Times New Roman"/>
      <w:spacing w:val="8"/>
      <w:sz w:val="28"/>
    </w:rPr>
  </w:style>
  <w:style w:type="paragraph" w:customStyle="1" w:styleId="518">
    <w:name w:val="Char1 Char Char Char Char Char Char Char Char Char"/>
    <w:basedOn w:val="1"/>
    <w:qFormat/>
    <w:uiPriority w:val="0"/>
    <w:pPr>
      <w:spacing w:line="360" w:lineRule="auto"/>
    </w:pPr>
    <w:rPr>
      <w:rFonts w:ascii="宋体" w:hAnsi="宋体"/>
      <w:sz w:val="24"/>
    </w:rPr>
  </w:style>
  <w:style w:type="paragraph" w:customStyle="1" w:styleId="519">
    <w:name w:val="样式 标题 3条标题1.1.13h33rd levelH3l3CT1.1.1段物探标题3 Char Char..."/>
    <w:basedOn w:val="11"/>
    <w:qFormat/>
    <w:uiPriority w:val="0"/>
    <w:pPr>
      <w:keepNext w:val="0"/>
      <w:keepLines w:val="0"/>
      <w:numPr>
        <w:ilvl w:val="2"/>
        <w:numId w:val="0"/>
      </w:numPr>
      <w:adjustRightInd w:val="0"/>
      <w:snapToGrid w:val="0"/>
      <w:spacing w:before="156" w:beforeLines="50" w:beforeAutospacing="0" w:after="0" w:afterLines="0" w:afterAutospacing="0" w:line="360" w:lineRule="auto"/>
    </w:pPr>
    <w:rPr>
      <w:rFonts w:ascii="Arial" w:hAnsi="Arial"/>
      <w:color w:val="FF6600"/>
      <w:sz w:val="30"/>
    </w:rPr>
  </w:style>
  <w:style w:type="paragraph" w:customStyle="1" w:styleId="520">
    <w:name w:val="样式 标题 3条标题1.1.1 + 段前: 0.5 行 段后: 0.5 行"/>
    <w:basedOn w:val="11"/>
    <w:qFormat/>
    <w:uiPriority w:val="0"/>
    <w:pPr>
      <w:keepNext w:val="0"/>
      <w:keepLines w:val="0"/>
      <w:numPr>
        <w:ilvl w:val="2"/>
        <w:numId w:val="0"/>
      </w:numPr>
      <w:tabs>
        <w:tab w:val="left" w:pos="1080"/>
      </w:tabs>
      <w:adjustRightInd w:val="0"/>
      <w:snapToGrid w:val="0"/>
      <w:spacing w:before="156" w:beforeLines="50" w:beforeAutospacing="0" w:after="156" w:afterLines="50" w:afterAutospacing="0" w:line="520" w:lineRule="exact"/>
      <w:jc w:val="left"/>
      <w:textAlignment w:val="baseline"/>
    </w:pPr>
    <w:rPr>
      <w:rFonts w:ascii="宋体" w:hAnsi="宋体"/>
      <w:kern w:val="0"/>
      <w:sz w:val="28"/>
    </w:rPr>
  </w:style>
  <w:style w:type="paragraph" w:customStyle="1" w:styleId="521">
    <w:name w:val="表小四中"/>
    <w:basedOn w:val="1"/>
    <w:qFormat/>
    <w:uiPriority w:val="0"/>
    <w:pPr>
      <w:tabs>
        <w:tab w:val="left" w:pos="580"/>
      </w:tabs>
      <w:adjustRightInd w:val="0"/>
      <w:snapToGrid w:val="0"/>
      <w:jc w:val="center"/>
    </w:pPr>
    <w:rPr>
      <w:rFonts w:ascii="Times New Roman" w:hAnsi="Times New Roman"/>
      <w:sz w:val="24"/>
    </w:rPr>
  </w:style>
  <w:style w:type="paragraph" w:customStyle="1" w:styleId="522">
    <w:name w:val="段落4"/>
    <w:basedOn w:val="1"/>
    <w:qFormat/>
    <w:uiPriority w:val="0"/>
    <w:pPr>
      <w:spacing w:line="360" w:lineRule="auto"/>
      <w:ind w:firstLine="200" w:firstLineChars="200"/>
    </w:pPr>
    <w:rPr>
      <w:rFonts w:ascii="宋体" w:hAnsi="宋体"/>
      <w:sz w:val="24"/>
    </w:rPr>
  </w:style>
  <w:style w:type="paragraph" w:customStyle="1" w:styleId="523">
    <w:name w:val="样式 样式 标题 3 + 首行缩进:  2 字符 + 首行缩进:  0.85 厘米"/>
    <w:basedOn w:val="524"/>
    <w:qFormat/>
    <w:uiPriority w:val="0"/>
    <w:pPr>
      <w:ind w:hanging="720"/>
    </w:pPr>
  </w:style>
  <w:style w:type="paragraph" w:customStyle="1" w:styleId="524">
    <w:name w:val="样式 标题 3 + 首行缩进:  2 字符"/>
    <w:basedOn w:val="11"/>
    <w:qFormat/>
    <w:uiPriority w:val="0"/>
    <w:pPr>
      <w:keepNext w:val="0"/>
      <w:keepLines w:val="0"/>
      <w:widowControl/>
      <w:spacing w:before="156" w:beforeLines="50" w:beforeAutospacing="0" w:after="0" w:afterLines="0" w:afterAutospacing="0" w:line="360" w:lineRule="auto"/>
    </w:pPr>
    <w:rPr>
      <w:rFonts w:ascii="黑体" w:hAnsi="宋体"/>
      <w:b w:val="0"/>
      <w:kern w:val="0"/>
      <w:sz w:val="28"/>
    </w:rPr>
  </w:style>
  <w:style w:type="paragraph" w:customStyle="1" w:styleId="525">
    <w:name w:val="标题S 2"/>
    <w:basedOn w:val="1"/>
    <w:qFormat/>
    <w:uiPriority w:val="0"/>
    <w:pPr>
      <w:numPr>
        <w:ilvl w:val="1"/>
        <w:numId w:val="5"/>
      </w:numPr>
    </w:pPr>
  </w:style>
  <w:style w:type="paragraph" w:customStyle="1" w:styleId="526">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pPr>
    <w:rPr>
      <w:rFonts w:ascii="宋体" w:hAnsi="宋体"/>
      <w:color w:val="339966"/>
      <w:kern w:val="0"/>
      <w:sz w:val="18"/>
    </w:rPr>
  </w:style>
  <w:style w:type="paragraph" w:customStyle="1" w:styleId="527">
    <w:name w:val="xl40"/>
    <w:basedOn w:val="1"/>
    <w:qFormat/>
    <w:uiPriority w:val="0"/>
    <w:pPr>
      <w:widowControl/>
      <w:pBdr>
        <w:left w:val="single" w:color="auto" w:sz="4" w:space="0"/>
        <w:right w:val="single" w:color="auto" w:sz="4" w:space="0"/>
      </w:pBdr>
      <w:spacing w:before="100" w:beforeLines="0" w:beforeAutospacing="1" w:after="100" w:afterLines="0" w:afterAutospacing="1"/>
      <w:jc w:val="center"/>
      <w:textAlignment w:val="center"/>
    </w:pPr>
    <w:rPr>
      <w:rFonts w:ascii="Arial Unicode MS" w:hAnsi="Arial Unicode MS" w:eastAsia="Arial Unicode MS"/>
      <w:kern w:val="0"/>
      <w:sz w:val="24"/>
    </w:rPr>
  </w:style>
  <w:style w:type="paragraph" w:customStyle="1" w:styleId="528">
    <w:name w:val="xl73"/>
    <w:basedOn w:val="1"/>
    <w:qFormat/>
    <w:uiPriority w:val="0"/>
    <w:pPr>
      <w:widowControl/>
      <w:pBdr>
        <w:bottom w:val="single" w:color="auto" w:sz="8" w:space="0"/>
        <w:right w:val="single" w:color="auto" w:sz="8" w:space="0"/>
      </w:pBdr>
      <w:shd w:val="clear" w:color="000000" w:fill="00FFFF"/>
      <w:spacing w:before="100" w:beforeLines="0" w:beforeAutospacing="1" w:after="100" w:afterLines="0" w:afterAutospacing="1"/>
      <w:jc w:val="center"/>
    </w:pPr>
    <w:rPr>
      <w:rFonts w:ascii="Times New Roman" w:hAnsi="Times New Roman"/>
      <w:color w:val="000000"/>
      <w:kern w:val="0"/>
      <w:sz w:val="18"/>
    </w:rPr>
  </w:style>
  <w:style w:type="paragraph" w:customStyle="1" w:styleId="529">
    <w:name w:val="样式 正文缩进s4标题4 + 左侧:  0.98 厘米 首行缩进:  2 字符"/>
    <w:basedOn w:val="24"/>
    <w:qFormat/>
    <w:uiPriority w:val="0"/>
    <w:pPr>
      <w:adjustRightInd w:val="0"/>
      <w:snapToGrid w:val="0"/>
      <w:spacing w:line="360" w:lineRule="auto"/>
      <w:ind w:firstLine="560"/>
    </w:pPr>
    <w:rPr>
      <w:rFonts w:ascii="Times New Roman" w:hAnsi="Times New Roman" w:eastAsia="仿宋_GB2312"/>
      <w:sz w:val="28"/>
    </w:rPr>
  </w:style>
  <w:style w:type="paragraph" w:customStyle="1" w:styleId="530">
    <w:name w:val="样式 样式 正文缩进s4正文缩进 Chars4 Char标题4表正文正文非缩进图标题文本正文不缩进 + 行距: 1.... + ...1"/>
    <w:basedOn w:val="480"/>
    <w:qFormat/>
    <w:uiPriority w:val="0"/>
    <w:pPr>
      <w:ind w:firstLine="0"/>
    </w:pPr>
  </w:style>
  <w:style w:type="paragraph" w:customStyle="1" w:styleId="531">
    <w:name w:val="标题5-1"/>
    <w:basedOn w:val="407"/>
    <w:qFormat/>
    <w:uiPriority w:val="0"/>
    <w:rPr>
      <w:rFonts w:eastAsia="宋体"/>
    </w:rPr>
  </w:style>
  <w:style w:type="paragraph" w:customStyle="1" w:styleId="532">
    <w:name w:val="xl78"/>
    <w:basedOn w:val="1"/>
    <w:qFormat/>
    <w:uiPriority w:val="0"/>
    <w:pPr>
      <w:widowControl/>
      <w:pBdr>
        <w:top w:val="single" w:color="auto" w:sz="8" w:space="0"/>
        <w:left w:val="single" w:color="auto" w:sz="8" w:space="0"/>
        <w:bottom w:val="single" w:color="auto" w:sz="8" w:space="0"/>
      </w:pBdr>
      <w:shd w:val="clear" w:color="000000" w:fill="00FFFF"/>
      <w:spacing w:before="100" w:beforeLines="0" w:beforeAutospacing="1" w:after="100" w:afterLines="0" w:afterAutospacing="1"/>
      <w:jc w:val="center"/>
    </w:pPr>
    <w:rPr>
      <w:rFonts w:ascii="宋体" w:hAnsi="宋体"/>
      <w:color w:val="000000"/>
      <w:kern w:val="0"/>
      <w:sz w:val="18"/>
    </w:rPr>
  </w:style>
  <w:style w:type="paragraph" w:customStyle="1" w:styleId="533">
    <w:name w:val="标题 1.tx"/>
    <w:basedOn w:val="3"/>
    <w:qFormat/>
    <w:uiPriority w:val="0"/>
    <w:pPr>
      <w:pageBreakBefore/>
      <w:autoSpaceDN w:val="0"/>
      <w:spacing w:before="120" w:beforeLines="0" w:beforeAutospacing="0" w:after="120" w:afterLines="0" w:afterAutospacing="0" w:line="520" w:lineRule="exact"/>
    </w:pPr>
    <w:rPr>
      <w:rFonts w:ascii="Times New Roman" w:hAnsi="Times New Roman"/>
      <w:spacing w:val="8"/>
      <w:sz w:val="32"/>
    </w:rPr>
  </w:style>
  <w:style w:type="paragraph" w:customStyle="1" w:styleId="534">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pPr>
    <w:rPr>
      <w:rFonts w:ascii="宋体" w:hAnsi="宋体"/>
      <w:color w:val="3366FF"/>
      <w:kern w:val="0"/>
      <w:sz w:val="18"/>
    </w:rPr>
  </w:style>
  <w:style w:type="paragraph" w:customStyle="1" w:styleId="535">
    <w:name w:val="xl43"/>
    <w:basedOn w:val="1"/>
    <w:qFormat/>
    <w:uiPriority w:val="0"/>
    <w:pPr>
      <w:widowControl/>
      <w:pBdr>
        <w:top w:val="single" w:color="auto" w:sz="8" w:space="0"/>
        <w:left w:val="single" w:color="auto" w:sz="8" w:space="0"/>
        <w:right w:val="single" w:color="auto" w:sz="8" w:space="0"/>
      </w:pBdr>
      <w:spacing w:before="100" w:beforeLines="0" w:beforeAutospacing="1" w:after="100" w:afterLines="0" w:afterAutospacing="1"/>
      <w:jc w:val="center"/>
    </w:pPr>
    <w:rPr>
      <w:rFonts w:ascii="宋体" w:hAnsi="宋体"/>
      <w:color w:val="000000"/>
      <w:kern w:val="0"/>
    </w:rPr>
  </w:style>
  <w:style w:type="paragraph" w:customStyle="1" w:styleId="536">
    <w:name w:val="xl61"/>
    <w:basedOn w:val="1"/>
    <w:qFormat/>
    <w:uiPriority w:val="0"/>
    <w:pPr>
      <w:widowControl/>
      <w:spacing w:before="100" w:beforeLines="0" w:beforeAutospacing="1" w:after="100" w:afterLines="0" w:afterAutospacing="1"/>
      <w:jc w:val="center"/>
    </w:pPr>
    <w:rPr>
      <w:rFonts w:ascii="Times New Roman" w:hAnsi="Times New Roman"/>
      <w:kern w:val="0"/>
    </w:rPr>
  </w:style>
  <w:style w:type="paragraph" w:customStyle="1" w:styleId="537">
    <w:name w:val="Bullet"/>
    <w:basedOn w:val="1"/>
    <w:next w:val="1"/>
    <w:qFormat/>
    <w:uiPriority w:val="0"/>
    <w:pPr>
      <w:widowControl/>
      <w:suppressLineNumbers/>
      <w:tabs>
        <w:tab w:val="left" w:pos="360"/>
      </w:tabs>
      <w:suppressAutoHyphens/>
      <w:spacing w:after="240" w:afterLines="0" w:afterAutospacing="0"/>
      <w:ind w:left="720" w:hanging="360"/>
    </w:pPr>
    <w:rPr>
      <w:rFonts w:ascii="Times New Roman" w:hAnsi="Times New Roman"/>
      <w:kern w:val="0"/>
      <w:sz w:val="23"/>
      <w:lang w:eastAsia="en-US"/>
    </w:rPr>
  </w:style>
  <w:style w:type="paragraph" w:customStyle="1" w:styleId="538">
    <w:name w:val="特性表注"/>
    <w:basedOn w:val="1"/>
    <w:qFormat/>
    <w:uiPriority w:val="0"/>
    <w:pPr>
      <w:adjustRightInd w:val="0"/>
      <w:snapToGrid w:val="0"/>
      <w:spacing w:line="360" w:lineRule="auto"/>
    </w:pPr>
    <w:rPr>
      <w:rFonts w:ascii="黑体" w:hAnsi="宋体"/>
      <w:snapToGrid w:val="0"/>
      <w:kern w:val="0"/>
    </w:rPr>
  </w:style>
  <w:style w:type="paragraph" w:customStyle="1" w:styleId="539">
    <w:name w:val="样式 样式 正文缩进s4标题4表正文正文非缩进图标题段1Body Text(ch)缩进ALT+Z特点四号正文不... + 首行缩..."/>
    <w:basedOn w:val="1"/>
    <w:qFormat/>
    <w:uiPriority w:val="0"/>
    <w:pPr>
      <w:ind w:firstLine="480" w:firstLineChars="200"/>
    </w:pPr>
    <w:rPr>
      <w:rFonts w:ascii="宋体" w:hAnsi="宋体" w:eastAsia="仿宋_GB2312" w:cs="宋体"/>
      <w:kern w:val="0"/>
      <w:sz w:val="24"/>
      <w:szCs w:val="20"/>
    </w:rPr>
  </w:style>
  <w:style w:type="paragraph" w:customStyle="1" w:styleId="540">
    <w:name w:val="标题4-2"/>
    <w:basedOn w:val="1"/>
    <w:qFormat/>
    <w:uiPriority w:val="0"/>
    <w:pPr>
      <w:numPr>
        <w:ilvl w:val="1"/>
        <w:numId w:val="6"/>
      </w:numPr>
      <w:spacing w:before="0" w:after="0"/>
      <w:ind w:firstLineChars="0"/>
      <w:jc w:val="left"/>
      <w:outlineLvl w:val="1"/>
    </w:pPr>
    <w:rPr>
      <w:rFonts w:ascii="宋体" w:hAnsi="宋体"/>
      <w:b/>
      <w:snapToGrid w:val="0"/>
      <w:kern w:val="0"/>
      <w:sz w:val="28"/>
      <w:szCs w:val="28"/>
    </w:rPr>
  </w:style>
  <w:style w:type="paragraph" w:customStyle="1" w:styleId="541">
    <w:name w:val="xl87"/>
    <w:basedOn w:val="1"/>
    <w:qFormat/>
    <w:uiPriority w:val="0"/>
    <w:pPr>
      <w:widowControl/>
      <w:pBdr>
        <w:bottom w:val="single" w:color="auto" w:sz="8" w:space="0"/>
        <w:right w:val="single" w:color="auto" w:sz="8" w:space="0"/>
      </w:pBdr>
      <w:spacing w:before="100" w:beforeLines="0" w:beforeAutospacing="1" w:after="100" w:afterLines="0" w:afterAutospacing="1"/>
      <w:jc w:val="center"/>
      <w:textAlignment w:val="top"/>
    </w:pPr>
    <w:rPr>
      <w:rFonts w:ascii="宋体" w:hAnsi="宋体"/>
      <w:b/>
      <w:color w:val="993366"/>
      <w:kern w:val="0"/>
      <w:sz w:val="18"/>
    </w:rPr>
  </w:style>
  <w:style w:type="paragraph" w:customStyle="1" w:styleId="542">
    <w:name w:val="表格样式1"/>
    <w:basedOn w:val="1"/>
    <w:next w:val="1"/>
    <w:qFormat/>
    <w:uiPriority w:val="0"/>
    <w:pPr>
      <w:adjustRightInd w:val="0"/>
      <w:spacing w:line="40" w:lineRule="atLeast"/>
      <w:jc w:val="center"/>
      <w:textAlignment w:val="baseline"/>
    </w:pPr>
    <w:rPr>
      <w:rFonts w:ascii="Times New Roman" w:hAnsi="Times New Roman"/>
      <w:kern w:val="0"/>
      <w:sz w:val="24"/>
    </w:rPr>
  </w:style>
  <w:style w:type="paragraph" w:customStyle="1" w:styleId="543">
    <w:name w:val="xl52"/>
    <w:basedOn w:val="1"/>
    <w:qFormat/>
    <w:uiPriority w:val="0"/>
    <w:pPr>
      <w:widowControl/>
      <w:pBdr>
        <w:bottom w:val="single" w:color="auto" w:sz="8" w:space="0"/>
        <w:right w:val="single" w:color="auto" w:sz="8" w:space="0"/>
      </w:pBdr>
      <w:spacing w:before="100" w:beforeLines="0" w:beforeAutospacing="1" w:after="100" w:afterLines="0" w:afterAutospacing="1"/>
      <w:jc w:val="center"/>
    </w:pPr>
    <w:rPr>
      <w:rFonts w:ascii="Arial" w:hAnsi="Arial"/>
      <w:color w:val="000000"/>
      <w:kern w:val="0"/>
    </w:rPr>
  </w:style>
  <w:style w:type="paragraph" w:customStyle="1" w:styleId="544">
    <w:name w:val="正文1 小四"/>
    <w:basedOn w:val="1"/>
    <w:qFormat/>
    <w:uiPriority w:val="0"/>
    <w:pPr>
      <w:spacing w:line="420" w:lineRule="exact"/>
      <w:ind w:firstLine="200" w:firstLineChars="200"/>
    </w:pPr>
    <w:rPr>
      <w:rFonts w:ascii="Times New Roman" w:hAnsi="Times New Roman"/>
    </w:rPr>
  </w:style>
  <w:style w:type="paragraph" w:customStyle="1" w:styleId="545">
    <w:name w:val="xl89"/>
    <w:basedOn w:val="1"/>
    <w:qFormat/>
    <w:uiPriority w:val="0"/>
    <w:pPr>
      <w:widowControl/>
      <w:pBdr>
        <w:top w:val="single" w:color="auto" w:sz="8" w:space="0"/>
        <w:left w:val="single" w:color="auto" w:sz="8" w:space="0"/>
      </w:pBdr>
      <w:spacing w:before="100" w:beforeLines="0" w:beforeAutospacing="1" w:after="100" w:afterLines="0" w:afterAutospacing="1"/>
      <w:jc w:val="left"/>
    </w:pPr>
    <w:rPr>
      <w:rFonts w:ascii="宋体" w:hAnsi="宋体"/>
      <w:color w:val="0000FF"/>
      <w:kern w:val="0"/>
      <w:sz w:val="18"/>
    </w:rPr>
  </w:style>
  <w:style w:type="paragraph" w:customStyle="1" w:styleId="546">
    <w:name w:val="附录章标题"/>
    <w:next w:val="11"/>
    <w:qFormat/>
    <w:uiPriority w:val="0"/>
    <w:pPr>
      <w:wordWrap w:val="0"/>
      <w:overflowPunct w:val="0"/>
      <w:autoSpaceDE w:val="0"/>
      <w:spacing w:before="156" w:beforeLines="50" w:beforeAutospacing="0" w:after="156" w:afterLines="50" w:afterAutospacing="0"/>
      <w:jc w:val="both"/>
      <w:textAlignment w:val="baseline"/>
      <w:outlineLvl w:val="1"/>
    </w:pPr>
    <w:rPr>
      <w:rFonts w:ascii="黑体" w:hAnsi="Times New Roman" w:eastAsia="黑体" w:cs="Times New Roman"/>
      <w:kern w:val="21"/>
      <w:sz w:val="21"/>
      <w:lang w:val="en-US" w:eastAsia="zh-CN"/>
    </w:rPr>
  </w:style>
  <w:style w:type="paragraph" w:customStyle="1" w:styleId="547">
    <w:name w:val="默认段落字体 Char Char Char"/>
    <w:basedOn w:val="1"/>
    <w:qFormat/>
    <w:uiPriority w:val="0"/>
    <w:rPr>
      <w:rFonts w:ascii="Times New Roman" w:hAnsi="Times New Roman"/>
      <w:sz w:val="24"/>
    </w:rPr>
  </w:style>
  <w:style w:type="paragraph" w:customStyle="1" w:styleId="548">
    <w:name w:val="样式 标题 3条标题1.1.1条标题BSH-3W3 + 非加粗 段前: 0.5 行 段后: 0.5 行 行距: 单..."/>
    <w:basedOn w:val="11"/>
    <w:qFormat/>
    <w:uiPriority w:val="0"/>
    <w:pPr>
      <w:keepNext w:val="0"/>
      <w:keepLines w:val="0"/>
      <w:adjustRightInd w:val="0"/>
      <w:snapToGrid w:val="0"/>
      <w:spacing w:before="156" w:beforeLines="0" w:beforeAutospacing="0" w:after="156" w:afterLines="0" w:afterAutospacing="0" w:line="360" w:lineRule="auto"/>
    </w:pPr>
    <w:rPr>
      <w:rFonts w:ascii="宋体" w:hAnsi="宋体"/>
      <w:snapToGrid w:val="0"/>
      <w:color w:val="000000"/>
      <w:kern w:val="0"/>
      <w:sz w:val="24"/>
    </w:rPr>
  </w:style>
  <w:style w:type="paragraph" w:customStyle="1" w:styleId="549">
    <w:name w:val="样式 标题 4L4款标题款标题1.1.1.1 + (西文) Times New Roman (中文) 宋体 加粗 段...1"/>
    <w:basedOn w:val="12"/>
    <w:qFormat/>
    <w:uiPriority w:val="0"/>
    <w:pPr>
      <w:tabs>
        <w:tab w:val="left" w:pos="578"/>
      </w:tabs>
      <w:adjustRightInd w:val="0"/>
      <w:snapToGrid w:val="0"/>
      <w:spacing w:before="60" w:beforeLines="0" w:beforeAutospacing="0" w:after="60" w:afterLines="0" w:afterAutospacing="0" w:line="500" w:lineRule="atLeast"/>
    </w:pPr>
    <w:rPr>
      <w:rFonts w:ascii="Times New Roman" w:hAnsi="Times New Roman"/>
      <w:snapToGrid w:val="0"/>
    </w:rPr>
  </w:style>
  <w:style w:type="paragraph" w:customStyle="1" w:styleId="550">
    <w:name w:val="样式 样式 正文缩进 + 行距: 1.5 倍行距 + 首行缩进:  2 字符"/>
    <w:basedOn w:val="1"/>
    <w:qFormat/>
    <w:uiPriority w:val="0"/>
    <w:pPr>
      <w:widowControl/>
      <w:adjustRightInd w:val="0"/>
      <w:snapToGrid w:val="0"/>
      <w:spacing w:line="360" w:lineRule="auto"/>
      <w:ind w:firstLine="200" w:firstLineChars="200"/>
    </w:pPr>
    <w:rPr>
      <w:rFonts w:ascii="Times New Roman" w:hAnsi="Times New Roman"/>
      <w:kern w:val="0"/>
      <w:sz w:val="28"/>
    </w:rPr>
  </w:style>
  <w:style w:type="paragraph" w:customStyle="1" w:styleId="551">
    <w:name w:val="List Paragraph"/>
    <w:basedOn w:val="1"/>
    <w:qFormat/>
    <w:uiPriority w:val="0"/>
    <w:rPr>
      <w:rFonts w:hint="default"/>
      <w:sz w:val="24"/>
    </w:rPr>
  </w:style>
  <w:style w:type="paragraph" w:customStyle="1" w:styleId="552">
    <w:name w:val="表格文字2"/>
    <w:basedOn w:val="1"/>
    <w:qFormat/>
    <w:uiPriority w:val="0"/>
    <w:pPr>
      <w:adjustRightInd w:val="0"/>
      <w:snapToGrid w:val="0"/>
      <w:spacing w:before="60" w:beforeLines="0" w:beforeAutospacing="0"/>
      <w:ind w:firstLine="480"/>
      <w:textAlignment w:val="baseline"/>
    </w:pPr>
    <w:rPr>
      <w:rFonts w:ascii="Times New Roman" w:hAnsi="Times New Roman"/>
      <w:sz w:val="24"/>
    </w:rPr>
  </w:style>
  <w:style w:type="paragraph" w:customStyle="1" w:styleId="553">
    <w:name w:val="样式 正文文本 + 左侧:  0.98 厘米"/>
    <w:basedOn w:val="7"/>
    <w:qFormat/>
    <w:uiPriority w:val="0"/>
    <w:pPr>
      <w:widowControl/>
      <w:tabs>
        <w:tab w:val="left" w:pos="3720"/>
      </w:tabs>
      <w:autoSpaceDE w:val="0"/>
      <w:autoSpaceDN w:val="0"/>
      <w:adjustRightInd w:val="0"/>
      <w:snapToGrid w:val="0"/>
      <w:spacing w:after="0" w:afterLines="0" w:afterAutospacing="0" w:line="360" w:lineRule="auto"/>
      <w:ind w:firstLine="200" w:firstLineChars="200"/>
      <w:jc w:val="left"/>
      <w:textAlignment w:val="bottom"/>
    </w:pPr>
    <w:rPr>
      <w:rFonts w:ascii="仿宋_GB2312" w:hAnsi="Times New Roman" w:eastAsia="仿宋_GB2312"/>
      <w:kern w:val="0"/>
      <w:sz w:val="28"/>
    </w:rPr>
  </w:style>
  <w:style w:type="paragraph" w:customStyle="1" w:styleId="554">
    <w:name w:val="Char Char Char Char Char Char Char Char Char Char Char Char Char Char Char Char Char Char Char Char Char Char"/>
    <w:basedOn w:val="1"/>
    <w:qFormat/>
    <w:uiPriority w:val="0"/>
    <w:pPr>
      <w:spacing w:line="240" w:lineRule="exact"/>
      <w:ind w:firstLine="200" w:firstLineChars="200"/>
    </w:pPr>
  </w:style>
  <w:style w:type="paragraph" w:customStyle="1" w:styleId="555">
    <w:name w:val="样式 标题 3条标题1.1.13h33rd levelH3l3CT1.1.1段物探标题3 Char Char...2"/>
    <w:basedOn w:val="11"/>
    <w:qFormat/>
    <w:uiPriority w:val="0"/>
    <w:pPr>
      <w:keepNext w:val="0"/>
      <w:keepLines w:val="0"/>
      <w:adjustRightInd w:val="0"/>
      <w:snapToGrid w:val="0"/>
      <w:spacing w:before="93" w:beforeLines="30" w:beforeAutospacing="0" w:after="0" w:afterLines="0" w:afterAutospacing="0" w:line="360" w:lineRule="auto"/>
      <w:jc w:val="left"/>
    </w:pPr>
    <w:rPr>
      <w:rFonts w:ascii="宋体" w:hAnsi="宋体"/>
      <w:sz w:val="28"/>
    </w:rPr>
  </w:style>
  <w:style w:type="paragraph" w:customStyle="1" w:styleId="556">
    <w:name w:val="样式 表格 + 左侧:  0.98 厘米"/>
    <w:basedOn w:val="1"/>
    <w:qFormat/>
    <w:uiPriority w:val="0"/>
    <w:pPr>
      <w:adjustRightInd w:val="0"/>
      <w:snapToGrid w:val="0"/>
      <w:spacing w:before="100" w:beforeLines="0" w:beforeAutospacing="1" w:after="100" w:afterLines="0" w:afterAutospacing="1" w:line="300" w:lineRule="auto"/>
    </w:pPr>
    <w:rPr>
      <w:rFonts w:ascii="Arial" w:hAnsi="Arial"/>
      <w:snapToGrid w:val="0"/>
      <w:kern w:val="0"/>
    </w:rPr>
  </w:style>
  <w:style w:type="paragraph" w:customStyle="1" w:styleId="557">
    <w:name w:val="样式 正文文本缩进 3 + 黑色"/>
    <w:basedOn w:val="1"/>
    <w:qFormat/>
    <w:uiPriority w:val="0"/>
    <w:pPr>
      <w:spacing w:line="360" w:lineRule="auto"/>
      <w:ind w:firstLine="570"/>
    </w:pPr>
    <w:rPr>
      <w:rFonts w:ascii="宋体" w:hAnsi="宋体"/>
      <w:color w:val="000000"/>
      <w:sz w:val="28"/>
    </w:rPr>
  </w:style>
  <w:style w:type="paragraph" w:customStyle="1" w:styleId="558">
    <w:name w:val="样式 样式1 + 段前: 0.5 行"/>
    <w:basedOn w:val="3"/>
    <w:qFormat/>
    <w:uiPriority w:val="0"/>
    <w:pPr>
      <w:widowControl/>
      <w:tabs>
        <w:tab w:val="left" w:pos="425"/>
      </w:tabs>
      <w:spacing w:before="100" w:beforeLines="0" w:beforeAutospacing="1" w:after="0" w:afterLines="0" w:afterAutospacing="0" w:line="240" w:lineRule="auto"/>
      <w:ind w:left="425" w:hanging="425" w:firstLineChars="200"/>
      <w:jc w:val="left"/>
    </w:pPr>
    <w:rPr>
      <w:rFonts w:ascii="Times New Roman" w:hAnsi="Times New Roman"/>
      <w:sz w:val="24"/>
    </w:rPr>
  </w:style>
  <w:style w:type="paragraph" w:customStyle="1" w:styleId="559">
    <w:name w:val="title2"/>
    <w:basedOn w:val="1"/>
    <w:qFormat/>
    <w:uiPriority w:val="0"/>
    <w:pPr>
      <w:spacing w:before="156" w:beforeLines="50" w:beforeAutospacing="0" w:after="120" w:afterLines="0" w:afterAutospacing="0"/>
    </w:pPr>
    <w:rPr>
      <w:rFonts w:ascii="Times New Roman" w:hAnsi="Times New Roman" w:eastAsia="黑体"/>
      <w:sz w:val="30"/>
    </w:rPr>
  </w:style>
  <w:style w:type="paragraph" w:customStyle="1" w:styleId="560">
    <w:name w:val="pic-info"/>
    <w:basedOn w:val="1"/>
    <w:qFormat/>
    <w:uiPriority w:val="0"/>
    <w:pPr>
      <w:widowControl/>
      <w:spacing w:before="100" w:beforeLines="0" w:beforeAutospacing="1" w:after="100" w:afterLines="0" w:afterAutospacing="1"/>
      <w:jc w:val="left"/>
    </w:pPr>
    <w:rPr>
      <w:rFonts w:ascii="宋体" w:hAnsi="宋体"/>
      <w:kern w:val="0"/>
      <w:sz w:val="24"/>
    </w:rPr>
  </w:style>
  <w:style w:type="paragraph" w:customStyle="1" w:styleId="561">
    <w:name w:val="样式 样式 正文缩进s4正文缩进 Chars4 Char标题4表正文正文非缩进图标题文本正文不缩进 + 行距: 1.... + ..."/>
    <w:basedOn w:val="480"/>
    <w:qFormat/>
    <w:uiPriority w:val="0"/>
    <w:pPr>
      <w:ind w:firstLine="0"/>
    </w:pPr>
  </w:style>
  <w:style w:type="paragraph" w:customStyle="1" w:styleId="562">
    <w:name w:val="样式5"/>
    <w:basedOn w:val="13"/>
    <w:qFormat/>
    <w:uiPriority w:val="0"/>
    <w:pPr>
      <w:tabs>
        <w:tab w:val="left" w:pos="1247"/>
        <w:tab w:val="left" w:pos="1534"/>
      </w:tabs>
      <w:adjustRightInd w:val="0"/>
      <w:snapToGrid w:val="0"/>
      <w:spacing w:before="0" w:beforeLines="0" w:beforeAutospacing="0" w:after="0" w:afterLines="0" w:afterAutospacing="0" w:line="440" w:lineRule="atLeast"/>
      <w:ind w:left="284" w:firstLine="170"/>
    </w:pPr>
    <w:rPr>
      <w:rFonts w:ascii="宋体" w:hAnsi="Times New Roman"/>
      <w:snapToGrid w:val="0"/>
      <w:kern w:val="0"/>
      <w:sz w:val="24"/>
    </w:rPr>
  </w:style>
  <w:style w:type="paragraph" w:customStyle="1" w:styleId="563">
    <w:name w:val=" Char3 Char Char Char"/>
    <w:basedOn w:val="1"/>
    <w:qFormat/>
    <w:uiPriority w:val="0"/>
    <w:pPr>
      <w:spacing w:line="360" w:lineRule="auto"/>
    </w:pPr>
    <w:rPr>
      <w:rFonts w:ascii="宋体" w:hAnsi="宋体"/>
      <w:sz w:val="24"/>
    </w:rPr>
  </w:style>
  <w:style w:type="paragraph" w:customStyle="1" w:styleId="564">
    <w:name w:val="样式 标题 3 + 段前: 0 磅 段后: 0 磅 行距: 1.5 倍行距"/>
    <w:basedOn w:val="11"/>
    <w:qFormat/>
    <w:uiPriority w:val="0"/>
    <w:pPr>
      <w:adjustRightInd w:val="0"/>
      <w:snapToGrid w:val="0"/>
      <w:spacing w:before="0" w:beforeLines="0" w:beforeAutospacing="0" w:after="0" w:afterLines="0" w:afterAutospacing="0" w:line="360" w:lineRule="auto"/>
    </w:pPr>
    <w:rPr>
      <w:rFonts w:ascii="Times New Roman" w:hAnsi="Times New Roman"/>
      <w:color w:val="000000"/>
      <w:sz w:val="28"/>
    </w:rPr>
  </w:style>
  <w:style w:type="paragraph" w:customStyle="1" w:styleId="565">
    <w:name w:val="temp"/>
    <w:basedOn w:val="1"/>
    <w:qFormat/>
    <w:uiPriority w:val="0"/>
    <w:pPr>
      <w:adjustRightInd w:val="0"/>
      <w:spacing w:line="460" w:lineRule="exact"/>
      <w:textAlignment w:val="baseline"/>
    </w:pPr>
    <w:rPr>
      <w:rFonts w:ascii="Times New Roman" w:hAnsi="Times New Roman"/>
      <w:kern w:val="0"/>
      <w:sz w:val="24"/>
    </w:rPr>
  </w:style>
  <w:style w:type="paragraph" w:customStyle="1" w:styleId="566">
    <w:name w:val="样式 宋体 四号 段前: 7.8 磅 段后: 7.8 磅 行距: 1.5 倍行距"/>
    <w:basedOn w:val="1"/>
    <w:qFormat/>
    <w:uiPriority w:val="0"/>
    <w:pPr>
      <w:spacing w:before="60" w:beforeLines="0" w:beforeAutospacing="0" w:after="60" w:afterLines="0" w:afterAutospacing="0" w:line="500" w:lineRule="exact"/>
    </w:pPr>
    <w:rPr>
      <w:rFonts w:ascii="宋体" w:hAnsi="宋体"/>
      <w:sz w:val="28"/>
    </w:rPr>
  </w:style>
  <w:style w:type="paragraph" w:customStyle="1" w:styleId="567">
    <w:name w:val="xl57"/>
    <w:basedOn w:val="1"/>
    <w:qFormat/>
    <w:uiPriority w:val="0"/>
    <w:pPr>
      <w:widowControl/>
      <w:pBdr>
        <w:bottom w:val="single" w:color="auto" w:sz="8" w:space="0"/>
        <w:right w:val="single" w:color="auto" w:sz="12" w:space="0"/>
      </w:pBdr>
      <w:spacing w:before="100" w:beforeLines="0" w:beforeAutospacing="1" w:after="100" w:afterLines="0" w:afterAutospacing="1"/>
      <w:jc w:val="center"/>
    </w:pPr>
    <w:rPr>
      <w:rFonts w:ascii="Times New Roman" w:hAnsi="Times New Roman"/>
      <w:color w:val="333399"/>
      <w:kern w:val="0"/>
    </w:rPr>
  </w:style>
  <w:style w:type="paragraph" w:customStyle="1" w:styleId="568">
    <w:name w:val="标准"/>
    <w:basedOn w:val="1"/>
    <w:qFormat/>
    <w:uiPriority w:val="0"/>
    <w:pPr>
      <w:spacing w:line="360" w:lineRule="auto"/>
    </w:pPr>
    <w:rPr>
      <w:rFonts w:ascii="Times New Roman" w:hAnsi="Times New Roman"/>
      <w:sz w:val="28"/>
    </w:rPr>
  </w:style>
  <w:style w:type="paragraph" w:customStyle="1" w:styleId="569">
    <w:name w:val="样式 标题 3条标题1.1.1条标题BSH-3W3 + 仿宋_GB2312 非加粗"/>
    <w:basedOn w:val="11"/>
    <w:qFormat/>
    <w:uiPriority w:val="0"/>
    <w:pPr>
      <w:tabs>
        <w:tab w:val="left" w:pos="578"/>
      </w:tabs>
      <w:adjustRightInd w:val="0"/>
      <w:snapToGrid w:val="0"/>
      <w:spacing w:before="0" w:beforeLines="0" w:beforeAutospacing="0" w:after="0" w:afterLines="0" w:afterAutospacing="0" w:line="360" w:lineRule="auto"/>
    </w:pPr>
    <w:rPr>
      <w:rFonts w:ascii="宋体" w:hAnsi="宋体"/>
      <w:color w:val="000000"/>
      <w:kern w:val="0"/>
      <w:sz w:val="28"/>
    </w:rPr>
  </w:style>
  <w:style w:type="paragraph" w:customStyle="1" w:styleId="570">
    <w:name w:val="2 Char Char Char Char Char Char Char Char Char Char Char Char Char Char Char Char"/>
    <w:basedOn w:val="1"/>
    <w:qFormat/>
    <w:uiPriority w:val="0"/>
    <w:pPr>
      <w:spacing w:line="360" w:lineRule="auto"/>
      <w:ind w:firstLine="200" w:firstLineChars="200"/>
    </w:pPr>
    <w:rPr>
      <w:rFonts w:ascii="宋体" w:hAnsi="宋体"/>
      <w:sz w:val="24"/>
    </w:rPr>
  </w:style>
  <w:style w:type="paragraph" w:customStyle="1" w:styleId="571">
    <w:name w:val="样式2"/>
    <w:basedOn w:val="45"/>
    <w:qFormat/>
    <w:uiPriority w:val="0"/>
    <w:pPr>
      <w:spacing w:line="300" w:lineRule="auto"/>
      <w:ind w:left="420" w:leftChars="0" w:firstLine="510"/>
      <w:jc w:val="left"/>
    </w:pPr>
    <w:rPr>
      <w:sz w:val="20"/>
    </w:rPr>
  </w:style>
  <w:style w:type="paragraph" w:customStyle="1" w:styleId="572">
    <w:name w:val="文本"/>
    <w:basedOn w:val="1"/>
    <w:qFormat/>
    <w:uiPriority w:val="0"/>
    <w:pPr>
      <w:adjustRightInd w:val="0"/>
      <w:snapToGrid w:val="0"/>
      <w:spacing w:line="360" w:lineRule="auto"/>
      <w:ind w:firstLine="480" w:firstLineChars="200"/>
      <w:jc w:val="left"/>
    </w:pPr>
    <w:rPr>
      <w:rFonts w:ascii="Times New Roman" w:hAnsi="Times New Roman"/>
    </w:rPr>
  </w:style>
  <w:style w:type="paragraph" w:customStyle="1" w:styleId="573">
    <w:name w:val="6 Char Char Char Char"/>
    <w:basedOn w:val="1"/>
    <w:qFormat/>
    <w:uiPriority w:val="0"/>
    <w:rPr>
      <w:rFonts w:ascii="Times New Roman" w:hAnsi="Times New Roman"/>
    </w:rPr>
  </w:style>
  <w:style w:type="paragraph" w:customStyle="1" w:styleId="574">
    <w:name w:val="xl62"/>
    <w:basedOn w:val="1"/>
    <w:qFormat/>
    <w:uiPriority w:val="0"/>
    <w:pPr>
      <w:widowControl/>
      <w:pBdr>
        <w:bottom w:val="single" w:color="auto" w:sz="8" w:space="0"/>
        <w:right w:val="single" w:color="auto" w:sz="12" w:space="0"/>
      </w:pBdr>
      <w:spacing w:before="100" w:beforeLines="0" w:beforeAutospacing="1" w:after="100" w:afterLines="0" w:afterAutospacing="1"/>
      <w:jc w:val="center"/>
    </w:pPr>
    <w:rPr>
      <w:rFonts w:ascii="Times New Roman" w:hAnsi="Times New Roman"/>
      <w:color w:val="333399"/>
      <w:kern w:val="0"/>
    </w:rPr>
  </w:style>
  <w:style w:type="paragraph" w:customStyle="1" w:styleId="575">
    <w:name w:val="xl60"/>
    <w:basedOn w:val="1"/>
    <w:qFormat/>
    <w:uiPriority w:val="0"/>
    <w:pPr>
      <w:widowControl/>
      <w:spacing w:before="100" w:beforeLines="0" w:beforeAutospacing="1" w:after="100" w:afterLines="0" w:afterAutospacing="1"/>
      <w:jc w:val="center"/>
    </w:pPr>
    <w:rPr>
      <w:rFonts w:ascii="宋体" w:hAnsi="宋体"/>
      <w:kern w:val="0"/>
    </w:rPr>
  </w:style>
  <w:style w:type="paragraph" w:customStyle="1" w:styleId="576">
    <w:name w:val="标题4-1"/>
    <w:basedOn w:val="1"/>
    <w:next w:val="525"/>
    <w:qFormat/>
    <w:uiPriority w:val="0"/>
    <w:pPr>
      <w:numPr>
        <w:ilvl w:val="0"/>
        <w:numId w:val="6"/>
      </w:numPr>
      <w:spacing w:before="0" w:after="0"/>
      <w:ind w:firstLineChars="0"/>
      <w:jc w:val="left"/>
      <w:outlineLvl w:val="0"/>
    </w:pPr>
    <w:rPr>
      <w:rFonts w:ascii="宋体" w:hAnsi="宋体"/>
      <w:b/>
      <w:kern w:val="0"/>
      <w:sz w:val="30"/>
      <w:szCs w:val="30"/>
    </w:rPr>
  </w:style>
  <w:style w:type="paragraph" w:customStyle="1" w:styleId="577">
    <w:name w:val="0"/>
    <w:basedOn w:val="1"/>
    <w:qFormat/>
    <w:uiPriority w:val="0"/>
    <w:pPr>
      <w:widowControl/>
      <w:snapToGrid w:val="0"/>
    </w:pPr>
    <w:rPr>
      <w:rFonts w:ascii="Times New Roman" w:hAnsi="Times New Roman"/>
      <w:kern w:val="0"/>
    </w:rPr>
  </w:style>
  <w:style w:type="paragraph" w:customStyle="1" w:styleId="578">
    <w:name w:val=" Char2"/>
    <w:basedOn w:val="1"/>
    <w:qFormat/>
    <w:uiPriority w:val="0"/>
    <w:pPr>
      <w:spacing w:line="360" w:lineRule="auto"/>
      <w:ind w:firstLine="200" w:firstLineChars="200"/>
    </w:pPr>
    <w:rPr>
      <w:rFonts w:ascii="宋体" w:hAnsi="宋体"/>
      <w:sz w:val="24"/>
    </w:rPr>
  </w:style>
  <w:style w:type="paragraph" w:customStyle="1" w:styleId="579">
    <w:name w:val="表格文字（小五）"/>
    <w:basedOn w:val="171"/>
    <w:next w:val="24"/>
    <w:qFormat/>
    <w:uiPriority w:val="0"/>
    <w:pPr>
      <w:jc w:val="both"/>
      <w:textAlignment w:val="bottom"/>
    </w:pPr>
    <w:rPr>
      <w:kern w:val="0"/>
      <w:sz w:val="18"/>
    </w:rPr>
  </w:style>
  <w:style w:type="paragraph" w:customStyle="1" w:styleId="580">
    <w:name w:val="unnamed1"/>
    <w:basedOn w:val="1"/>
    <w:qFormat/>
    <w:uiPriority w:val="0"/>
    <w:pPr>
      <w:widowControl/>
      <w:spacing w:before="100" w:beforeLines="0" w:beforeAutospacing="1" w:after="100" w:afterLines="0" w:afterAutospacing="1" w:line="285" w:lineRule="atLeast"/>
      <w:jc w:val="left"/>
    </w:pPr>
    <w:rPr>
      <w:rFonts w:ascii="宋体" w:hAnsi="宋体"/>
      <w:color w:val="CC6633"/>
      <w:kern w:val="0"/>
      <w:sz w:val="18"/>
    </w:rPr>
  </w:style>
  <w:style w:type="paragraph" w:customStyle="1" w:styleId="581">
    <w:name w:val="样式 小四 行距: 固定值 26 磅"/>
    <w:basedOn w:val="1"/>
    <w:qFormat/>
    <w:uiPriority w:val="0"/>
    <w:pPr>
      <w:adjustRightInd w:val="0"/>
      <w:snapToGrid w:val="0"/>
      <w:spacing w:line="360" w:lineRule="auto"/>
    </w:pPr>
    <w:rPr>
      <w:rFonts w:ascii="Times New Roman" w:hAnsi="Times New Roman"/>
      <w:color w:val="000000"/>
      <w:sz w:val="28"/>
    </w:rPr>
  </w:style>
  <w:style w:type="paragraph" w:customStyle="1" w:styleId="582">
    <w:name w:val="样式 标题 1章标题 1-*+h11st levelSection Headl1b1预评价章标题标题 1 预..."/>
    <w:basedOn w:val="3"/>
    <w:qFormat/>
    <w:uiPriority w:val="0"/>
    <w:pPr>
      <w:keepNext w:val="0"/>
      <w:keepLines w:val="0"/>
      <w:widowControl/>
      <w:spacing w:before="0" w:beforeLines="0" w:beforeAutospacing="0" w:after="0" w:afterLines="0" w:afterAutospacing="0" w:line="520" w:lineRule="exact"/>
    </w:pPr>
    <w:rPr>
      <w:rFonts w:ascii="宋体" w:hAnsi="宋体"/>
      <w:b w:val="0"/>
      <w:kern w:val="2"/>
      <w:sz w:val="32"/>
    </w:rPr>
  </w:style>
  <w:style w:type="paragraph" w:customStyle="1" w:styleId="583">
    <w:name w:val="表左_小四"/>
    <w:basedOn w:val="305"/>
    <w:qFormat/>
    <w:uiPriority w:val="0"/>
    <w:pPr>
      <w:adjustRightInd/>
      <w:spacing w:line="160" w:lineRule="atLeast"/>
      <w:ind w:hanging="23"/>
      <w:jc w:val="left"/>
      <w:textAlignment w:val="top"/>
    </w:pPr>
    <w:rPr>
      <w:rFonts w:ascii="宋体" w:hAnsi="宋体"/>
      <w:b/>
      <w:color w:val="auto"/>
      <w:spacing w:val="20"/>
      <w:position w:val="-12"/>
      <w:sz w:val="24"/>
    </w:rPr>
  </w:style>
  <w:style w:type="paragraph" w:customStyle="1" w:styleId="584">
    <w:name w:val="6 Char Char Char Char Char Char"/>
    <w:basedOn w:val="1"/>
    <w:qFormat/>
    <w:uiPriority w:val="0"/>
    <w:rPr>
      <w:rFonts w:ascii="Times New Roman" w:hAnsi="Times New Roman"/>
    </w:rPr>
  </w:style>
  <w:style w:type="paragraph" w:customStyle="1" w:styleId="585">
    <w:name w:val="样式 行距: 1.5 倍行距"/>
    <w:basedOn w:val="1"/>
    <w:qFormat/>
    <w:uiPriority w:val="0"/>
    <w:pPr>
      <w:spacing w:line="360" w:lineRule="auto"/>
      <w:ind w:firstLine="420" w:firstLineChars="200"/>
    </w:pPr>
    <w:rPr>
      <w:rFonts w:ascii="Arial" w:hAnsi="Arial" w:eastAsia="Arial"/>
      <w:sz w:val="24"/>
    </w:rPr>
  </w:style>
  <w:style w:type="paragraph" w:customStyle="1" w:styleId="586">
    <w:name w:val="xl44"/>
    <w:basedOn w:val="1"/>
    <w:qFormat/>
    <w:uiPriority w:val="0"/>
    <w:pPr>
      <w:widowControl/>
      <w:pBdr>
        <w:top w:val="single" w:color="auto" w:sz="8" w:space="0"/>
        <w:bottom w:val="single" w:color="auto" w:sz="8" w:space="0"/>
      </w:pBdr>
      <w:spacing w:before="100" w:beforeLines="0" w:beforeAutospacing="1" w:after="100" w:afterLines="0" w:afterAutospacing="1"/>
      <w:jc w:val="center"/>
    </w:pPr>
    <w:rPr>
      <w:rFonts w:ascii="宋体" w:hAnsi="宋体"/>
      <w:color w:val="000000"/>
      <w:kern w:val="0"/>
    </w:rPr>
  </w:style>
  <w:style w:type="paragraph" w:customStyle="1" w:styleId="587">
    <w:name w:val="xl68"/>
    <w:basedOn w:val="1"/>
    <w:qFormat/>
    <w:uiPriority w:val="0"/>
    <w:pPr>
      <w:widowControl/>
      <w:pBdr>
        <w:left w:val="single" w:color="auto" w:sz="8" w:space="0"/>
        <w:bottom w:val="single" w:color="auto" w:sz="8" w:space="0"/>
        <w:right w:val="single" w:color="auto" w:sz="8" w:space="0"/>
      </w:pBdr>
      <w:spacing w:before="100" w:beforeLines="0" w:beforeAutospacing="1" w:after="100" w:afterLines="0" w:afterAutospacing="1"/>
      <w:jc w:val="center"/>
    </w:pPr>
    <w:rPr>
      <w:rFonts w:ascii="宋体" w:hAnsi="宋体"/>
      <w:color w:val="000080"/>
      <w:kern w:val="0"/>
    </w:rPr>
  </w:style>
  <w:style w:type="paragraph" w:customStyle="1" w:styleId="588">
    <w:name w:val="xl58"/>
    <w:basedOn w:val="1"/>
    <w:qFormat/>
    <w:uiPriority w:val="0"/>
    <w:pPr>
      <w:widowControl/>
      <w:pBdr>
        <w:bottom w:val="single" w:color="auto" w:sz="12" w:space="0"/>
        <w:right w:val="double" w:color="auto" w:sz="6" w:space="0"/>
      </w:pBdr>
      <w:spacing w:before="100" w:beforeLines="0" w:beforeAutospacing="1" w:after="100" w:afterLines="0" w:afterAutospacing="1"/>
      <w:jc w:val="center"/>
    </w:pPr>
    <w:rPr>
      <w:rFonts w:ascii="Times New Roman" w:hAnsi="Times New Roman"/>
      <w:kern w:val="0"/>
    </w:rPr>
  </w:style>
  <w:style w:type="paragraph" w:customStyle="1" w:styleId="589">
    <w:name w:val="表中窄行"/>
    <w:qFormat/>
    <w:uiPriority w:val="0"/>
    <w:pPr>
      <w:widowControl w:val="0"/>
      <w:spacing w:before="156" w:beforeLines="50" w:beforeAutospacing="0" w:after="156" w:afterLines="50" w:afterAutospacing="0" w:line="240" w:lineRule="exact"/>
      <w:jc w:val="center"/>
    </w:pPr>
    <w:rPr>
      <w:rFonts w:ascii="Arial" w:hAnsi="Arial" w:eastAsia="宋体" w:cs="Times New Roman"/>
      <w:sz w:val="21"/>
      <w:lang w:val="en-US" w:eastAsia="zh-CN"/>
    </w:rPr>
  </w:style>
  <w:style w:type="paragraph" w:customStyle="1" w:styleId="590">
    <w:name w:val="样式 标题 + 宋体 非加粗"/>
    <w:basedOn w:val="73"/>
    <w:qFormat/>
    <w:uiPriority w:val="0"/>
    <w:pPr>
      <w:tabs>
        <w:tab w:val="left" w:pos="1814"/>
      </w:tabs>
    </w:pPr>
    <w:rPr>
      <w:rFonts w:ascii="宋体" w:hAnsi="宋体"/>
      <w:b w:val="0"/>
    </w:rPr>
  </w:style>
  <w:style w:type="paragraph" w:customStyle="1" w:styleId="591">
    <w:name w:val="样式 题注 + 左侧:  0.98 厘米 首行缩进:  2 字符"/>
    <w:basedOn w:val="25"/>
    <w:qFormat/>
    <w:uiPriority w:val="0"/>
    <w:pPr>
      <w:pageBreakBefore w:val="0"/>
      <w:wordWrap w:val="0"/>
      <w:spacing w:line="240" w:lineRule="auto"/>
      <w:ind w:firstLine="0" w:firstLineChars="0"/>
    </w:pPr>
    <w:rPr>
      <w:rFonts w:hAnsi="宋体"/>
      <w:color w:val="000000"/>
      <w:kern w:val="2"/>
      <w:sz w:val="24"/>
    </w:rPr>
  </w:style>
  <w:style w:type="paragraph" w:customStyle="1" w:styleId="592">
    <w:name w:val="WPSOffice手动目录 1"/>
    <w:qFormat/>
    <w:uiPriority w:val="0"/>
    <w:pPr>
      <w:ind w:leftChars="0"/>
    </w:pPr>
    <w:rPr>
      <w:rFonts w:ascii="Times New Roman" w:hAnsi="Times New Roman" w:eastAsia="宋体" w:cs="Times New Roman"/>
      <w:sz w:val="20"/>
      <w:szCs w:val="20"/>
    </w:rPr>
  </w:style>
  <w:style w:type="paragraph" w:customStyle="1" w:styleId="593">
    <w:name w:val="样式 左 左侧:  0.98 厘米"/>
    <w:basedOn w:val="1"/>
    <w:qFormat/>
    <w:uiPriority w:val="0"/>
    <w:pPr>
      <w:adjustRightInd w:val="0"/>
      <w:snapToGrid w:val="0"/>
      <w:spacing w:line="360" w:lineRule="auto"/>
      <w:ind w:firstLine="200" w:firstLineChars="200"/>
      <w:jc w:val="left"/>
    </w:pPr>
    <w:rPr>
      <w:rFonts w:ascii="Times New Roman" w:hAnsi="Times New Roman" w:eastAsia="仿宋_GB2312"/>
      <w:sz w:val="28"/>
    </w:rPr>
  </w:style>
  <w:style w:type="paragraph" w:customStyle="1" w:styleId="594">
    <w:name w:val="xl56"/>
    <w:basedOn w:val="1"/>
    <w:qFormat/>
    <w:uiPriority w:val="0"/>
    <w:pPr>
      <w:widowControl/>
      <w:spacing w:before="100" w:beforeLines="0" w:beforeAutospacing="1" w:after="100" w:afterLines="0" w:afterAutospacing="1"/>
      <w:jc w:val="center"/>
    </w:pPr>
    <w:rPr>
      <w:rFonts w:ascii="宋体" w:hAnsi="宋体"/>
      <w:kern w:val="0"/>
    </w:rPr>
  </w:style>
  <w:style w:type="paragraph" w:customStyle="1" w:styleId="595">
    <w:name w:val="表格字体"/>
    <w:basedOn w:val="1"/>
    <w:qFormat/>
    <w:uiPriority w:val="0"/>
    <w:pPr>
      <w:spacing w:line="240" w:lineRule="auto"/>
      <w:jc w:val="center"/>
    </w:pPr>
    <w:rPr>
      <w:rFonts w:ascii="Times New Roman" w:hAnsi="Times New Roman"/>
      <w:sz w:val="21"/>
    </w:rPr>
  </w:style>
  <w:style w:type="paragraph" w:customStyle="1" w:styleId="596">
    <w:name w:val="样式 正文缩进s4标题4表正文正文非缩进图标题段1Body Text(ch)缩进ALT+Z特点四号正文不...3"/>
    <w:basedOn w:val="24"/>
    <w:qFormat/>
    <w:uiPriority w:val="0"/>
    <w:pPr>
      <w:ind w:firstLine="200"/>
    </w:pPr>
    <w:rPr>
      <w:rFonts w:ascii="宋体" w:eastAsia="仿宋_GB2312" w:cs="宋体"/>
      <w:sz w:val="24"/>
    </w:rPr>
  </w:style>
  <w:style w:type="paragraph" w:customStyle="1" w:styleId="597">
    <w:name w:val="样式9"/>
    <w:basedOn w:val="11"/>
    <w:qFormat/>
    <w:uiPriority w:val="0"/>
    <w:pPr>
      <w:keepNext w:val="0"/>
      <w:keepLines w:val="0"/>
      <w:adjustRightInd w:val="0"/>
      <w:snapToGrid w:val="0"/>
      <w:spacing w:before="0" w:beforeLines="0" w:beforeAutospacing="0" w:after="0" w:afterLines="0" w:afterAutospacing="0" w:line="360" w:lineRule="auto"/>
    </w:pPr>
    <w:rPr>
      <w:rFonts w:ascii="宋体" w:hAnsi="宋体"/>
      <w:snapToGrid w:val="0"/>
      <w:color w:val="000000"/>
      <w:kern w:val="0"/>
      <w:sz w:val="24"/>
    </w:rPr>
  </w:style>
  <w:style w:type="paragraph" w:customStyle="1" w:styleId="598">
    <w:name w:val="03"/>
    <w:basedOn w:val="4"/>
    <w:qFormat/>
    <w:uiPriority w:val="0"/>
    <w:pPr>
      <w:keepNext w:val="0"/>
      <w:tabs>
        <w:tab w:val="left" w:pos="576"/>
      </w:tabs>
      <w:spacing w:before="156" w:beforeLines="50" w:beforeAutospacing="0" w:after="156" w:afterLines="50" w:afterAutospacing="0" w:line="360" w:lineRule="auto"/>
      <w:ind w:left="576"/>
      <w:outlineLvl w:val="0"/>
    </w:pPr>
    <w:rPr>
      <w:rFonts w:ascii="宋体" w:hAnsi="宋体"/>
      <w:b w:val="0"/>
      <w:sz w:val="24"/>
    </w:rPr>
  </w:style>
  <w:style w:type="paragraph" w:customStyle="1" w:styleId="599">
    <w:name w:val="样式 标题 3 + 小四 行距: 1.5 倍行距"/>
    <w:basedOn w:val="11"/>
    <w:qFormat/>
    <w:uiPriority w:val="0"/>
    <w:pPr>
      <w:keepNext w:val="0"/>
      <w:keepLines w:val="0"/>
      <w:spacing w:before="156" w:beforeLines="50" w:beforeAutospacing="0" w:after="0" w:afterLines="0" w:afterAutospacing="0" w:line="360" w:lineRule="auto"/>
    </w:pPr>
    <w:rPr>
      <w:rFonts w:ascii="宋体" w:hAnsi="宋体"/>
      <w:b w:val="0"/>
      <w:sz w:val="24"/>
    </w:rPr>
  </w:style>
  <w:style w:type="paragraph" w:customStyle="1" w:styleId="600">
    <w:name w:val="样式 表格 + 左侧:  0.98 厘米 字符缩放: 90%"/>
    <w:basedOn w:val="194"/>
    <w:qFormat/>
    <w:uiPriority w:val="0"/>
    <w:pPr>
      <w:adjustRightInd w:val="0"/>
      <w:snapToGrid w:val="0"/>
      <w:spacing w:before="100" w:beforeLines="0" w:beforeAutospacing="1" w:after="100" w:afterLines="0" w:afterAutospacing="1" w:line="300" w:lineRule="exact"/>
      <w:ind w:left="560" w:leftChars="200" w:rightChars="-50"/>
    </w:pPr>
    <w:rPr>
      <w:rFonts w:ascii="Arial" w:hAnsi="Arial"/>
      <w:color w:val="000000"/>
      <w:w w:val="90"/>
      <w:lang w:val="en-GB"/>
    </w:rPr>
  </w:style>
  <w:style w:type="paragraph" w:customStyle="1" w:styleId="601">
    <w:name w:val=" Char1"/>
    <w:basedOn w:val="1"/>
    <w:qFormat/>
    <w:uiPriority w:val="0"/>
    <w:pPr>
      <w:spacing w:line="360" w:lineRule="auto"/>
      <w:ind w:firstLine="200" w:firstLineChars="200"/>
    </w:pPr>
    <w:rPr>
      <w:rFonts w:ascii="Times New Roman" w:hAnsi="Times New Roman"/>
    </w:rPr>
  </w:style>
  <w:style w:type="paragraph" w:customStyle="1" w:styleId="602">
    <w:name w:val=" Char Char Char Char1 Char Char Char Char Char Char Char Char Char Char Char Char"/>
    <w:basedOn w:val="1"/>
    <w:qFormat/>
    <w:uiPriority w:val="0"/>
    <w:pPr>
      <w:spacing w:line="360" w:lineRule="auto"/>
      <w:ind w:firstLine="200" w:firstLineChars="200"/>
    </w:pPr>
    <w:rPr>
      <w:rFonts w:ascii="宋体" w:hAnsi="宋体"/>
      <w:sz w:val="24"/>
    </w:rPr>
  </w:style>
  <w:style w:type="paragraph" w:customStyle="1" w:styleId="603">
    <w:name w:val=" Char Char2 Char Char Char Char"/>
    <w:basedOn w:val="1"/>
    <w:qFormat/>
    <w:uiPriority w:val="0"/>
    <w:pPr>
      <w:adjustRightInd w:val="0"/>
      <w:snapToGrid w:val="0"/>
      <w:spacing w:line="360" w:lineRule="auto"/>
    </w:pPr>
    <w:rPr>
      <w:rFonts w:ascii="宋体" w:hAnsi="宋体"/>
      <w:sz w:val="24"/>
    </w:rPr>
  </w:style>
  <w:style w:type="paragraph" w:customStyle="1" w:styleId="604">
    <w:name w:val="样式 表格 + 左侧:  0.98 厘米 字距调整8 磅"/>
    <w:basedOn w:val="194"/>
    <w:qFormat/>
    <w:uiPriority w:val="0"/>
    <w:pPr>
      <w:adjustRightInd w:val="0"/>
      <w:snapToGrid w:val="0"/>
      <w:spacing w:before="100" w:beforeLines="0" w:beforeAutospacing="1" w:after="100" w:afterLines="0" w:afterAutospacing="1" w:line="300" w:lineRule="exact"/>
      <w:ind w:left="560" w:leftChars="200" w:rightChars="-50"/>
    </w:pPr>
    <w:rPr>
      <w:rFonts w:ascii="Arial" w:hAnsi="Arial"/>
      <w:color w:val="000000"/>
      <w:kern w:val="16"/>
      <w:lang w:val="en-GB"/>
    </w:rPr>
  </w:style>
  <w:style w:type="paragraph" w:customStyle="1" w:styleId="605">
    <w:name w:val="xl67"/>
    <w:basedOn w:val="1"/>
    <w:qFormat/>
    <w:uiPriority w:val="0"/>
    <w:pPr>
      <w:widowControl/>
      <w:pBdr>
        <w:left w:val="single" w:color="auto" w:sz="8" w:space="0"/>
        <w:right w:val="single" w:color="auto" w:sz="8" w:space="0"/>
      </w:pBdr>
      <w:spacing w:before="100" w:beforeLines="0" w:beforeAutospacing="1" w:after="100" w:afterLines="0" w:afterAutospacing="1"/>
      <w:jc w:val="center"/>
    </w:pPr>
    <w:rPr>
      <w:rFonts w:ascii="宋体" w:hAnsi="宋体"/>
      <w:color w:val="000080"/>
      <w:kern w:val="0"/>
    </w:rPr>
  </w:style>
  <w:style w:type="paragraph" w:customStyle="1" w:styleId="606">
    <w:name w:val="WPSOffice手动目录 2"/>
    <w:qFormat/>
    <w:uiPriority w:val="0"/>
    <w:pPr>
      <w:ind w:leftChars="200"/>
    </w:pPr>
    <w:rPr>
      <w:rFonts w:ascii="Times New Roman" w:hAnsi="Times New Roman" w:eastAsia="宋体" w:cs="Times New Roman"/>
      <w:sz w:val="20"/>
      <w:szCs w:val="20"/>
    </w:rPr>
  </w:style>
  <w:style w:type="paragraph" w:customStyle="1" w:styleId="607">
    <w:name w:val="xl64"/>
    <w:basedOn w:val="1"/>
    <w:qFormat/>
    <w:uiPriority w:val="0"/>
    <w:pPr>
      <w:widowControl/>
      <w:pBdr>
        <w:bottom w:val="single" w:color="auto" w:sz="8" w:space="0"/>
        <w:right w:val="double" w:color="auto" w:sz="6" w:space="0"/>
      </w:pBdr>
      <w:spacing w:before="100" w:beforeLines="0" w:beforeAutospacing="1" w:after="100" w:afterLines="0" w:afterAutospacing="1"/>
      <w:jc w:val="center"/>
    </w:pPr>
    <w:rPr>
      <w:rFonts w:ascii="Times New Roman" w:hAnsi="Times New Roman"/>
      <w:kern w:val="0"/>
    </w:rPr>
  </w:style>
  <w:style w:type="paragraph" w:customStyle="1" w:styleId="608">
    <w:name w:val="?y??"/>
    <w:qFormat/>
    <w:uiPriority w:val="0"/>
    <w:pPr>
      <w:widowControl w:val="0"/>
      <w:overflowPunct w:val="0"/>
      <w:autoSpaceDE w:val="0"/>
      <w:autoSpaceDN w:val="0"/>
      <w:adjustRightInd w:val="0"/>
      <w:spacing w:line="357" w:lineRule="atLeast"/>
      <w:jc w:val="both"/>
      <w:textAlignment w:val="baseline"/>
    </w:pPr>
    <w:rPr>
      <w:rFonts w:ascii="Times New Roman" w:hAnsi="Times New Roman" w:eastAsia="宋体" w:cs="Times New Roman"/>
      <w:color w:val="000000"/>
      <w:sz w:val="21"/>
      <w:lang w:val="en-US" w:eastAsia="zh-CN"/>
    </w:rPr>
  </w:style>
  <w:style w:type="paragraph" w:customStyle="1" w:styleId="609">
    <w:name w:val="font9"/>
    <w:basedOn w:val="1"/>
    <w:qFormat/>
    <w:uiPriority w:val="0"/>
    <w:pPr>
      <w:widowControl/>
      <w:spacing w:before="100" w:beforeLines="0" w:beforeAutospacing="1" w:after="100" w:afterLines="0" w:afterAutospacing="1"/>
      <w:jc w:val="left"/>
    </w:pPr>
    <w:rPr>
      <w:rFonts w:ascii="Times New Roman" w:hAnsi="Times New Roman" w:eastAsia="Arial Unicode MS"/>
      <w:color w:val="000000"/>
      <w:kern w:val="0"/>
      <w:sz w:val="24"/>
    </w:rPr>
  </w:style>
  <w:style w:type="paragraph" w:customStyle="1" w:styleId="610">
    <w:name w:val="p0"/>
    <w:basedOn w:val="1"/>
    <w:qFormat/>
    <w:uiPriority w:val="0"/>
    <w:pPr>
      <w:widowControl/>
      <w:spacing w:line="240" w:lineRule="atLeast"/>
    </w:pPr>
    <w:rPr>
      <w:rFonts w:ascii="Times New Roman" w:hAnsi="Times New Roman" w:eastAsia="仿宋_GB2312"/>
      <w:kern w:val="0"/>
      <w:sz w:val="32"/>
    </w:rPr>
  </w:style>
  <w:style w:type="paragraph" w:customStyle="1" w:styleId="611">
    <w:name w:val="font0"/>
    <w:basedOn w:val="1"/>
    <w:qFormat/>
    <w:uiPriority w:val="0"/>
    <w:pPr>
      <w:widowControl/>
      <w:spacing w:before="100" w:beforeLines="0" w:beforeAutospacing="1" w:after="100" w:afterLines="0" w:afterAutospacing="1"/>
      <w:jc w:val="left"/>
    </w:pPr>
    <w:rPr>
      <w:rFonts w:hint="eastAsia" w:ascii="宋体" w:hAnsi="宋体"/>
      <w:kern w:val="0"/>
      <w:sz w:val="24"/>
    </w:rPr>
  </w:style>
  <w:style w:type="table" w:customStyle="1" w:styleId="612">
    <w:name w:val="Table Normal"/>
    <w:unhideWhenUsed/>
    <w:qFormat/>
    <w:uiPriority w:val="0"/>
    <w:tblPr>
      <w:tblCellMar>
        <w:top w:w="0" w:type="dxa"/>
        <w:left w:w="0" w:type="dxa"/>
        <w:bottom w:w="0" w:type="dxa"/>
        <w:right w:w="0" w:type="dxa"/>
      </w:tblCellMar>
    </w:tblPr>
  </w:style>
  <w:style w:type="paragraph" w:customStyle="1" w:styleId="613">
    <w:name w:val="新地勘正文 Char Char"/>
    <w:qFormat/>
    <w:uiPriority w:val="99"/>
    <w:pPr>
      <w:snapToGrid w:val="0"/>
      <w:spacing w:line="480" w:lineRule="atLeast"/>
      <w:ind w:firstLine="480" w:firstLineChars="200"/>
    </w:pPr>
    <w:rPr>
      <w:rFonts w:ascii="Calibri" w:hAnsi="Calibri" w:eastAsia="宋体" w:cs="Calibri"/>
      <w:sz w:val="24"/>
      <w:szCs w:val="24"/>
      <w:lang w:val="en-US" w:eastAsia="zh-CN" w:bidi="ar-SA"/>
    </w:rPr>
  </w:style>
  <w:style w:type="paragraph" w:customStyle="1" w:styleId="614">
    <w:name w:val="样式 首行缩进:  2 字符1"/>
    <w:basedOn w:val="1"/>
    <w:qFormat/>
    <w:uiPriority w:val="0"/>
    <w:pPr>
      <w:spacing w:line="360" w:lineRule="auto"/>
      <w:ind w:firstLine="200"/>
    </w:pPr>
    <w:rPr>
      <w:rFonts w:cs="宋体"/>
      <w:szCs w:val="20"/>
    </w:rPr>
  </w:style>
  <w:style w:type="character" w:customStyle="1" w:styleId="615">
    <w:name w:val="fontstyle01"/>
    <w:qFormat/>
    <w:uiPriority w:val="0"/>
    <w:rPr>
      <w:rFonts w:hint="eastAsia" w:ascii="宋体" w:hAnsi="宋体" w:eastAsia="宋体"/>
      <w:color w:val="000000"/>
      <w:sz w:val="24"/>
      <w:szCs w:val="24"/>
    </w:rPr>
  </w:style>
  <w:style w:type="paragraph" w:customStyle="1" w:styleId="616">
    <w:name w:val="农贸市场正文"/>
    <w:basedOn w:val="617"/>
    <w:qFormat/>
    <w:uiPriority w:val="0"/>
    <w:pPr>
      <w:spacing w:line="360" w:lineRule="auto"/>
      <w:ind w:firstLine="200" w:firstLineChars="200"/>
    </w:pPr>
    <w:rPr>
      <w:b/>
      <w:snapToGrid w:val="0"/>
      <w:color w:val="000000"/>
      <w:spacing w:val="0"/>
      <w:kern w:val="2"/>
      <w:sz w:val="24"/>
    </w:rPr>
  </w:style>
  <w:style w:type="paragraph" w:customStyle="1" w:styleId="617">
    <w:name w:val="阿拉山口正文"/>
    <w:basedOn w:val="618"/>
    <w:qFormat/>
    <w:uiPriority w:val="0"/>
  </w:style>
  <w:style w:type="paragraph" w:customStyle="1" w:styleId="618">
    <w:name w:val="中石油正文"/>
    <w:basedOn w:val="1"/>
    <w:qFormat/>
    <w:uiPriority w:val="0"/>
    <w:pPr>
      <w:spacing w:line="560" w:lineRule="exact"/>
      <w:ind w:firstLine="480" w:firstLineChars="200"/>
    </w:pPr>
    <w:rPr>
      <w:rFonts w:ascii="宋体" w:hAnsi="宋体"/>
      <w:sz w:val="24"/>
    </w:rPr>
  </w:style>
  <w:style w:type="paragraph" w:customStyle="1" w:styleId="619">
    <w:name w:val="报告正文"/>
    <w:basedOn w:val="1"/>
    <w:qFormat/>
    <w:uiPriority w:val="0"/>
    <w:pPr>
      <w:adjustRightInd w:val="0"/>
      <w:snapToGrid w:val="0"/>
      <w:spacing w:line="460" w:lineRule="atLeast"/>
      <w:ind w:firstLine="200" w:firstLineChars="200"/>
    </w:pPr>
    <w:rPr>
      <w:spacing w:val="0"/>
      <w:kern w:val="2"/>
    </w:rPr>
  </w:style>
  <w:style w:type="paragraph" w:customStyle="1" w:styleId="620">
    <w:name w:val="Table Text"/>
    <w:basedOn w:val="1"/>
    <w:semiHidden/>
    <w:qFormat/>
    <w:uiPriority w:val="0"/>
    <w:rPr>
      <w:rFonts w:ascii="宋体" w:hAnsi="宋体" w:eastAsia="宋体" w:cs="宋体"/>
      <w:sz w:val="21"/>
      <w:szCs w:val="21"/>
      <w:lang w:val="en-US" w:eastAsia="en-US" w:bidi="ar-SA"/>
    </w:rPr>
  </w:style>
  <w:style w:type="paragraph" w:customStyle="1" w:styleId="621">
    <w:name w:val="正文缩进1"/>
    <w:basedOn w:val="1"/>
    <w:qFormat/>
    <w:uiPriority w:val="0"/>
    <w:pPr>
      <w:ind w:firstLine="420" w:firstLineChars="200"/>
    </w:pPr>
    <w:rPr>
      <w:kern w:val="2"/>
      <w:sz w:val="21"/>
    </w:rPr>
  </w:style>
  <w:style w:type="paragraph" w:customStyle="1" w:styleId="622">
    <w:name w:val="正文文本 (2)"/>
    <w:basedOn w:val="1"/>
    <w:unhideWhenUsed/>
    <w:qFormat/>
    <w:uiPriority w:val="99"/>
    <w:pPr>
      <w:shd w:val="clear" w:color="auto" w:fill="FFFFFF"/>
      <w:adjustRightInd/>
      <w:snapToGrid/>
      <w:spacing w:line="466" w:lineRule="exact"/>
      <w:ind w:firstLine="640"/>
      <w:jc w:val="distribute"/>
    </w:pPr>
    <w:rPr>
      <w:rFonts w:hint="eastAsia" w:ascii="宋体" w:hAnsi="宋体"/>
      <w:sz w:val="22"/>
      <w:szCs w:val="22"/>
    </w:rPr>
  </w:style>
  <w:style w:type="character" w:customStyle="1" w:styleId="623">
    <w:name w:val="正文文本 (2) + 10.5 pt"/>
    <w:qFormat/>
    <w:uiPriority w:val="0"/>
    <w:rPr>
      <w:rFonts w:hint="eastAsia" w:ascii="宋体" w:hAnsi="宋体" w:cs="宋体"/>
      <w:color w:val="000000"/>
      <w:spacing w:val="0"/>
      <w:w w:val="100"/>
      <w:position w:val="0"/>
      <w:sz w:val="21"/>
      <w:szCs w:val="21"/>
      <w:shd w:val="clear" w:color="auto" w:fill="FFFFFF"/>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5" Type="http://schemas.openxmlformats.org/officeDocument/2006/relationships/fontTable" Target="fontTable.xml"/><Relationship Id="rId54" Type="http://schemas.openxmlformats.org/officeDocument/2006/relationships/numbering" Target="numbering.xml"/><Relationship Id="rId53" Type="http://schemas.openxmlformats.org/officeDocument/2006/relationships/customXml" Target="../customXml/item1.xml"/><Relationship Id="rId52" Type="http://schemas.openxmlformats.org/officeDocument/2006/relationships/image" Target="media/image29.png"/><Relationship Id="rId51" Type="http://schemas.openxmlformats.org/officeDocument/2006/relationships/image" Target="media/image28.png"/><Relationship Id="rId50" Type="http://schemas.openxmlformats.org/officeDocument/2006/relationships/image" Target="media/image27.wmf"/><Relationship Id="rId5" Type="http://schemas.openxmlformats.org/officeDocument/2006/relationships/header" Target="header1.xml"/><Relationship Id="rId49" Type="http://schemas.openxmlformats.org/officeDocument/2006/relationships/oleObject" Target="embeddings/oleObject8.bin"/><Relationship Id="rId48" Type="http://schemas.openxmlformats.org/officeDocument/2006/relationships/image" Target="media/image26.wmf"/><Relationship Id="rId47" Type="http://schemas.openxmlformats.org/officeDocument/2006/relationships/image" Target="media/image25.wmf"/><Relationship Id="rId46" Type="http://schemas.openxmlformats.org/officeDocument/2006/relationships/oleObject" Target="embeddings/oleObject7.bin"/><Relationship Id="rId45" Type="http://schemas.openxmlformats.org/officeDocument/2006/relationships/image" Target="media/image24.wmf"/><Relationship Id="rId44" Type="http://schemas.openxmlformats.org/officeDocument/2006/relationships/image" Target="media/image23.wmf"/><Relationship Id="rId43" Type="http://schemas.openxmlformats.org/officeDocument/2006/relationships/oleObject" Target="embeddings/oleObject6.bin"/><Relationship Id="rId42" Type="http://schemas.openxmlformats.org/officeDocument/2006/relationships/image" Target="media/image22.wmf"/><Relationship Id="rId41" Type="http://schemas.openxmlformats.org/officeDocument/2006/relationships/oleObject" Target="embeddings/oleObject5.bin"/><Relationship Id="rId40" Type="http://schemas.openxmlformats.org/officeDocument/2006/relationships/image" Target="media/image21.wmf"/><Relationship Id="rId4" Type="http://schemas.openxmlformats.org/officeDocument/2006/relationships/endnotes" Target="endnotes.xml"/><Relationship Id="rId39" Type="http://schemas.openxmlformats.org/officeDocument/2006/relationships/oleObject" Target="embeddings/oleObject4.bin"/><Relationship Id="rId38" Type="http://schemas.openxmlformats.org/officeDocument/2006/relationships/image" Target="media/image20.wmf"/><Relationship Id="rId37" Type="http://schemas.openxmlformats.org/officeDocument/2006/relationships/oleObject" Target="embeddings/oleObject3.bin"/><Relationship Id="rId36" Type="http://schemas.openxmlformats.org/officeDocument/2006/relationships/image" Target="media/image19.wmf"/><Relationship Id="rId35" Type="http://schemas.openxmlformats.org/officeDocument/2006/relationships/oleObject" Target="embeddings/oleObject2.bin"/><Relationship Id="rId34" Type="http://schemas.openxmlformats.org/officeDocument/2006/relationships/image" Target="media/image18.wmf"/><Relationship Id="rId33" Type="http://schemas.openxmlformats.org/officeDocument/2006/relationships/oleObject" Target="embeddings/oleObject1.bin"/><Relationship Id="rId32" Type="http://schemas.openxmlformats.org/officeDocument/2006/relationships/image" Target="media/image17.png"/><Relationship Id="rId31" Type="http://schemas.openxmlformats.org/officeDocument/2006/relationships/image" Target="media/image16.jpeg"/><Relationship Id="rId30" Type="http://schemas.openxmlformats.org/officeDocument/2006/relationships/image" Target="media/image15.jpeg"/><Relationship Id="rId3" Type="http://schemas.openxmlformats.org/officeDocument/2006/relationships/footnotes" Target="footnotes.xml"/><Relationship Id="rId29" Type="http://schemas.openxmlformats.org/officeDocument/2006/relationships/image" Target="media/image14.jpeg"/><Relationship Id="rId28" Type="http://schemas.openxmlformats.org/officeDocument/2006/relationships/image" Target="media/image13.png"/><Relationship Id="rId27" Type="http://schemas.openxmlformats.org/officeDocument/2006/relationships/image" Target="media/image12.jpeg"/><Relationship Id="rId26" Type="http://schemas.openxmlformats.org/officeDocument/2006/relationships/image" Target="media/image11.jpe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jpeg"/><Relationship Id="rId22" Type="http://schemas.openxmlformats.org/officeDocument/2006/relationships/image" Target="media/image7.jpeg"/><Relationship Id="rId21" Type="http://schemas.openxmlformats.org/officeDocument/2006/relationships/image" Target="media/image6.jpeg"/><Relationship Id="rId20" Type="http://schemas.openxmlformats.org/officeDocument/2006/relationships/image" Target="media/image5.jpeg"/><Relationship Id="rId2" Type="http://schemas.openxmlformats.org/officeDocument/2006/relationships/settings" Target="settings.xml"/><Relationship Id="rId19" Type="http://schemas.openxmlformats.org/officeDocument/2006/relationships/image" Target="media/image4.jpeg"/><Relationship Id="rId18" Type="http://schemas.openxmlformats.org/officeDocument/2006/relationships/image" Target="media/image3.jpeg"/><Relationship Id="rId17" Type="http://schemas.openxmlformats.org/officeDocument/2006/relationships/image" Target="media/image2.jpeg"/><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157</Pages>
  <Words>8587</Words>
  <Characters>9764</Characters>
  <Lines>609</Lines>
  <Paragraphs>171</Paragraphs>
  <TotalTime>21</TotalTime>
  <ScaleCrop>false</ScaleCrop>
  <LinksUpToDate>false</LinksUpToDate>
  <CharactersWithSpaces>9930</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2015-01-28T01:49:00Z</dcterms:created>
  <dc:creator>范永刚</dc:creator>
  <cp:lastModifiedBy>曹义军</cp:lastModifiedBy>
  <cp:lastPrinted>2019-03-26T10:46:00Z</cp:lastPrinted>
  <dcterms:modified xsi:type="dcterms:W3CDTF">2025-09-02T08:29:32Z</dcterms:modified>
  <dc:title>工程检索号</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FA66079BF563464C89BAB2906A9F9108_13</vt:lpwstr>
  </property>
  <property fmtid="{D5CDD505-2E9C-101B-9397-08002B2CF9AE}" pid="4" name="KSOTemplateDocerSaveRecord">
    <vt:lpwstr>eyJoZGlkIjoiM2NhY2M5MThmMTdlNTk4NmExYTNkYmZkOWI4MDcyMmQiLCJ1c2VySWQiOiIxMTQ1MzM3MDM1In0=</vt:lpwstr>
  </property>
</Properties>
</file>